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0"/>
        <w:spacing w:before="42" w:line="217" w:lineRule="auto"/>
        <w:rPr/>
      </w:pPr>
      <w:r>
        <w:rPr>
          <w:rFonts w:ascii="SimSun" w:hAnsi="SimSun" w:eastAsia="SimSun" w:cs="SimSun"/>
          <w:spacing w:val="8"/>
          <w:position w:val="-6"/>
        </w:rPr>
        <w:t>—</w:t>
      </w:r>
      <w:r>
        <w:rPr>
          <w:rFonts w:ascii="SimSun" w:hAnsi="SimSun" w:eastAsia="SimSun" w:cs="SimSun"/>
          <w:spacing w:val="33"/>
          <w:position w:val="-6"/>
        </w:rPr>
        <w:t xml:space="preserve"> </w:t>
      </w:r>
      <w:r>
        <w:rPr>
          <w:spacing w:val="8"/>
          <w:position w:val="-6"/>
        </w:rPr>
        <w:t>176</w:t>
      </w:r>
      <w:r>
        <w:rPr>
          <w:u w:val="dotted" w:color="auto"/>
          <w:position w:val="-6"/>
        </w:rPr>
        <w:t xml:space="preserve">    </w:t>
      </w:r>
      <w:r>
        <w:rPr>
          <w:position w:val="-6"/>
        </w:rPr>
        <w:t xml:space="preserve">                                                                            </w:t>
      </w:r>
      <w:r>
        <w:rPr>
          <w:rFonts w:ascii="SimSun" w:hAnsi="SimSun" w:eastAsia="SimSun" w:cs="SimSun"/>
          <w:u w:val="single" w:color="auto"/>
          <w:spacing w:val="-60"/>
        </w:rPr>
        <w:t xml:space="preserve"> </w:t>
      </w:r>
      <w:r>
        <w:rPr>
          <w:rFonts w:ascii="SimSun" w:hAnsi="SimSun" w:eastAsia="SimSun" w:cs="SimSun"/>
          <w:u w:val="single" w:color="auto"/>
          <w:spacing w:val="8"/>
        </w:rPr>
        <w:t>中华消化杂志</w:t>
      </w:r>
      <w:r>
        <w:rPr>
          <w:u w:val="single" w:color="auto"/>
          <w:spacing w:val="8"/>
        </w:rPr>
        <w:t>2023</w:t>
      </w:r>
      <w:r>
        <w:rPr>
          <w:rFonts w:ascii="SimSun" w:hAnsi="SimSun" w:eastAsia="SimSun" w:cs="SimSun"/>
          <w:u w:val="single" w:color="auto"/>
          <w:spacing w:val="8"/>
        </w:rPr>
        <w:t>年</w:t>
      </w:r>
      <w:r>
        <w:rPr>
          <w:u w:val="single" w:color="auto"/>
          <w:spacing w:val="8"/>
        </w:rPr>
        <w:t>3</w:t>
      </w:r>
      <w:r>
        <w:rPr>
          <w:rFonts w:ascii="SimSun" w:hAnsi="SimSun" w:eastAsia="SimSun" w:cs="SimSun"/>
          <w:u w:val="single" w:color="auto"/>
          <w:spacing w:val="8"/>
        </w:rPr>
        <w:t>月第</w:t>
      </w:r>
      <w:r>
        <w:rPr>
          <w:u w:val="single" w:color="auto"/>
          <w:spacing w:val="8"/>
        </w:rPr>
        <w:t>43</w:t>
      </w:r>
      <w:r>
        <w:rPr>
          <w:rFonts w:ascii="SimSun" w:hAnsi="SimSun" w:eastAsia="SimSun" w:cs="SimSun"/>
          <w:u w:val="single" w:color="auto"/>
          <w:spacing w:val="8"/>
        </w:rPr>
        <w:t>卷第</w:t>
      </w:r>
      <w:r>
        <w:rPr>
          <w:u w:val="single" w:color="auto"/>
          <w:spacing w:val="8"/>
        </w:rPr>
        <w:t>3</w:t>
      </w:r>
      <w:r>
        <w:rPr>
          <w:rFonts w:ascii="SimSun" w:hAnsi="SimSun" w:eastAsia="SimSun" w:cs="SimSun"/>
          <w:u w:val="single" w:color="auto"/>
          <w:spacing w:val="8"/>
        </w:rPr>
        <w:t>期</w:t>
      </w:r>
      <w:r>
        <w:rPr>
          <w:u w:val="single" w:color="auto"/>
        </w:rPr>
        <w:t>Chin</w:t>
      </w:r>
      <w:r>
        <w:rPr>
          <w:u w:val="single" w:color="auto"/>
          <w:spacing w:val="22"/>
        </w:rPr>
        <w:t xml:space="preserve"> </w:t>
      </w:r>
      <w:r>
        <w:rPr>
          <w:u w:val="single" w:color="auto"/>
        </w:rPr>
        <w:t>JDig</w:t>
      </w:r>
      <w:r>
        <w:rPr>
          <w:u w:val="single" w:color="auto"/>
          <w:spacing w:val="8"/>
        </w:rPr>
        <w:t>,</w:t>
      </w:r>
      <w:r>
        <w:rPr>
          <w:u w:val="single" w:color="auto"/>
        </w:rPr>
        <w:t>March</w:t>
      </w:r>
      <w:r>
        <w:rPr>
          <w:u w:val="single" w:color="auto"/>
          <w:spacing w:val="22"/>
        </w:rPr>
        <w:t xml:space="preserve"> </w:t>
      </w:r>
      <w:r>
        <w:rPr>
          <w:u w:val="single" w:color="auto"/>
          <w:spacing w:val="8"/>
        </w:rPr>
        <w:t>2023,</w:t>
      </w:r>
      <w:r>
        <w:rPr>
          <w:u w:val="single" w:color="auto"/>
        </w:rPr>
        <w:t>Vol</w:t>
      </w:r>
      <w:r>
        <w:rPr>
          <w:u w:val="single" w:color="auto"/>
          <w:spacing w:val="8"/>
        </w:rPr>
        <w:t>.43,</w:t>
      </w:r>
      <w:r>
        <w:rPr>
          <w:u w:val="single" w:color="auto"/>
        </w:rPr>
        <w:t>No</w:t>
      </w:r>
      <w:r>
        <w:rPr>
          <w:u w:val="single" w:color="auto"/>
          <w:spacing w:val="8"/>
        </w:rPr>
        <w:t>.3</w:t>
      </w:r>
    </w:p>
    <w:p>
      <w:pPr>
        <w:spacing w:before="312" w:line="219" w:lineRule="auto"/>
        <w:jc w:val="right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-21"/>
        </w:rPr>
        <w:t>·</w:t>
      </w:r>
      <w:r>
        <w:rPr>
          <w:rFonts w:ascii="SimSun" w:hAnsi="SimSun" w:eastAsia="SimSun" w:cs="SimSun"/>
          <w:sz w:val="34"/>
          <w:szCs w:val="34"/>
          <w:spacing w:val="-118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-21"/>
        </w:rPr>
        <w:t>共识与指南</w:t>
      </w:r>
      <w:r>
        <w:rPr>
          <w:rFonts w:ascii="SimSun" w:hAnsi="SimSun" w:eastAsia="SimSun" w:cs="SimSun"/>
          <w:sz w:val="34"/>
          <w:szCs w:val="34"/>
          <w:spacing w:val="-21"/>
        </w:rPr>
        <w:t xml:space="preserve"> </w:t>
      </w:r>
      <w:r>
        <w:rPr>
          <w:rFonts w:ascii="SimSun" w:hAnsi="SimSun" w:eastAsia="SimSun" w:cs="SimSun"/>
          <w:sz w:val="34"/>
          <w:szCs w:val="34"/>
          <w:b/>
          <w:bCs/>
          <w:spacing w:val="-21"/>
        </w:rPr>
        <w:t>·</w:t>
      </w:r>
    </w:p>
    <w:p>
      <w:pPr>
        <w:ind w:left="100" w:right="3844" w:hanging="100"/>
        <w:spacing w:before="85" w:line="237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15"/>
        </w:rPr>
        <w:t>消化性溃疡诊断与治疗共识意见</w:t>
      </w:r>
      <w:r>
        <w:rPr>
          <w:rFonts w:ascii="SimSun" w:hAnsi="SimSun" w:eastAsia="SimSun" w:cs="SimSun"/>
          <w:sz w:val="40"/>
          <w:szCs w:val="40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-1"/>
        </w:rPr>
        <w:t>(2022年，上海)</w:t>
      </w:r>
    </w:p>
    <w:p>
      <w:pPr>
        <w:spacing w:before="300" w:line="22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-13"/>
        </w:rPr>
        <w:t>中华消化杂志编辑委员会</w:t>
      </w:r>
    </w:p>
    <w:p>
      <w:pPr>
        <w:pStyle w:val="BodyText"/>
        <w:spacing w:before="7" w:line="220" w:lineRule="auto"/>
        <w:rPr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-5"/>
        </w:rPr>
        <w:t>通信作者：邹多武，上海交通大学医学院附属瑞金医院消化内科，上海200025,</w:t>
      </w:r>
      <w:r>
        <w:rPr>
          <w:sz w:val="22"/>
          <w:szCs w:val="22"/>
          <w:spacing w:val="-5"/>
        </w:rPr>
        <w:t>E</w:t>
      </w:r>
      <w:r>
        <w:rPr>
          <w:sz w:val="22"/>
          <w:szCs w:val="22"/>
          <w:spacing w:val="-6"/>
        </w:rPr>
        <w:t>mail:</w:t>
      </w:r>
    </w:p>
    <w:p>
      <w:pPr>
        <w:pStyle w:val="BodyText"/>
        <w:spacing w:before="95" w:line="212" w:lineRule="auto"/>
        <w:rPr>
          <w:rFonts w:ascii="KaiTi" w:hAnsi="KaiTi" w:eastAsia="KaiTi" w:cs="KaiTi"/>
        </w:rPr>
      </w:pPr>
      <w:r>
        <w:rPr/>
        <w:t>zdwrjxh</w:t>
      </w:r>
      <w:r>
        <w:rPr>
          <w:spacing w:val="21"/>
        </w:rPr>
        <w:t>66@</w:t>
      </w:r>
      <w:r>
        <w:rPr/>
        <w:t>sjtu</w:t>
      </w:r>
      <w:r>
        <w:rPr>
          <w:spacing w:val="21"/>
        </w:rPr>
        <w:t>.</w:t>
      </w:r>
      <w:r>
        <w:rPr/>
        <w:t>edu</w:t>
      </w:r>
      <w:r>
        <w:rPr>
          <w:spacing w:val="21"/>
        </w:rPr>
        <w:t>.</w:t>
      </w:r>
      <w:r>
        <w:rPr/>
        <w:t>cn</w:t>
      </w:r>
      <w:r>
        <w:rPr>
          <w:spacing w:val="21"/>
        </w:rPr>
        <w:t>,         </w:t>
      </w:r>
      <w:r>
        <w:rPr>
          <w:rFonts w:ascii="KaiTi" w:hAnsi="KaiTi" w:eastAsia="KaiTi" w:cs="KaiTi"/>
          <w:spacing w:val="21"/>
        </w:rPr>
        <w:t>电话：021-</w:t>
      </w:r>
      <w:r>
        <w:rPr>
          <w:rFonts w:ascii="KaiTi" w:hAnsi="KaiTi" w:eastAsia="KaiTi" w:cs="KaiTi"/>
          <w:spacing w:val="-50"/>
        </w:rPr>
        <w:t xml:space="preserve"> </w:t>
      </w:r>
      <w:r>
        <w:rPr>
          <w:rFonts w:ascii="KaiTi" w:hAnsi="KaiTi" w:eastAsia="KaiTi" w:cs="KaiTi"/>
          <w:spacing w:val="21"/>
        </w:rPr>
        <w:t>64370045</w:t>
      </w:r>
      <w:r>
        <w:rPr>
          <w:rFonts w:ascii="KaiTi" w:hAnsi="KaiTi" w:eastAsia="KaiTi" w:cs="KaiTi"/>
          <w:spacing w:val="20"/>
        </w:rPr>
        <w:t>-</w:t>
      </w:r>
      <w:r>
        <w:rPr>
          <w:rFonts w:ascii="KaiTi" w:hAnsi="KaiTi" w:eastAsia="KaiTi" w:cs="KaiTi"/>
          <w:spacing w:val="-49"/>
        </w:rPr>
        <w:t xml:space="preserve"> </w:t>
      </w:r>
      <w:r>
        <w:rPr>
          <w:rFonts w:ascii="KaiTi" w:hAnsi="KaiTi" w:eastAsia="KaiTi" w:cs="KaiTi"/>
          <w:spacing w:val="20"/>
        </w:rPr>
        <w:t>600936;谢渭芬，海军军医大学第二附属医</w:t>
      </w:r>
    </w:p>
    <w:p>
      <w:pPr>
        <w:pStyle w:val="BodyText"/>
        <w:spacing w:before="71" w:line="212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"/>
        </w:rPr>
        <w:t>院(上海长征医院)消化内科，上海20000</w:t>
      </w:r>
      <w:r>
        <w:rPr>
          <w:rFonts w:ascii="KaiTi" w:hAnsi="KaiTi" w:eastAsia="KaiTi" w:cs="KaiTi"/>
          <w:sz w:val="22"/>
          <w:szCs w:val="22"/>
          <w:spacing w:val="1"/>
        </w:rPr>
        <w:t>3,</w:t>
      </w:r>
      <w:r>
        <w:rPr>
          <w:sz w:val="22"/>
          <w:szCs w:val="22"/>
        </w:rPr>
        <w:t>Email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</w:rPr>
        <w:t>weifenxie</w:t>
      </w:r>
      <w:r>
        <w:rPr>
          <w:sz w:val="22"/>
          <w:szCs w:val="22"/>
          <w:spacing w:val="1"/>
        </w:rPr>
        <w:t>@</w:t>
      </w:r>
      <w:r>
        <w:rPr>
          <w:sz w:val="22"/>
          <w:szCs w:val="22"/>
        </w:rPr>
        <w:t>medmail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com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>cn</w:t>
      </w:r>
      <w:r>
        <w:rPr>
          <w:sz w:val="22"/>
          <w:szCs w:val="22"/>
          <w:spacing w:val="1"/>
        </w:rPr>
        <w:t>,</w:t>
      </w:r>
      <w:r>
        <w:rPr>
          <w:rFonts w:ascii="KaiTi" w:hAnsi="KaiTi" w:eastAsia="KaiTi" w:cs="KaiTi"/>
          <w:sz w:val="22"/>
          <w:szCs w:val="22"/>
          <w:spacing w:val="1"/>
        </w:rPr>
        <w:t>电</w:t>
      </w:r>
      <w:r>
        <w:rPr>
          <w:rFonts w:ascii="KaiTi" w:hAnsi="KaiTi" w:eastAsia="KaiTi" w:cs="KaiTi"/>
          <w:sz w:val="22"/>
          <w:szCs w:val="22"/>
          <w:spacing w:val="-46"/>
        </w:rPr>
        <w:t xml:space="preserve"> </w:t>
      </w:r>
      <w:r>
        <w:rPr>
          <w:rFonts w:ascii="KaiTi" w:hAnsi="KaiTi" w:eastAsia="KaiTi" w:cs="KaiTi"/>
          <w:sz w:val="22"/>
          <w:szCs w:val="22"/>
          <w:spacing w:val="1"/>
        </w:rPr>
        <w:t>话</w:t>
      </w:r>
      <w:r>
        <w:rPr>
          <w:rFonts w:ascii="KaiTi" w:hAnsi="KaiTi" w:eastAsia="KaiTi" w:cs="KaiTi"/>
          <w:sz w:val="22"/>
          <w:szCs w:val="22"/>
          <w:spacing w:val="-55"/>
        </w:rPr>
        <w:t xml:space="preserve"> </w:t>
      </w:r>
      <w:r>
        <w:rPr>
          <w:rFonts w:ascii="KaiTi" w:hAnsi="KaiTi" w:eastAsia="KaiTi" w:cs="KaiTi"/>
          <w:sz w:val="22"/>
          <w:szCs w:val="22"/>
          <w:spacing w:val="1"/>
        </w:rPr>
        <w:t>：</w:t>
      </w:r>
    </w:p>
    <w:p>
      <w:pPr>
        <w:pStyle w:val="BodyText"/>
        <w:ind w:right="1621"/>
        <w:spacing w:before="84" w:line="302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sz w:val="22"/>
          <w:szCs w:val="22"/>
          <w:spacing w:val="3"/>
        </w:rPr>
        <w:t>021-81885341;袁耀宗，上海交</w:t>
      </w:r>
      <w:r>
        <w:rPr>
          <w:rFonts w:ascii="KaiTi" w:hAnsi="KaiTi" w:eastAsia="KaiTi" w:cs="KaiTi"/>
          <w:sz w:val="22"/>
          <w:szCs w:val="22"/>
          <w:spacing w:val="2"/>
        </w:rPr>
        <w:t>通大学医学院附属瑞金医院消化内科，上海200025,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/>
        <w:t>Email</w:t>
      </w:r>
      <w:r>
        <w:rPr>
          <w:spacing w:val="12"/>
        </w:rPr>
        <w:t>:</w:t>
      </w:r>
      <w:r>
        <w:rPr/>
        <w:t>yyz</w:t>
      </w:r>
      <w:r>
        <w:rPr>
          <w:spacing w:val="12"/>
        </w:rPr>
        <w:t>28@</w:t>
      </w:r>
      <w:r>
        <w:rPr/>
        <w:t>medmail</w:t>
      </w:r>
      <w:r>
        <w:rPr>
          <w:spacing w:val="12"/>
        </w:rPr>
        <w:t>.</w:t>
      </w:r>
      <w:r>
        <w:rPr/>
        <w:t>com</w:t>
      </w:r>
      <w:r>
        <w:rPr>
          <w:spacing w:val="12"/>
        </w:rPr>
        <w:t>.</w:t>
      </w:r>
      <w:r>
        <w:rPr/>
        <w:t>cn</w:t>
      </w:r>
      <w:r>
        <w:rPr>
          <w:spacing w:val="12"/>
        </w:rPr>
        <w:t>,            </w:t>
      </w:r>
      <w:r>
        <w:rPr>
          <w:rFonts w:ascii="KaiTi" w:hAnsi="KaiTi" w:eastAsia="KaiTi" w:cs="KaiTi"/>
          <w:spacing w:val="12"/>
        </w:rPr>
        <w:t>电话：021-643700</w:t>
      </w:r>
      <w:r>
        <w:rPr>
          <w:rFonts w:ascii="KaiTi" w:hAnsi="KaiTi" w:eastAsia="KaiTi" w:cs="KaiTi"/>
          <w:spacing w:val="11"/>
        </w:rPr>
        <w:t>45-665242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365"/>
        <w:spacing w:before="55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【引用本文】  中</w:t>
      </w:r>
      <w:r>
        <w:rPr>
          <w:rFonts w:ascii="SimHei" w:hAnsi="SimHei" w:eastAsia="SimHei" w:cs="SimHei"/>
          <w:sz w:val="17"/>
          <w:szCs w:val="17"/>
          <w:spacing w:val="9"/>
        </w:rPr>
        <w:t>文</w:t>
      </w:r>
      <w:r>
        <w:rPr>
          <w:rFonts w:ascii="SimSun" w:hAnsi="SimSun" w:eastAsia="SimSun" w:cs="SimSun"/>
          <w:sz w:val="17"/>
          <w:szCs w:val="17"/>
          <w:spacing w:val="9"/>
        </w:rPr>
        <w:t>：中华消化杂志编辑委员会.消化性溃疡诊断与治疗共识意见(20</w:t>
      </w:r>
      <w:r>
        <w:rPr>
          <w:rFonts w:ascii="SimSun" w:hAnsi="SimSun" w:eastAsia="SimSun" w:cs="SimSun"/>
          <w:sz w:val="17"/>
          <w:szCs w:val="17"/>
          <w:spacing w:val="8"/>
        </w:rPr>
        <w:t>22年，上海)</w:t>
      </w:r>
    </w:p>
    <w:p>
      <w:pPr>
        <w:pStyle w:val="BodyText"/>
        <w:spacing w:before="68" w:line="212" w:lineRule="auto"/>
        <w:rPr>
          <w:rFonts w:ascii="SimSun" w:hAnsi="SimSun" w:eastAsia="SimSun" w:cs="SimSun"/>
        </w:rPr>
      </w:pPr>
      <w:r>
        <w:rPr>
          <w:spacing w:val="5"/>
        </w:rPr>
        <w:t>[J].    </w:t>
      </w:r>
      <w:r>
        <w:rPr>
          <w:rFonts w:ascii="SimSun" w:hAnsi="SimSun" w:eastAsia="SimSun" w:cs="SimSun"/>
          <w:spacing w:val="5"/>
        </w:rPr>
        <w:t>中华消化杂志，2023,43(3):176-192.</w:t>
      </w:r>
      <w:r>
        <w:rPr/>
        <w:t>DOI</w:t>
      </w:r>
      <w:r>
        <w:rPr>
          <w:spacing w:val="5"/>
        </w:rPr>
        <w:t>:1</w:t>
      </w:r>
      <w:r>
        <w:rPr>
          <w:spacing w:val="4"/>
        </w:rPr>
        <w:t>0.3760/</w:t>
      </w:r>
      <w:r>
        <w:rPr/>
        <w:t>cma</w:t>
      </w:r>
      <w:r>
        <w:rPr>
          <w:spacing w:val="4"/>
        </w:rPr>
        <w:t>.j.</w:t>
      </w:r>
      <w:r>
        <w:rPr/>
        <w:t>cn</w:t>
      </w:r>
      <w:r>
        <w:rPr>
          <w:spacing w:val="4"/>
        </w:rPr>
        <w:t>311367-20230115-00022.              </w:t>
      </w:r>
      <w:r>
        <w:rPr>
          <w:rFonts w:ascii="SimSun" w:hAnsi="SimSun" w:eastAsia="SimSun" w:cs="SimSun"/>
          <w:spacing w:val="4"/>
        </w:rPr>
        <w:t>英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4"/>
        </w:rPr>
        <w:t>文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4"/>
        </w:rPr>
        <w:t>：</w:t>
      </w:r>
    </w:p>
    <w:p>
      <w:pPr>
        <w:pStyle w:val="BodyText"/>
        <w:ind w:right="1665"/>
        <w:spacing w:before="67" w:line="353" w:lineRule="auto"/>
        <w:rPr/>
      </w:pPr>
      <w:r>
        <w:rPr>
          <w:i/>
          <w:iCs/>
        </w:rPr>
        <w:t>Editorial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Board</w:t>
      </w:r>
      <w:r>
        <w:rPr>
          <w:i/>
          <w:iCs/>
          <w:spacing w:val="29"/>
          <w:w w:val="102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Chinese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Journal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Digestion</w:t>
      </w:r>
      <w:r>
        <w:rPr>
          <w:i/>
          <w:iCs/>
          <w:spacing w:val="10"/>
        </w:rPr>
        <w:t>.</w:t>
      </w:r>
      <w:r>
        <w:rPr>
          <w:i/>
          <w:iCs/>
        </w:rPr>
        <w:t>Consensus</w:t>
      </w:r>
      <w:r>
        <w:rPr>
          <w:i/>
          <w:iCs/>
          <w:spacing w:val="37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38"/>
          <w:w w:val="102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diagnosis</w:t>
      </w:r>
      <w:r>
        <w:rPr>
          <w:i/>
          <w:iCs/>
          <w:spacing w:val="35"/>
          <w:w w:val="102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1"/>
          <w:w w:val="102"/>
        </w:rPr>
        <w:t xml:space="preserve"> </w:t>
      </w:r>
      <w:r>
        <w:rPr>
          <w:i/>
          <w:iCs/>
        </w:rPr>
        <w:t>therapy</w:t>
      </w:r>
      <w:r>
        <w:rPr>
          <w:i/>
          <w:iCs/>
          <w:spacing w:val="36"/>
          <w:w w:val="102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peptic</w:t>
      </w:r>
      <w:r>
        <w:rPr>
          <w:i/>
          <w:iCs/>
          <w:spacing w:val="37"/>
        </w:rPr>
        <w:t xml:space="preserve"> </w:t>
      </w:r>
      <w:r>
        <w:rPr>
          <w:i/>
          <w:iCs/>
        </w:rPr>
        <w:t>ulcer</w:t>
      </w:r>
      <w:r>
        <w:rPr>
          <w:i/>
          <w:iCs/>
          <w:spacing w:val="10"/>
        </w:rPr>
        <w:t>(2022,</w:t>
      </w:r>
      <w:r>
        <w:rPr>
          <w:i/>
          <w:iCs/>
        </w:rPr>
        <w:t xml:space="preserve"> </w:t>
      </w:r>
      <w:r>
        <w:rPr/>
        <w:t>Shanghai)[J].Chin               J               Dig,2023,43(3):176-192.DOI:10.3760/cma.j.cn311367-20230115-00022.</w:t>
      </w:r>
    </w:p>
    <w:p>
      <w:pPr>
        <w:ind w:right="1671" w:firstLine="285"/>
        <w:spacing w:before="51" w:line="30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9"/>
        </w:rPr>
        <w:t>【摘要】</w:t>
      </w:r>
      <w:r>
        <w:rPr>
          <w:rFonts w:ascii="SimHei" w:hAnsi="SimHei" w:eastAsia="SimHei" w:cs="SimHei"/>
          <w:sz w:val="17"/>
          <w:szCs w:val="17"/>
          <w:spacing w:val="8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抗生素耐药逐渐增加导致的幽门螺杆菌根除困难，非甾体抗炎药的广泛使用，以及老龄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化人口中常见的抗血栓治疗等，使消化性溃疡的诊治较以往更具挑战。为进一步探索符合我国国情的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消化性溃疡诊断与治疗新模式，由中华消化杂志编委会组织专家委员会，在《消化性溃疡诊断与治疗规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范(2016年，西安)》的基础上，经多</w:t>
      </w:r>
      <w:r>
        <w:rPr>
          <w:rFonts w:ascii="SimSun" w:hAnsi="SimSun" w:eastAsia="SimSun" w:cs="SimSun"/>
          <w:sz w:val="17"/>
          <w:szCs w:val="17"/>
          <w:spacing w:val="8"/>
        </w:rPr>
        <w:t>次共同讨论并制定了新版共识意见。本共识共30条陈述，分为9个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部分，涵盖了消化性溃疡的定义、临床表现、药物治疗、并发症治疗、预防等内容。</w:t>
      </w:r>
    </w:p>
    <w:p>
      <w:pPr>
        <w:ind w:left="287"/>
        <w:spacing w:before="5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4"/>
        </w:rPr>
        <w:t>【关键词】</w:t>
      </w:r>
      <w:r>
        <w:rPr>
          <w:rFonts w:ascii="SimHei" w:hAnsi="SimHei" w:eastAsia="SimHei" w:cs="SimHei"/>
          <w:sz w:val="17"/>
          <w:szCs w:val="17"/>
          <w:spacing w:val="9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消化性溃疡；共识意见；诊断；治疗</w:t>
      </w:r>
    </w:p>
    <w:p>
      <w:pPr>
        <w:pStyle w:val="BodyText"/>
        <w:ind w:left="370"/>
        <w:spacing w:before="104" w:line="192" w:lineRule="auto"/>
        <w:rPr/>
      </w:pPr>
      <w:r>
        <w:rPr/>
        <w:t>DOI:10.3760/cma.j.cn311367-20230115-</w:t>
      </w:r>
      <w:r>
        <w:rPr>
          <w:spacing w:val="-1"/>
        </w:rPr>
        <w:t>00022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right="4032"/>
        <w:spacing w:before="49" w:line="328" w:lineRule="auto"/>
        <w:rPr/>
      </w:pPr>
      <w:r>
        <w:rPr>
          <w:b/>
          <w:bCs/>
        </w:rPr>
        <w:t>Consensus</w:t>
      </w:r>
      <w:r>
        <w:rPr>
          <w:b/>
          <w:bCs/>
          <w:spacing w:val="12"/>
          <w:w w:val="101"/>
        </w:rPr>
        <w:t xml:space="preserve">  </w:t>
      </w:r>
      <w:r>
        <w:rPr>
          <w:b/>
          <w:bCs/>
        </w:rPr>
        <w:t>on</w:t>
      </w:r>
      <w:r>
        <w:rPr>
          <w:b/>
          <w:bCs/>
          <w:spacing w:val="10"/>
          <w:w w:val="102"/>
        </w:rPr>
        <w:t xml:space="preserve">  </w:t>
      </w:r>
      <w:r>
        <w:rPr>
          <w:b/>
          <w:bCs/>
        </w:rPr>
        <w:t>the</w:t>
      </w:r>
      <w:r>
        <w:rPr>
          <w:b/>
          <w:bCs/>
          <w:spacing w:val="12"/>
        </w:rPr>
        <w:t xml:space="preserve">  </w:t>
      </w:r>
      <w:r>
        <w:rPr>
          <w:b/>
          <w:bCs/>
        </w:rPr>
        <w:t>diagnosis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and</w:t>
      </w:r>
      <w:r>
        <w:rPr>
          <w:b/>
          <w:bCs/>
          <w:spacing w:val="10"/>
          <w:w w:val="102"/>
        </w:rPr>
        <w:t xml:space="preserve">  </w:t>
      </w:r>
      <w:r>
        <w:rPr>
          <w:b/>
          <w:bCs/>
          <w:spacing w:val="-1"/>
        </w:rPr>
        <w:t>therapy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of  peptic</w:t>
      </w:r>
      <w:r>
        <w:rPr>
          <w:b/>
          <w:bCs/>
          <w:spacing w:val="11"/>
          <w:w w:val="102"/>
        </w:rPr>
        <w:t xml:space="preserve">  </w:t>
      </w:r>
      <w:r>
        <w:rPr>
          <w:b/>
          <w:bCs/>
          <w:spacing w:val="-1"/>
        </w:rPr>
        <w:t>ulcer(2022,Shanghai</w:t>
      </w:r>
      <w:r>
        <w:rPr>
          <w:spacing w:val="-1"/>
        </w:rPr>
        <w:t>)</w:t>
      </w:r>
      <w:r>
        <w:rPr/>
        <w:t xml:space="preserve"> </w:t>
      </w:r>
      <w:r>
        <w:rPr>
          <w:i/>
          <w:iCs/>
          <w:spacing w:val="3"/>
        </w:rPr>
        <w:t>Editorial Board of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3"/>
        </w:rPr>
        <w:t>Chines</w:t>
      </w:r>
      <w:r>
        <w:rPr>
          <w:i/>
          <w:iCs/>
          <w:spacing w:val="2"/>
        </w:rPr>
        <w:t>e Journal ofDigestion</w:t>
      </w:r>
    </w:p>
    <w:p>
      <w:pPr>
        <w:pStyle w:val="BodyText"/>
        <w:ind w:right="1679"/>
        <w:spacing w:before="11" w:line="308" w:lineRule="auto"/>
        <w:rPr/>
      </w:pPr>
      <w:r>
        <w:rPr>
          <w:i/>
          <w:iCs/>
        </w:rPr>
        <w:t>Corresponding</w:t>
      </w:r>
      <w:r>
        <w:rPr>
          <w:i/>
          <w:iCs/>
          <w:spacing w:val="1"/>
        </w:rPr>
        <w:t xml:space="preserve">    </w:t>
      </w:r>
      <w:r>
        <w:rPr>
          <w:i/>
          <w:iCs/>
        </w:rPr>
        <w:t>author</w:t>
      </w:r>
      <w:r>
        <w:rPr>
          <w:i/>
          <w:iCs/>
          <w:spacing w:val="1"/>
        </w:rPr>
        <w:t>:</w:t>
      </w:r>
      <w:r>
        <w:rPr>
          <w:i/>
          <w:iCs/>
        </w:rPr>
        <w:t>Zou</w:t>
      </w:r>
      <w:r>
        <w:rPr>
          <w:i/>
          <w:iCs/>
          <w:spacing w:val="1"/>
        </w:rPr>
        <w:t xml:space="preserve">     </w:t>
      </w:r>
      <w:r>
        <w:rPr>
          <w:i/>
          <w:iCs/>
        </w:rPr>
        <w:t>Duowu</w:t>
      </w:r>
      <w:r>
        <w:rPr>
          <w:i/>
          <w:iCs/>
          <w:spacing w:val="1"/>
        </w:rPr>
        <w:t>,</w:t>
      </w:r>
      <w:r>
        <w:rPr>
          <w:i/>
          <w:iCs/>
        </w:rPr>
        <w:t>Department</w:t>
      </w:r>
      <w:r>
        <w:rPr>
          <w:i/>
          <w:iCs/>
          <w:spacing w:val="1"/>
        </w:rPr>
        <w:t xml:space="preserve">    </w:t>
      </w:r>
      <w:r>
        <w:rPr>
          <w:i/>
          <w:iCs/>
        </w:rPr>
        <w:t>of</w:t>
      </w:r>
      <w:r>
        <w:rPr>
          <w:i/>
          <w:iCs/>
          <w:spacing w:val="1"/>
        </w:rPr>
        <w:t xml:space="preserve">    </w:t>
      </w:r>
      <w:r>
        <w:rPr>
          <w:i/>
          <w:iCs/>
        </w:rPr>
        <w:t>Gastroenterology</w:t>
      </w:r>
      <w:r>
        <w:rPr>
          <w:i/>
          <w:iCs/>
          <w:spacing w:val="1"/>
        </w:rPr>
        <w:t>,</w:t>
      </w:r>
      <w:r>
        <w:rPr>
          <w:i/>
          <w:iCs/>
        </w:rPr>
        <w:t>Ruijin</w:t>
      </w:r>
      <w:r>
        <w:rPr>
          <w:i/>
          <w:iCs/>
          <w:spacing w:val="1"/>
        </w:rPr>
        <w:t xml:space="preserve">     </w:t>
      </w:r>
      <w:r>
        <w:rPr>
          <w:i/>
          <w:iCs/>
        </w:rPr>
        <w:t>Hospital</w:t>
      </w:r>
      <w:r>
        <w:rPr>
          <w:i/>
          <w:iCs/>
          <w:spacing w:val="1"/>
        </w:rPr>
        <w:t>,</w:t>
      </w:r>
      <w:r>
        <w:rPr>
          <w:i/>
          <w:iCs/>
        </w:rPr>
        <w:t>Shanghai</w:t>
      </w:r>
      <w:r>
        <w:rPr>
          <w:i/>
          <w:iCs/>
          <w:spacing w:val="1"/>
        </w:rPr>
        <w:t xml:space="preserve">    </w:t>
      </w:r>
      <w:r>
        <w:rPr>
          <w:i/>
          <w:iCs/>
        </w:rPr>
        <w:t>Jiaotong</w:t>
      </w:r>
      <w:r>
        <w:rPr>
          <w:i/>
          <w:iCs/>
          <w:spacing w:val="4"/>
        </w:rPr>
        <w:t xml:space="preserve">  </w:t>
      </w:r>
      <w:r>
        <w:rPr>
          <w:i/>
          <w:iCs/>
        </w:rPr>
        <w:t>University        School        of       Medicine,Shanghai         200025,China,Email:zdwrjch66@sjtu</w:t>
      </w:r>
      <w:r>
        <w:rPr>
          <w:i/>
          <w:iCs/>
          <w:spacing w:val="-1"/>
        </w:rPr>
        <w:t>.edu.cn,Tel:0086-21-</w:t>
      </w:r>
    </w:p>
    <w:p>
      <w:pPr>
        <w:pStyle w:val="BodyText"/>
        <w:ind w:right="1665"/>
        <w:spacing w:before="39" w:line="329" w:lineRule="auto"/>
        <w:jc w:val="both"/>
        <w:rPr/>
      </w:pPr>
      <w:r>
        <w:rPr>
          <w:i/>
          <w:iCs/>
          <w:spacing w:val="1"/>
        </w:rPr>
        <w:t>64370045-600936;</w:t>
      </w:r>
      <w:r>
        <w:rPr>
          <w:i/>
          <w:iCs/>
        </w:rPr>
        <w:t>Xie</w:t>
      </w:r>
      <w:r>
        <w:rPr>
          <w:i/>
          <w:iCs/>
          <w:spacing w:val="1"/>
        </w:rPr>
        <w:t xml:space="preserve">    </w:t>
      </w:r>
      <w:r>
        <w:rPr>
          <w:i/>
          <w:iCs/>
        </w:rPr>
        <w:t>Weifen</w:t>
      </w:r>
      <w:r>
        <w:rPr>
          <w:i/>
          <w:iCs/>
          <w:spacing w:val="1"/>
        </w:rPr>
        <w:t>,</w:t>
      </w:r>
      <w:r>
        <w:rPr>
          <w:i/>
          <w:iCs/>
        </w:rPr>
        <w:t>Department</w:t>
      </w:r>
      <w:r>
        <w:rPr>
          <w:i/>
          <w:iCs/>
          <w:spacing w:val="1"/>
        </w:rPr>
        <w:t xml:space="preserve">     </w:t>
      </w:r>
      <w:r>
        <w:rPr>
          <w:i/>
          <w:iCs/>
        </w:rPr>
        <w:t>of</w:t>
      </w:r>
      <w:r>
        <w:rPr>
          <w:i/>
          <w:iCs/>
          <w:spacing w:val="1"/>
        </w:rPr>
        <w:t xml:space="preserve">    </w:t>
      </w:r>
      <w:r>
        <w:rPr>
          <w:i/>
          <w:iCs/>
        </w:rPr>
        <w:t>Gastroenterology</w:t>
      </w:r>
      <w:r>
        <w:rPr>
          <w:i/>
          <w:iCs/>
          <w:spacing w:val="1"/>
        </w:rPr>
        <w:t>,</w:t>
      </w:r>
      <w:r>
        <w:rPr>
          <w:i/>
          <w:iCs/>
        </w:rPr>
        <w:t>the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 xml:space="preserve">   Second    Affilliated    Hospital(Shanghai </w:t>
      </w:r>
      <w:r>
        <w:rPr>
          <w:i/>
          <w:iCs/>
        </w:rPr>
        <w:t>Changzheng</w:t>
      </w:r>
      <w:r>
        <w:rPr>
          <w:i/>
          <w:iCs/>
          <w:spacing w:val="12"/>
        </w:rPr>
        <w:t xml:space="preserve">   </w:t>
      </w:r>
      <w:r>
        <w:rPr>
          <w:i/>
          <w:iCs/>
        </w:rPr>
        <w:t>Hospital),Naval</w:t>
      </w:r>
      <w:r>
        <w:rPr>
          <w:i/>
          <w:iCs/>
          <w:spacing w:val="12"/>
        </w:rPr>
        <w:t xml:space="preserve">   </w:t>
      </w:r>
      <w:r>
        <w:rPr>
          <w:i/>
          <w:iCs/>
        </w:rPr>
        <w:t>Medical    University,Shanghai     2000</w:t>
      </w:r>
      <w:r>
        <w:rPr>
          <w:i/>
          <w:iCs/>
          <w:spacing w:val="-1"/>
        </w:rPr>
        <w:t>03,China,Email:weifenxie@medmail.com.cn,</w:t>
      </w:r>
      <w:r>
        <w:rPr>
          <w:i/>
          <w:iCs/>
        </w:rPr>
        <w:t xml:space="preserve"> </w:t>
      </w:r>
      <w:r>
        <w:rPr>
          <w:i/>
          <w:iCs/>
        </w:rPr>
        <w:t>Tel</w:t>
      </w:r>
      <w:r>
        <w:rPr>
          <w:i/>
          <w:iCs/>
          <w:spacing w:val="1"/>
        </w:rPr>
        <w:t>:0086-21-81885341;</w:t>
      </w:r>
      <w:r>
        <w:rPr>
          <w:i/>
          <w:iCs/>
        </w:rPr>
        <w:t>Yuan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 xml:space="preserve">  Yaozong,Department    of    Gastroenterology,Ruijin    Hospital,Shanghai    Jiaotong  </w:t>
      </w:r>
      <w:r>
        <w:rPr>
          <w:i/>
          <w:iCs/>
        </w:rPr>
        <w:t>University        School        of       Medicine,Shanghai         200025,China,Email:yz28@medmail.com.cn,Tel:0086-21-</w:t>
      </w:r>
    </w:p>
    <w:p>
      <w:pPr>
        <w:pStyle w:val="BodyText"/>
        <w:spacing w:before="99" w:line="188" w:lineRule="auto"/>
        <w:rPr/>
      </w:pPr>
      <w:r>
        <w:rPr>
          <w:spacing w:val="-1"/>
        </w:rPr>
        <w:t>64370045-665242</w:t>
      </w:r>
    </w:p>
    <w:p>
      <w:pPr>
        <w:pStyle w:val="BodyText"/>
        <w:ind w:right="1676" w:firstLine="285"/>
        <w:spacing w:before="121" w:line="339" w:lineRule="auto"/>
        <w:jc w:val="both"/>
        <w:rPr/>
      </w:pPr>
      <w:r>
        <w:rPr>
          <w:rFonts w:ascii="SimSun" w:hAnsi="SimSun" w:eastAsia="SimSun" w:cs="SimSun"/>
          <w:spacing w:val="1"/>
        </w:rPr>
        <w:t>【</w:t>
      </w:r>
      <w:r>
        <w:rPr/>
        <w:t>Abstract</w:t>
      </w:r>
      <w:r>
        <w:rPr>
          <w:rFonts w:ascii="SimSun" w:hAnsi="SimSun" w:eastAsia="SimSun" w:cs="SimSun"/>
          <w:spacing w:val="1"/>
        </w:rPr>
        <w:t>】  </w:t>
      </w:r>
      <w:r>
        <w:rPr/>
        <w:t>Due</w:t>
      </w:r>
      <w:r>
        <w:rPr>
          <w:spacing w:val="21"/>
          <w:w w:val="102"/>
        </w:rPr>
        <w:t xml:space="preserve"> </w:t>
      </w:r>
      <w:r>
        <w:rPr/>
        <w:t>to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21"/>
          <w:w w:val="102"/>
        </w:rPr>
        <w:t xml:space="preserve"> </w:t>
      </w:r>
      <w:r>
        <w:rPr/>
        <w:t>difficult</w:t>
      </w:r>
      <w:r>
        <w:rPr>
          <w:spacing w:val="21"/>
          <w:w w:val="102"/>
        </w:rPr>
        <w:t xml:space="preserve"> </w:t>
      </w:r>
      <w:r>
        <w:rPr/>
        <w:t>eradication</w:t>
      </w:r>
      <w:r>
        <w:rPr>
          <w:spacing w:val="21"/>
          <w:w w:val="10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Helicobacter</w:t>
      </w:r>
      <w:r>
        <w:rPr>
          <w:spacing w:val="15"/>
        </w:rPr>
        <w:t xml:space="preserve"> </w:t>
      </w:r>
      <w:r>
        <w:rPr/>
        <w:t>pylori</w:t>
      </w:r>
      <w:r>
        <w:rPr>
          <w:spacing w:val="21"/>
          <w:w w:val="101"/>
        </w:rPr>
        <w:t xml:space="preserve"> </w:t>
      </w:r>
      <w:r>
        <w:rPr/>
        <w:t>caused</w:t>
      </w:r>
      <w:r>
        <w:rPr>
          <w:spacing w:val="15"/>
          <w:w w:val="101"/>
        </w:rPr>
        <w:t xml:space="preserve"> </w:t>
      </w:r>
      <w:r>
        <w:rPr/>
        <w:t>by</w:t>
      </w:r>
      <w:r>
        <w:rPr>
          <w:spacing w:val="21"/>
          <w:w w:val="101"/>
        </w:rPr>
        <w:t xml:space="preserve"> </w:t>
      </w:r>
      <w:r>
        <w:rPr/>
        <w:t>gradual</w:t>
      </w:r>
      <w:r>
        <w:rPr>
          <w:spacing w:val="20"/>
          <w:w w:val="102"/>
        </w:rPr>
        <w:t xml:space="preserve"> </w:t>
      </w:r>
      <w:r>
        <w:rPr/>
        <w:t>increase</w:t>
      </w:r>
      <w:r>
        <w:rPr>
          <w:spacing w:val="21"/>
          <w:w w:val="10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antibiotic </w:t>
      </w:r>
      <w:r>
        <w:rPr/>
        <w:t>resistance</w:t>
      </w:r>
      <w:r>
        <w:rPr>
          <w:spacing w:val="1"/>
        </w:rPr>
        <w:t>,</w:t>
      </w:r>
      <w:r>
        <w:rPr/>
        <w:t>the</w:t>
      </w:r>
      <w:r>
        <w:rPr>
          <w:spacing w:val="1"/>
        </w:rPr>
        <w:t xml:space="preserve">  </w:t>
      </w:r>
      <w:r>
        <w:rPr/>
        <w:t>widespread</w:t>
      </w:r>
      <w:r>
        <w:rPr>
          <w:spacing w:val="1"/>
        </w:rPr>
        <w:t xml:space="preserve">  </w:t>
      </w:r>
      <w:r>
        <w:rPr/>
        <w:t>use</w:t>
      </w:r>
      <w:r>
        <w:rPr>
          <w:spacing w:val="1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nonsteroidal</w:t>
      </w:r>
      <w:r>
        <w:rPr>
          <w:spacing w:val="1"/>
        </w:rPr>
        <w:t xml:space="preserve">  </w:t>
      </w:r>
      <w:r>
        <w:rPr/>
        <w:t>anti</w:t>
      </w:r>
      <w:r>
        <w:rPr>
          <w:spacing w:val="1"/>
        </w:rPr>
        <w:t>-</w:t>
      </w:r>
      <w:r>
        <w:rPr/>
        <w:t>inflammatory</w:t>
      </w:r>
      <w:r>
        <w:rPr>
          <w:spacing w:val="1"/>
        </w:rPr>
        <w:t xml:space="preserve">  </w:t>
      </w:r>
      <w:r>
        <w:rPr/>
        <w:t>drugs</w:t>
      </w:r>
      <w:r>
        <w:rPr>
          <w:spacing w:val="1"/>
        </w:rPr>
        <w:t>,</w:t>
      </w:r>
      <w:r>
        <w:rPr/>
        <w:t>and</w:t>
      </w:r>
      <w:r>
        <w:rPr>
          <w:spacing w:val="7"/>
        </w:rPr>
        <w:t xml:space="preserve">  </w:t>
      </w:r>
      <w:r>
        <w:rPr/>
        <w:t>the</w:t>
      </w:r>
      <w:r>
        <w:rPr>
          <w:spacing w:val="6"/>
        </w:rPr>
        <w:t xml:space="preserve">  </w:t>
      </w:r>
      <w:r>
        <w:rPr/>
        <w:t>common</w:t>
      </w:r>
      <w:r>
        <w:rPr>
          <w:spacing w:val="3"/>
        </w:rPr>
        <w:t xml:space="preserve">  </w:t>
      </w:r>
      <w:r>
        <w:rPr/>
        <w:t>use</w:t>
      </w:r>
      <w:r>
        <w:rPr>
          <w:spacing w:val="6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/>
        <w:t>antithrombotic</w:t>
      </w:r>
      <w:r>
        <w:rPr>
          <w:spacing w:val="1"/>
        </w:rPr>
        <w:t xml:space="preserve"> </w:t>
      </w:r>
      <w:r>
        <w:rPr/>
        <w:t>therapy</w:t>
      </w:r>
      <w:r>
        <w:rPr>
          <w:spacing w:val="41"/>
          <w:w w:val="101"/>
        </w:rPr>
        <w:t xml:space="preserve"> </w:t>
      </w:r>
      <w:r>
        <w:rPr/>
        <w:t>in</w:t>
      </w:r>
      <w:r>
        <w:rPr>
          <w:spacing w:val="38"/>
          <w:w w:val="101"/>
        </w:rPr>
        <w:t xml:space="preserve"> </w:t>
      </w:r>
      <w:r>
        <w:rPr/>
        <w:t>the  aging</w:t>
      </w:r>
      <w:r>
        <w:rPr>
          <w:spacing w:val="36"/>
          <w:w w:val="101"/>
        </w:rPr>
        <w:t xml:space="preserve"> </w:t>
      </w:r>
      <w:r>
        <w:rPr/>
        <w:t>population,the  diagnosis  and</w:t>
      </w:r>
      <w:r>
        <w:rPr>
          <w:spacing w:val="38"/>
        </w:rPr>
        <w:t xml:space="preserve"> </w:t>
      </w:r>
      <w:r>
        <w:rPr/>
        <w:t>treatment  of</w:t>
      </w:r>
      <w:r>
        <w:rPr>
          <w:spacing w:val="19"/>
        </w:rPr>
        <w:t xml:space="preserve"> </w:t>
      </w:r>
      <w:r>
        <w:rPr/>
        <w:t>pe</w:t>
      </w:r>
      <w:r>
        <w:rPr>
          <w:spacing w:val="-1"/>
        </w:rPr>
        <w:t>ptic</w:t>
      </w:r>
      <w:r>
        <w:rPr>
          <w:spacing w:val="36"/>
          <w:w w:val="102"/>
        </w:rPr>
        <w:t xml:space="preserve"> </w:t>
      </w:r>
      <w:r>
        <w:rPr>
          <w:spacing w:val="-1"/>
        </w:rPr>
        <w:t>ulcer  are</w:t>
      </w:r>
      <w:r>
        <w:rPr>
          <w:spacing w:val="38"/>
        </w:rPr>
        <w:t xml:space="preserve"> </w:t>
      </w:r>
      <w:r>
        <w:rPr>
          <w:spacing w:val="-1"/>
        </w:rPr>
        <w:t>more  challenging</w:t>
      </w:r>
      <w:r>
        <w:rPr>
          <w:spacing w:val="38"/>
        </w:rPr>
        <w:t xml:space="preserve"> </w:t>
      </w:r>
      <w:r>
        <w:rPr>
          <w:spacing w:val="-1"/>
        </w:rPr>
        <w:t>than  ever.To</w:t>
      </w:r>
      <w:r>
        <w:rPr/>
        <w:t xml:space="preserve"> </w:t>
      </w:r>
      <w:r>
        <w:rPr/>
        <w:t>further</w:t>
      </w:r>
      <w:r>
        <w:rPr>
          <w:spacing w:val="13"/>
        </w:rPr>
        <w:t xml:space="preserve">  </w:t>
      </w:r>
      <w:r>
        <w:rPr/>
        <w:t>explore</w:t>
      </w:r>
      <w:r>
        <w:rPr>
          <w:spacing w:val="13"/>
          <w:w w:val="101"/>
        </w:rPr>
        <w:t xml:space="preserve">  </w:t>
      </w:r>
      <w:r>
        <w:rPr/>
        <w:t>a</w:t>
      </w:r>
      <w:r>
        <w:rPr>
          <w:spacing w:val="10"/>
          <w:w w:val="102"/>
        </w:rPr>
        <w:t xml:space="preserve">  </w:t>
      </w:r>
      <w:r>
        <w:rPr/>
        <w:t>new</w:t>
      </w:r>
      <w:r>
        <w:rPr>
          <w:spacing w:val="11"/>
        </w:rPr>
        <w:t xml:space="preserve">  </w:t>
      </w:r>
      <w:r>
        <w:rPr/>
        <w:t>model</w:t>
      </w:r>
      <w:r>
        <w:rPr>
          <w:spacing w:val="13"/>
        </w:rPr>
        <w:t xml:space="preserve">  </w:t>
      </w:r>
      <w:r>
        <w:rPr/>
        <w:t>of  diagnosis</w:t>
      </w:r>
      <w:r>
        <w:rPr>
          <w:spacing w:val="13"/>
          <w:w w:val="101"/>
        </w:rPr>
        <w:t xml:space="preserve">  </w:t>
      </w:r>
      <w:r>
        <w:rPr/>
        <w:t>and</w:t>
      </w:r>
      <w:r>
        <w:rPr>
          <w:spacing w:val="11"/>
        </w:rPr>
        <w:t xml:space="preserve">  </w:t>
      </w:r>
      <w:r>
        <w:rPr/>
        <w:t>treatment</w:t>
      </w:r>
      <w:r>
        <w:rPr>
          <w:spacing w:val="13"/>
        </w:rPr>
        <w:t xml:space="preserve">  </w:t>
      </w:r>
      <w:r>
        <w:rPr/>
        <w:t>of  peptic  ulcer   in   accordance</w:t>
      </w:r>
      <w:r>
        <w:rPr>
          <w:spacing w:val="10"/>
          <w:w w:val="102"/>
        </w:rPr>
        <w:t xml:space="preserve">  </w:t>
      </w:r>
      <w:r>
        <w:rPr/>
        <w:t>wi</w:t>
      </w:r>
      <w:r>
        <w:rPr>
          <w:spacing w:val="-1"/>
        </w:rPr>
        <w:t>th</w:t>
      </w:r>
      <w:r>
        <w:rPr>
          <w:spacing w:val="13"/>
        </w:rPr>
        <w:t xml:space="preserve">  </w:t>
      </w:r>
      <w:r>
        <w:rPr>
          <w:spacing w:val="-1"/>
        </w:rPr>
        <w:t>our  national</w:t>
      </w:r>
      <w:r>
        <w:rPr/>
        <w:t xml:space="preserve"> </w:t>
      </w:r>
      <w:r>
        <w:rPr/>
        <w:t>conditions,the</w:t>
      </w:r>
      <w:r>
        <w:rPr>
          <w:spacing w:val="29"/>
        </w:rPr>
        <w:t xml:space="preserve"> </w:t>
      </w:r>
      <w:r>
        <w:rPr/>
        <w:t>Editorial</w:t>
      </w:r>
      <w:r>
        <w:rPr>
          <w:spacing w:val="28"/>
          <w:w w:val="101"/>
        </w:rPr>
        <w:t xml:space="preserve"> </w:t>
      </w:r>
      <w:r>
        <w:rPr/>
        <w:t>Board</w:t>
      </w:r>
      <w:r>
        <w:rPr>
          <w:spacing w:val="31"/>
        </w:rPr>
        <w:t xml:space="preserve"> </w:t>
      </w:r>
      <w:r>
        <w:rPr/>
        <w:t>of</w:t>
      </w:r>
      <w:r>
        <w:rPr>
          <w:spacing w:val="14"/>
          <w:w w:val="101"/>
        </w:rPr>
        <w:t xml:space="preserve"> </w:t>
      </w:r>
      <w:r>
        <w:rPr/>
        <w:t>Chinese</w:t>
      </w:r>
      <w:r>
        <w:rPr>
          <w:spacing w:val="29"/>
        </w:rPr>
        <w:t xml:space="preserve"> </w:t>
      </w:r>
      <w:r>
        <w:rPr/>
        <w:t>Journal</w:t>
      </w:r>
      <w:r>
        <w:rPr>
          <w:spacing w:val="31"/>
          <w:w w:val="10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D</w:t>
      </w:r>
      <w:r>
        <w:rPr>
          <w:spacing w:val="-1"/>
        </w:rPr>
        <w:t>igestion</w:t>
      </w:r>
      <w:r>
        <w:rPr>
          <w:spacing w:val="31"/>
          <w:w w:val="101"/>
        </w:rPr>
        <w:t xml:space="preserve"> </w:t>
      </w:r>
      <w:r>
        <w:rPr>
          <w:spacing w:val="-1"/>
        </w:rPr>
        <w:t>organized</w:t>
      </w:r>
      <w:r>
        <w:rPr>
          <w:spacing w:val="31"/>
          <w:w w:val="101"/>
        </w:rPr>
        <w:t xml:space="preserve"> </w:t>
      </w:r>
      <w:r>
        <w:rPr>
          <w:spacing w:val="-1"/>
        </w:rPr>
        <w:t>an</w:t>
      </w:r>
      <w:r>
        <w:rPr>
          <w:spacing w:val="32"/>
        </w:rPr>
        <w:t xml:space="preserve"> </w:t>
      </w:r>
      <w:r>
        <w:rPr>
          <w:spacing w:val="-1"/>
        </w:rPr>
        <w:t>expert</w:t>
      </w:r>
      <w:r>
        <w:rPr>
          <w:spacing w:val="31"/>
        </w:rPr>
        <w:t xml:space="preserve"> </w:t>
      </w:r>
      <w:r>
        <w:rPr>
          <w:spacing w:val="-1"/>
        </w:rPr>
        <w:t>committee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31"/>
          <w:w w:val="101"/>
        </w:rPr>
        <w:t xml:space="preserve"> </w:t>
      </w:r>
      <w:r>
        <w:rPr>
          <w:spacing w:val="-1"/>
        </w:rPr>
        <w:t>develop</w:t>
      </w:r>
      <w:r>
        <w:rPr>
          <w:spacing w:val="31"/>
          <w:w w:val="101"/>
        </w:rPr>
        <w:t xml:space="preserve"> </w:t>
      </w:r>
      <w:r>
        <w:rPr>
          <w:spacing w:val="-1"/>
        </w:rPr>
        <w:t>a</w:t>
      </w:r>
      <w:r>
        <w:rPr>
          <w:spacing w:val="26"/>
          <w:w w:val="102"/>
        </w:rPr>
        <w:t xml:space="preserve"> </w:t>
      </w:r>
      <w:r>
        <w:rPr>
          <w:spacing w:val="-1"/>
        </w:rPr>
        <w:t>new</w:t>
      </w:r>
      <w:r>
        <w:rPr/>
        <w:t xml:space="preserve"> </w:t>
      </w:r>
      <w:r>
        <w:rPr/>
        <w:t>version</w:t>
      </w:r>
      <w:r>
        <w:rPr>
          <w:spacing w:val="19"/>
        </w:rPr>
        <w:t xml:space="preserve">  </w:t>
      </w:r>
      <w:r>
        <w:rPr/>
        <w:t>of  the   consensus   based</w:t>
      </w:r>
      <w:r>
        <w:rPr>
          <w:spacing w:val="19"/>
        </w:rPr>
        <w:t xml:space="preserve">  </w:t>
      </w:r>
      <w:r>
        <w:rPr/>
        <w:t>on   Standardized</w:t>
      </w:r>
      <w:r>
        <w:rPr>
          <w:spacing w:val="19"/>
        </w:rPr>
        <w:t xml:space="preserve">  </w:t>
      </w:r>
      <w:r>
        <w:rPr/>
        <w:t>diagnosis   and</w:t>
      </w:r>
      <w:r>
        <w:rPr>
          <w:spacing w:val="16"/>
          <w:w w:val="102"/>
        </w:rPr>
        <w:t xml:space="preserve">  </w:t>
      </w:r>
      <w:r>
        <w:rPr/>
        <w:t>treatment</w:t>
      </w:r>
      <w:r>
        <w:rPr>
          <w:spacing w:val="18"/>
          <w:w w:val="102"/>
        </w:rPr>
        <w:t xml:space="preserve">  </w:t>
      </w:r>
      <w:r>
        <w:rPr/>
        <w:t>of  peptic   ulc</w:t>
      </w:r>
      <w:r>
        <w:rPr>
          <w:spacing w:val="-1"/>
        </w:rPr>
        <w:t>er(2016,Xi'an).The</w:t>
      </w:r>
      <w:r>
        <w:rPr/>
        <w:t xml:space="preserve"> </w:t>
      </w:r>
      <w:r>
        <w:rPr/>
        <w:t>consensus    has      30     statements,divided     into     9     parts,coveri</w:t>
      </w:r>
      <w:r>
        <w:rPr>
          <w:spacing w:val="-1"/>
        </w:rPr>
        <w:t>ng     the     definition,clinical     manifestations,</w:t>
      </w:r>
      <w:r>
        <w:rPr/>
        <w:t xml:space="preserve"> </w:t>
      </w:r>
      <w:r>
        <w:rPr/>
        <w:t>phamacological</w:t>
      </w:r>
      <w:r>
        <w:rPr>
          <w:spacing w:val="16"/>
          <w:w w:val="101"/>
        </w:rPr>
        <w:t xml:space="preserve">  </w:t>
      </w:r>
      <w:r>
        <w:rPr/>
        <w:t>treatment</w:t>
      </w:r>
      <w:r>
        <w:rPr>
          <w:spacing w:val="2"/>
        </w:rPr>
        <w:t>,</w:t>
      </w:r>
      <w:r>
        <w:rPr/>
        <w:t>treatment</w:t>
      </w:r>
      <w:r>
        <w:rPr>
          <w:spacing w:val="17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complicaions</w:t>
      </w:r>
      <w:r>
        <w:rPr>
          <w:spacing w:val="2"/>
        </w:rPr>
        <w:t>,</w:t>
      </w:r>
      <w:r>
        <w:rPr/>
        <w:t>and</w:t>
      </w:r>
      <w:r>
        <w:rPr>
          <w:spacing w:val="2"/>
        </w:rPr>
        <w:t xml:space="preserve">   </w:t>
      </w:r>
      <w:r>
        <w:rPr/>
        <w:t>prevention</w:t>
      </w:r>
      <w:r>
        <w:rPr>
          <w:spacing w:val="17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peptic</w:t>
      </w:r>
      <w:r>
        <w:rPr>
          <w:spacing w:val="14"/>
          <w:w w:val="101"/>
        </w:rPr>
        <w:t xml:space="preserve">  </w:t>
      </w:r>
      <w:r>
        <w:rPr/>
        <w:t>ulcer</w:t>
      </w:r>
      <w:r>
        <w:rPr>
          <w:spacing w:val="2"/>
        </w:rPr>
        <w:t>.</w:t>
      </w:r>
    </w:p>
    <w:p>
      <w:pPr>
        <w:pStyle w:val="BodyText"/>
        <w:ind w:left="287"/>
        <w:spacing w:before="27" w:line="212" w:lineRule="auto"/>
        <w:rPr/>
      </w:pPr>
      <w:r>
        <w:rPr>
          <w:rFonts w:ascii="SimSun" w:hAnsi="SimSun" w:eastAsia="SimSun" w:cs="SimSun"/>
          <w:b/>
          <w:bCs/>
        </w:rPr>
        <w:t>【</w:t>
      </w:r>
      <w:r>
        <w:rPr>
          <w:b/>
          <w:bCs/>
        </w:rPr>
        <w:t>Key  words</w:t>
      </w:r>
      <w:r>
        <w:rPr>
          <w:rFonts w:ascii="SimSun" w:hAnsi="SimSun" w:eastAsia="SimSun" w:cs="SimSun"/>
          <w:b/>
          <w:bCs/>
        </w:rPr>
        <w:t>】</w:t>
      </w:r>
      <w:r>
        <w:rPr>
          <w:rFonts w:ascii="SimSun" w:hAnsi="SimSun" w:eastAsia="SimSun" w:cs="SimSun"/>
          <w:spacing w:val="32"/>
        </w:rPr>
        <w:t xml:space="preserve"> </w:t>
      </w:r>
      <w:r>
        <w:rPr/>
        <w:t>Peptic         ulcer;Consensus;Diagnosis;Tre</w:t>
      </w:r>
      <w:r>
        <w:rPr>
          <w:spacing w:val="-1"/>
        </w:rPr>
        <w:t>atment</w:t>
      </w:r>
    </w:p>
    <w:p>
      <w:pPr>
        <w:pStyle w:val="BodyText"/>
        <w:ind w:left="370"/>
        <w:spacing w:before="131" w:line="192" w:lineRule="auto"/>
        <w:rPr/>
      </w:pPr>
      <w:r>
        <w:rPr/>
        <w:t>DOI:10.3760/cma.j.cn311367-20230115-</w:t>
      </w:r>
      <w:r>
        <w:rPr>
          <w:spacing w:val="-1"/>
        </w:rPr>
        <w:t>00022</w:t>
      </w:r>
    </w:p>
    <w:p>
      <w:pPr>
        <w:spacing w:before="103"/>
        <w:rPr/>
      </w:pPr>
      <w:r/>
    </w:p>
    <w:p>
      <w:pPr>
        <w:sectPr>
          <w:pgSz w:w="10720" w:h="15880"/>
          <w:pgMar w:top="504" w:right="564" w:bottom="0" w:left="499" w:header="0" w:footer="0" w:gutter="0"/>
          <w:cols w:equalWidth="0" w:num="1">
            <w:col w:w="9656" w:space="0"/>
          </w:cols>
        </w:sectPr>
        <w:rPr/>
      </w:pPr>
    </w:p>
    <w:p>
      <w:pPr>
        <w:pStyle w:val="BodyText"/>
        <w:ind w:right="302" w:firstLine="440"/>
        <w:spacing w:before="75" w:line="24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pacing w:val="-5"/>
        </w:rPr>
        <w:t>消</w:t>
      </w:r>
      <w:r>
        <w:rPr>
          <w:rFonts w:ascii="SimSun" w:hAnsi="SimSun" w:eastAsia="SimSun" w:cs="SimSun"/>
          <w:spacing w:val="-7"/>
        </w:rPr>
        <w:t xml:space="preserve"> </w:t>
      </w:r>
      <w:r>
        <w:rPr>
          <w:rFonts w:ascii="SimSun" w:hAnsi="SimSun" w:eastAsia="SimSun" w:cs="SimSun"/>
          <w:spacing w:val="-5"/>
        </w:rPr>
        <w:t>化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rFonts w:ascii="SimSun" w:hAnsi="SimSun" w:eastAsia="SimSun" w:cs="SimSun"/>
          <w:spacing w:val="-5"/>
        </w:rPr>
        <w:t>性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rFonts w:ascii="SimSun" w:hAnsi="SimSun" w:eastAsia="SimSun" w:cs="SimSun"/>
          <w:spacing w:val="-5"/>
        </w:rPr>
        <w:t>溃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SimSun" w:hAnsi="SimSun" w:eastAsia="SimSun" w:cs="SimSun"/>
          <w:spacing w:val="-5"/>
        </w:rPr>
        <w:t>疡</w:t>
      </w:r>
      <w:r>
        <w:rPr>
          <w:spacing w:val="-5"/>
        </w:rPr>
        <w:t>(peptic</w:t>
      </w:r>
      <w:r>
        <w:rPr>
          <w:spacing w:val="1"/>
        </w:rPr>
        <w:t xml:space="preserve">           </w:t>
      </w:r>
      <w:r>
        <w:rPr>
          <w:spacing w:val="-5"/>
        </w:rPr>
        <w:t>ulcer,PU)</w:t>
      </w:r>
      <w:r>
        <w:rPr>
          <w:rFonts w:ascii="SimSun" w:hAnsi="SimSun" w:eastAsia="SimSun" w:cs="SimSun"/>
          <w:spacing w:val="-5"/>
        </w:rPr>
        <w:t>作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rFonts w:ascii="SimSun" w:hAnsi="SimSun" w:eastAsia="SimSun" w:cs="SimSun"/>
          <w:spacing w:val="-5"/>
        </w:rPr>
        <w:t>为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rFonts w:ascii="SimSun" w:hAnsi="SimSun" w:eastAsia="SimSun" w:cs="SimSun"/>
          <w:spacing w:val="-5"/>
        </w:rPr>
        <w:t>一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SimSun" w:hAnsi="SimSun" w:eastAsia="SimSun" w:cs="SimSun"/>
          <w:spacing w:val="-5"/>
        </w:rPr>
        <w:t>种 常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rFonts w:ascii="SimSun" w:hAnsi="SimSun" w:eastAsia="SimSun" w:cs="SimSun"/>
          <w:spacing w:val="-5"/>
        </w:rPr>
        <w:t>见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rFonts w:ascii="SimSun" w:hAnsi="SimSun" w:eastAsia="SimSun" w:cs="SimSun"/>
          <w:spacing w:val="-5"/>
        </w:rPr>
        <w:t>疾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病在普通人群中的终身患病率为5%～10%,年发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病率为0.1%～0.3%[1。2008年中华消化杂志编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"/>
        <w:spacing w:before="41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委会制定了基于循证医学证据的《消化性溃疡病诊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断与治疗规范建议(2008,黄山)》2],并分别于2013</w:t>
      </w:r>
    </w:p>
    <w:p>
      <w:pPr>
        <w:spacing w:before="5" w:line="184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和2016年先后进行了2次修订[34]。虽然已实施幽</w:t>
      </w:r>
    </w:p>
    <w:p>
      <w:pPr>
        <w:spacing w:line="184" w:lineRule="auto"/>
        <w:sectPr>
          <w:type w:val="continuous"/>
          <w:pgSz w:w="10720" w:h="15880"/>
          <w:pgMar w:top="504" w:right="564" w:bottom="0" w:left="499" w:header="0" w:footer="0" w:gutter="0"/>
          <w:cols w:equalWidth="0" w:num="2">
            <w:col w:w="4941" w:space="100"/>
            <w:col w:w="461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before="48" w:line="222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-9"/>
        </w:rPr>
        <w:t>中华消化杂志</w:t>
      </w:r>
      <w:r>
        <w:rPr>
          <w:sz w:val="20"/>
          <w:szCs w:val="20"/>
          <w:u w:val="single" w:color="auto"/>
          <w:spacing w:val="-9"/>
        </w:rPr>
        <w:t>2023</w:t>
      </w:r>
      <w:r>
        <w:rPr>
          <w:rFonts w:ascii="SimSun" w:hAnsi="SimSun" w:eastAsia="SimSun" w:cs="SimSun"/>
          <w:sz w:val="20"/>
          <w:szCs w:val="20"/>
          <w:u w:val="single" w:color="auto"/>
          <w:spacing w:val="-9"/>
        </w:rPr>
        <w:t>年</w:t>
      </w:r>
      <w:r>
        <w:rPr>
          <w:sz w:val="20"/>
          <w:szCs w:val="20"/>
          <w:u w:val="single" w:color="auto"/>
          <w:spacing w:val="-9"/>
        </w:rPr>
        <w:t>3</w:t>
      </w:r>
      <w:r>
        <w:rPr>
          <w:rFonts w:ascii="SimSun" w:hAnsi="SimSun" w:eastAsia="SimSun" w:cs="SimSun"/>
          <w:sz w:val="20"/>
          <w:szCs w:val="20"/>
          <w:u w:val="single" w:color="auto"/>
          <w:spacing w:val="-9"/>
        </w:rPr>
        <w:t>月第</w:t>
      </w:r>
      <w:r>
        <w:rPr>
          <w:sz w:val="20"/>
          <w:szCs w:val="20"/>
          <w:u w:val="single" w:color="auto"/>
          <w:spacing w:val="-9"/>
        </w:rPr>
        <w:t>43</w:t>
      </w:r>
      <w:r>
        <w:rPr>
          <w:rFonts w:ascii="SimSun" w:hAnsi="SimSun" w:eastAsia="SimSun" w:cs="SimSun"/>
          <w:sz w:val="20"/>
          <w:szCs w:val="20"/>
          <w:u w:val="single" w:color="auto"/>
          <w:spacing w:val="-9"/>
        </w:rPr>
        <w:t>卷第</w:t>
      </w:r>
      <w:r>
        <w:rPr>
          <w:sz w:val="20"/>
          <w:szCs w:val="20"/>
          <w:u w:val="single" w:color="auto"/>
          <w:spacing w:val="-9"/>
        </w:rPr>
        <w:t>3</w:t>
      </w:r>
      <w:r>
        <w:rPr>
          <w:rFonts w:ascii="SimSun" w:hAnsi="SimSun" w:eastAsia="SimSun" w:cs="SimSun"/>
          <w:sz w:val="20"/>
          <w:szCs w:val="20"/>
          <w:u w:val="single" w:color="auto"/>
          <w:spacing w:val="-9"/>
        </w:rPr>
        <w:t>期</w:t>
      </w:r>
      <w:r>
        <w:rPr>
          <w:sz w:val="20"/>
          <w:szCs w:val="20"/>
          <w:u w:val="single" w:color="auto"/>
          <w:spacing w:val="-9"/>
        </w:rPr>
        <w:t>Chin J Dig,March 20</w:t>
      </w:r>
      <w:r>
        <w:rPr>
          <w:sz w:val="20"/>
          <w:szCs w:val="20"/>
          <w:u w:val="single" w:color="auto"/>
          <w:spacing w:val="-10"/>
        </w:rPr>
        <w:t>23,Vol.43,No.3</w:t>
      </w:r>
      <w:r>
        <w:rPr>
          <w:sz w:val="20"/>
          <w:szCs w:val="20"/>
        </w:rPr>
        <w:t xml:space="preserve">                                                              </w:t>
      </w:r>
      <w:r>
        <w:rPr>
          <w:rFonts w:ascii="SimSun" w:hAnsi="SimSun" w:eastAsia="SimSun" w:cs="SimSun"/>
          <w:sz w:val="20"/>
          <w:szCs w:val="20"/>
          <w:spacing w:val="-10"/>
          <w:position w:val="-6"/>
        </w:rPr>
        <w:t>— </w:t>
      </w:r>
      <w:r>
        <w:rPr>
          <w:sz w:val="20"/>
          <w:szCs w:val="20"/>
          <w:spacing w:val="-10"/>
          <w:position w:val="-6"/>
        </w:rPr>
        <w:t>177</w:t>
      </w:r>
      <w:r>
        <w:rPr>
          <w:sz w:val="20"/>
          <w:szCs w:val="20"/>
          <w:u w:val="dotted" w:color="auto"/>
          <w:spacing w:val="-10"/>
          <w:position w:val="-6"/>
        </w:rPr>
        <w:t xml:space="preserve">     </w:t>
      </w:r>
    </w:p>
    <w:p>
      <w:pPr>
        <w:spacing w:before="25"/>
        <w:rPr/>
      </w:pPr>
      <w:r/>
    </w:p>
    <w:p>
      <w:pPr>
        <w:sectPr>
          <w:pgSz w:w="10720" w:h="15880"/>
          <w:pgMar w:top="466" w:right="454" w:bottom="0" w:left="499" w:header="0" w:footer="0" w:gutter="0"/>
          <w:cols w:equalWidth="0" w:num="1">
            <w:col w:w="9766" w:space="0"/>
          </w:cols>
        </w:sectPr>
        <w:rPr/>
      </w:pPr>
    </w:p>
    <w:p>
      <w:pPr>
        <w:pStyle w:val="BodyText"/>
        <w:ind w:right="230"/>
        <w:spacing w:before="43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门螺杆菌</w:t>
      </w:r>
      <w:r>
        <w:rPr>
          <w:sz w:val="20"/>
          <w:szCs w:val="20"/>
          <w:spacing w:val="14"/>
        </w:rPr>
        <w:t>(</w:t>
      </w:r>
      <w:r>
        <w:rPr>
          <w:sz w:val="20"/>
          <w:szCs w:val="20"/>
        </w:rPr>
        <w:t>Helicobacter</w:t>
      </w:r>
      <w:r>
        <w:rPr>
          <w:sz w:val="20"/>
          <w:szCs w:val="20"/>
          <w:spacing w:val="1"/>
        </w:rPr>
        <w:t xml:space="preserve">     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14"/>
        </w:rPr>
        <w:t>,H.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14"/>
        </w:rPr>
        <w:t>)</w:t>
      </w:r>
      <w:r>
        <w:rPr>
          <w:rFonts w:ascii="SimSun" w:hAnsi="SimSun" w:eastAsia="SimSun" w:cs="SimSun"/>
          <w:sz w:val="20"/>
          <w:szCs w:val="20"/>
          <w:spacing w:val="14"/>
        </w:rPr>
        <w:t>根除治疗策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1"/>
        </w:rPr>
        <w:t>略多年[</w:t>
      </w:r>
      <w:r>
        <w:rPr>
          <w:rFonts w:ascii="Calibri" w:hAnsi="Calibri" w:eastAsia="Calibri" w:cs="Calibri"/>
          <w:sz w:val="20"/>
          <w:szCs w:val="20"/>
          <w:spacing w:val="11"/>
        </w:rPr>
        <w:t>⁵</w:t>
      </w:r>
      <w:r>
        <w:rPr>
          <w:rFonts w:ascii="SimSun" w:hAnsi="SimSun" w:eastAsia="SimSun" w:cs="SimSun"/>
          <w:sz w:val="20"/>
          <w:szCs w:val="20"/>
          <w:spacing w:val="11"/>
        </w:rPr>
        <w:t>,目前经内镜诊断的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PU</w:t>
      </w:r>
      <w:r>
        <w:rPr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患病率逐渐降低，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但全球范围内</w:t>
      </w:r>
      <w:r>
        <w:rPr>
          <w:sz w:val="20"/>
          <w:szCs w:val="20"/>
          <w:spacing w:val="4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抗生素耐药逐渐增加，非甾体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抗炎药</w:t>
      </w:r>
      <w:r>
        <w:rPr>
          <w:sz w:val="20"/>
          <w:szCs w:val="20"/>
          <w:spacing w:val="3"/>
        </w:rPr>
        <w:t>(</w:t>
      </w:r>
      <w:r>
        <w:rPr>
          <w:sz w:val="20"/>
          <w:szCs w:val="20"/>
        </w:rPr>
        <w:t>nonsteroidal</w:t>
      </w:r>
      <w:r>
        <w:rPr>
          <w:sz w:val="20"/>
          <w:szCs w:val="20"/>
          <w:spacing w:val="3"/>
        </w:rPr>
        <w:t xml:space="preserve">   </w:t>
      </w:r>
      <w:r>
        <w:rPr>
          <w:sz w:val="20"/>
          <w:szCs w:val="20"/>
        </w:rPr>
        <w:t>anti</w:t>
      </w:r>
      <w:r>
        <w:rPr>
          <w:sz w:val="20"/>
          <w:szCs w:val="20"/>
          <w:spacing w:val="3"/>
        </w:rPr>
        <w:t>-</w:t>
      </w:r>
      <w:r>
        <w:rPr>
          <w:sz w:val="20"/>
          <w:szCs w:val="20"/>
        </w:rPr>
        <w:t>inflammatory</w:t>
      </w:r>
      <w:r>
        <w:rPr>
          <w:sz w:val="20"/>
          <w:szCs w:val="20"/>
          <w:spacing w:val="3"/>
        </w:rPr>
        <w:t xml:space="preserve">    </w:t>
      </w:r>
      <w:r>
        <w:rPr>
          <w:sz w:val="20"/>
          <w:szCs w:val="20"/>
        </w:rPr>
        <w:t>drug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</w:rPr>
        <w:t>NSAID</w:t>
      </w:r>
      <w:r>
        <w:rPr>
          <w:sz w:val="20"/>
          <w:szCs w:val="20"/>
          <w:spacing w:val="3"/>
        </w:rPr>
        <w:t>)   </w:t>
      </w:r>
      <w:r>
        <w:rPr>
          <w:rFonts w:ascii="SimSun" w:hAnsi="SimSun" w:eastAsia="SimSun" w:cs="SimSun"/>
          <w:sz w:val="20"/>
          <w:szCs w:val="20"/>
          <w:spacing w:val="9"/>
        </w:rPr>
        <w:t>的广泛使用，以及老龄化人口中常见的抗血栓治疗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等，均使</w:t>
      </w:r>
      <w:r>
        <w:rPr>
          <w:sz w:val="20"/>
          <w:szCs w:val="20"/>
        </w:rPr>
        <w:t>PU</w:t>
      </w:r>
      <w:r>
        <w:rPr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的诊治较以往更具挑战。为进一步提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高我国</w:t>
      </w:r>
      <w:r>
        <w:rPr>
          <w:sz w:val="20"/>
          <w:szCs w:val="20"/>
        </w:rPr>
        <w:t>PU</w:t>
      </w:r>
      <w:r>
        <w:rPr>
          <w:sz w:val="20"/>
          <w:szCs w:val="20"/>
          <w:spacing w:val="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诊疗水平，改善不同地区发展不均和诊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疗水平不一的现状，探索符合我国国情的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</w:rPr>
        <w:t>PU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诊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断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与治疗新模式，中华消化杂志编委会对近年来相关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研究进行了总结，在《消化性溃疡诊断与治疗规范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(2016年，西安)》[4的基础上，结合我国实际</w:t>
      </w:r>
      <w:r>
        <w:rPr>
          <w:rFonts w:ascii="SimSun" w:hAnsi="SimSun" w:eastAsia="SimSun" w:cs="SimSun"/>
          <w:sz w:val="20"/>
          <w:szCs w:val="20"/>
          <w:spacing w:val="2"/>
        </w:rPr>
        <w:t>情况，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制定本共识。</w:t>
      </w:r>
    </w:p>
    <w:p>
      <w:pPr>
        <w:pStyle w:val="BodyText"/>
        <w:ind w:right="299" w:firstLine="440"/>
        <w:spacing w:before="86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1612781</wp:posOffset>
            </wp:positionH>
            <wp:positionV relativeFrom="paragraph">
              <wp:posOffset>6514</wp:posOffset>
            </wp:positionV>
            <wp:extent cx="2883118" cy="275590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3118" cy="2755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20"/>
        </w:rPr>
        <w:t>本共识基于“推荐等级的评估、制定与评价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(grading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</w:rPr>
        <w:t>of  recommendations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assessment,developme</w:t>
      </w:r>
      <w:r>
        <w:rPr>
          <w:sz w:val="20"/>
          <w:szCs w:val="20"/>
          <w:spacing w:val="-1"/>
        </w:rPr>
        <w:t>nt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and</w:t>
      </w:r>
      <w:r>
        <w:rPr>
          <w:sz w:val="20"/>
          <w:szCs w:val="20"/>
          <w:spacing w:val="2"/>
        </w:rPr>
        <w:t xml:space="preserve">     </w:t>
      </w:r>
      <w:r>
        <w:rPr>
          <w:sz w:val="20"/>
          <w:szCs w:val="20"/>
        </w:rPr>
        <w:t>evaluation</w:t>
      </w:r>
      <w:r>
        <w:rPr>
          <w:sz w:val="20"/>
          <w:szCs w:val="20"/>
          <w:spacing w:val="2"/>
        </w:rPr>
        <w:t>;</w:t>
      </w:r>
      <w:r>
        <w:rPr>
          <w:sz w:val="20"/>
          <w:szCs w:val="20"/>
        </w:rPr>
        <w:t>GRADE</w:t>
      </w:r>
      <w:r>
        <w:rPr>
          <w:sz w:val="20"/>
          <w:szCs w:val="20"/>
          <w:spacing w:val="2"/>
        </w:rPr>
        <w:t>)</w:t>
      </w:r>
      <w:r>
        <w:rPr>
          <w:rFonts w:ascii="SimSun" w:hAnsi="SimSun" w:eastAsia="SimSun" w:cs="SimSun"/>
          <w:sz w:val="20"/>
          <w:szCs w:val="20"/>
          <w:spacing w:val="2"/>
        </w:rPr>
        <w:t>系统”评估证据质量和推荐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强度。证据质量分为高</w:t>
      </w:r>
      <w:r>
        <w:rPr>
          <w:sz w:val="20"/>
          <w:szCs w:val="20"/>
          <w:spacing w:val="1"/>
        </w:rPr>
        <w:t>(A)</w:t>
      </w:r>
      <w:r>
        <w:rPr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中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等</w:t>
      </w:r>
      <w:r>
        <w:rPr>
          <w:sz w:val="20"/>
          <w:szCs w:val="20"/>
          <w:spacing w:val="1"/>
        </w:rPr>
        <w:t>(B)</w:t>
      </w:r>
      <w:r>
        <w:rPr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、低</w:t>
      </w:r>
      <w:r>
        <w:rPr>
          <w:sz w:val="20"/>
          <w:szCs w:val="20"/>
          <w:spacing w:val="1"/>
        </w:rPr>
        <w:t>(C)</w:t>
      </w:r>
      <w:r>
        <w:rPr>
          <w:sz w:val="20"/>
          <w:szCs w:val="20"/>
          <w:spacing w:val="1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和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低</w:t>
      </w:r>
      <w:r>
        <w:rPr>
          <w:sz w:val="20"/>
          <w:szCs w:val="20"/>
          <w:spacing w:val="6"/>
        </w:rPr>
        <w:t>(D)4   </w:t>
      </w:r>
      <w:r>
        <w:rPr>
          <w:rFonts w:ascii="SimSun" w:hAnsi="SimSun" w:eastAsia="SimSun" w:cs="SimSun"/>
          <w:sz w:val="20"/>
          <w:szCs w:val="20"/>
          <w:spacing w:val="6"/>
        </w:rPr>
        <w:t>个等级[</w:t>
      </w:r>
      <w:r>
        <w:rPr>
          <w:rFonts w:ascii="Calibri" w:hAnsi="Calibri" w:eastAsia="Calibri" w:cs="Calibri"/>
          <w:sz w:val="20"/>
          <w:szCs w:val="20"/>
          <w:spacing w:val="6"/>
        </w:rPr>
        <w:t>⁶</w:t>
      </w:r>
      <w:r>
        <w:rPr>
          <w:rFonts w:ascii="SimSun" w:hAnsi="SimSun" w:eastAsia="SimSun" w:cs="SimSun"/>
          <w:sz w:val="20"/>
          <w:szCs w:val="20"/>
          <w:spacing w:val="6"/>
        </w:rPr>
        <w:t>-7]。高质量指确信真实效果与预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估效果接近；中等质量指对预估效果有一定信心，真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实效果可能接近估计效果，但两者也可能有很大不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同；低质量指对预估效果信心有限，真实效果与预估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效果可能有很大不同；极低质量指对预估效果缺乏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信心，且真实效果与预估效果可能会有很大差异。</w:t>
      </w:r>
    </w:p>
    <w:p>
      <w:pPr>
        <w:pStyle w:val="BodyText"/>
        <w:ind w:right="229" w:firstLine="440"/>
        <w:spacing w:before="1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共识制订过程：采用德尔菲</w:t>
      </w:r>
      <w:r>
        <w:rPr>
          <w:sz w:val="20"/>
          <w:szCs w:val="20"/>
          <w:spacing w:val="9"/>
        </w:rPr>
        <w:t>(</w:t>
      </w:r>
      <w:r>
        <w:rPr>
          <w:sz w:val="20"/>
          <w:szCs w:val="20"/>
        </w:rPr>
        <w:t>Delphi</w:t>
      </w:r>
      <w:r>
        <w:rPr>
          <w:sz w:val="20"/>
          <w:szCs w:val="20"/>
          <w:spacing w:val="9"/>
        </w:rPr>
        <w:t>)</w:t>
      </w:r>
      <w:r>
        <w:rPr>
          <w:sz w:val="20"/>
          <w:szCs w:val="20"/>
          <w:spacing w:val="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法达成相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关陈述的共识。各专家组成员收到以电子邮件形式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发送的共识草案后，进行审阅并提出修改意见，通过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多轮反复征询相关专家意见后，构建初步达成共识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6"/>
        </w:rPr>
        <w:t>的陈述。2022年11月23日，参会专家在共识讨论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会上对陈述条款进行逐条认真讨论、必要修改和最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终表决。最终表决应用电子系统采用无记名投票的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方式进行，表决意见分为5级：①完全同意；②保留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同意；③不确定；④不同意；⑤完全不同意。表决意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6"/>
        </w:rPr>
        <w:t>见①+②占比&gt;80%,该条款获得通过，推荐强度为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2"/>
        </w:rPr>
        <w:t>强推荐；表决意见①+②占比≤80%,该条款暂不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予通过，需要讨论、修改和再投票；若第2次投票表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7"/>
        </w:rPr>
        <w:t>决意见①+②占比&gt;80%,该条款获得通过，推荐强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度为弱推荐；如果该条款始终无法通过，则由专家组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协商决定去除或暂时搁置。修订后的共识初稿经专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家组所有成员现场讨论并针对推荐意见逐条投票， </w:t>
      </w:r>
      <w:r>
        <w:rPr>
          <w:rFonts w:ascii="SimSun" w:hAnsi="SimSun" w:eastAsia="SimSun" w:cs="SimSun"/>
          <w:sz w:val="20"/>
          <w:szCs w:val="20"/>
          <w:spacing w:val="8"/>
        </w:rPr>
        <w:t>最终通过的推荐意见被纳入本共识。</w:t>
      </w:r>
    </w:p>
    <w:p>
      <w:pPr>
        <w:ind w:right="303" w:firstLine="440"/>
        <w:spacing w:before="104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本共识针对九大类临床关注的问题，提出了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30条推荐意见，并对推荐意见的证据进行了</w:t>
      </w:r>
      <w:r>
        <w:rPr>
          <w:rFonts w:ascii="SimSun" w:hAnsi="SimSun" w:eastAsia="SimSun" w:cs="SimSun"/>
          <w:sz w:val="20"/>
          <w:szCs w:val="20"/>
          <w:spacing w:val="6"/>
        </w:rPr>
        <w:t>阐述。</w:t>
      </w:r>
    </w:p>
    <w:p>
      <w:pPr>
        <w:pStyle w:val="BodyText"/>
        <w:ind w:left="440"/>
        <w:spacing w:before="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7"/>
        </w:rPr>
        <w:t>一、</w:t>
      </w:r>
      <w:r>
        <w:rPr>
          <w:sz w:val="23"/>
          <w:szCs w:val="23"/>
          <w:spacing w:val="-17"/>
        </w:rPr>
        <w:t>PU</w:t>
      </w:r>
      <w:r>
        <w:rPr>
          <w:rFonts w:ascii="SimSun" w:hAnsi="SimSun" w:eastAsia="SimSun" w:cs="SimSun"/>
          <w:sz w:val="23"/>
          <w:szCs w:val="23"/>
          <w:spacing w:val="-17"/>
        </w:rPr>
        <w:t>的定义与流行病学特征</w:t>
      </w:r>
    </w:p>
    <w:p>
      <w:pPr>
        <w:pStyle w:val="BodyText"/>
        <w:ind w:left="2" w:right="321" w:firstLine="440"/>
        <w:spacing w:before="73" w:line="259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陈述1</w:t>
      </w:r>
      <w:r>
        <w:rPr>
          <w:rFonts w:ascii="SimHei" w:hAnsi="SimHei" w:eastAsia="SimHei" w:cs="SimHei"/>
          <w:sz w:val="20"/>
          <w:szCs w:val="20"/>
          <w:spacing w:val="-5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.</w:t>
      </w:r>
      <w:r>
        <w:rPr>
          <w:rFonts w:ascii="SimHei" w:hAnsi="SimHei" w:eastAsia="SimHei" w:cs="SimHei"/>
          <w:sz w:val="20"/>
          <w:szCs w:val="20"/>
          <w:spacing w:val="-5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1:</w:t>
      </w:r>
      <w:r>
        <w:rPr>
          <w:sz w:val="20"/>
          <w:szCs w:val="20"/>
          <w:b/>
          <w:bCs/>
        </w:rPr>
        <w:t>PU  </w:t>
      </w: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指在各种致病因子的作用下，消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3"/>
        </w:rPr>
        <w:t>化道黏膜发生炎症反应与坏死、脱落，形成破损，溃</w:t>
      </w:r>
      <w:r>
        <w:rPr>
          <w:rFonts w:ascii="SimHei" w:hAnsi="SimHei" w:eastAsia="SimHei" w:cs="SimHei"/>
          <w:sz w:val="20"/>
          <w:szCs w:val="20"/>
          <w:spacing w:val="1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疡的黏膜坏死缺损穿透黏膜肌层，严重者可达固有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/>
        <w:spacing w:before="79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肌层或更深。</w:t>
      </w:r>
    </w:p>
    <w:p>
      <w:pPr>
        <w:pStyle w:val="BodyText"/>
        <w:ind w:right="104" w:firstLine="429"/>
        <w:spacing w:before="21"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1"/>
        </w:rPr>
        <w:t>证据质量：</w:t>
      </w:r>
      <w:r>
        <w:rPr>
          <w:sz w:val="23"/>
          <w:szCs w:val="23"/>
          <w:spacing w:val="-1"/>
        </w:rPr>
        <w:t>C;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推荐强度：强推荐；共识水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平：100.00%</w:t>
      </w:r>
    </w:p>
    <w:p>
      <w:pPr>
        <w:pStyle w:val="BodyText"/>
        <w:ind w:right="35" w:firstLine="429"/>
        <w:spacing w:before="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</w:rPr>
        <w:t>PU</w:t>
      </w:r>
      <w:r>
        <w:rPr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最常发生在十二指肠球部(十二指肠溃疡)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和胃(胃溃疡),也可发生在食管、十二指肠、胃空肠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吻合口附近，或含有胃黏膜的麦克尔憩室内1。与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糜烂等浅表性黏膜缺损不同，</w:t>
      </w:r>
      <w:r>
        <w:rPr>
          <w:rFonts w:ascii="SimSun" w:hAnsi="SimSun" w:eastAsia="SimSun" w:cs="SimSun"/>
          <w:sz w:val="20"/>
          <w:szCs w:val="20"/>
        </w:rPr>
        <w:t>PU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指消化道因各种致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病因子作用出现明显黏膜破损，深度超过黏膜肌层，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严重者甚至达到或超过固有肌层。</w:t>
      </w:r>
    </w:p>
    <w:p>
      <w:pPr>
        <w:pStyle w:val="BodyText"/>
        <w:ind w:left="2" w:right="104" w:firstLine="429"/>
        <w:spacing w:before="32" w:line="26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陈述1</w:t>
      </w:r>
      <w:r>
        <w:rPr>
          <w:rFonts w:ascii="SimHei" w:hAnsi="SimHei" w:eastAsia="SimHei" w:cs="SimHei"/>
          <w:sz w:val="20"/>
          <w:szCs w:val="20"/>
          <w:spacing w:val="-5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.2:</w:t>
      </w:r>
      <w:r>
        <w:rPr>
          <w:sz w:val="20"/>
          <w:szCs w:val="20"/>
          <w:b/>
          <w:bCs/>
        </w:rPr>
        <w:t>PU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8"/>
        </w:rPr>
        <w:t>发病率及其导致的死亡率逐渐下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降，但近年来下降趋势逐渐趋缓。</w:t>
      </w:r>
    </w:p>
    <w:p>
      <w:pPr>
        <w:pStyle w:val="BodyText"/>
        <w:ind w:right="124" w:firstLine="429"/>
        <w:spacing w:before="12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6"/>
        </w:rPr>
        <w:t>证据质量：</w:t>
      </w:r>
      <w:r>
        <w:rPr>
          <w:sz w:val="23"/>
          <w:szCs w:val="23"/>
          <w:spacing w:val="-6"/>
        </w:rPr>
        <w:t>A;</w:t>
      </w:r>
      <w:r>
        <w:rPr>
          <w:sz w:val="23"/>
          <w:szCs w:val="23"/>
          <w:spacing w:val="19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6"/>
        </w:rPr>
        <w:t>推荐强度：强推荐；共识水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平：100.00%</w:t>
      </w:r>
    </w:p>
    <w:p>
      <w:pPr>
        <w:pStyle w:val="BodyText"/>
        <w:ind w:firstLine="429"/>
        <w:spacing w:before="13" w:line="24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根据2007年在上海进行的一项内镜横断面调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24"/>
        </w:rPr>
        <w:t>查显示，在同意接受内镜检查的问卷人群中，6.07%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9"/>
        </w:rPr>
        <w:t>患有胃溃疡，13.31%患有十二指肠溃疡，提示当时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7"/>
        </w:rPr>
        <w:t>在上海人群中经内镜确认的</w:t>
      </w:r>
      <w:r>
        <w:rPr>
          <w:sz w:val="23"/>
          <w:szCs w:val="23"/>
          <w:spacing w:val="-7"/>
        </w:rPr>
        <w:t>PU</w:t>
      </w:r>
      <w:r>
        <w:rPr>
          <w:rFonts w:ascii="SimSun" w:hAnsi="SimSun" w:eastAsia="SimSun" w:cs="SimSun"/>
          <w:sz w:val="23"/>
          <w:szCs w:val="23"/>
          <w:spacing w:val="-7"/>
        </w:rPr>
        <w:t>发病率(17.2</w:t>
      </w:r>
      <w:r>
        <w:rPr>
          <w:rFonts w:ascii="SimSun" w:hAnsi="SimSun" w:eastAsia="SimSun" w:cs="SimSun"/>
          <w:sz w:val="23"/>
          <w:szCs w:val="23"/>
          <w:spacing w:val="-8"/>
        </w:rPr>
        <w:t>%)远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8"/>
        </w:rPr>
        <w:t>高于西方人群(4.1%)[8];2013年进行的一项基于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4"/>
        </w:rPr>
        <w:t>问卷的全国性调查也显示，0.11%的城乡居民</w:t>
      </w:r>
      <w:r>
        <w:rPr>
          <w:rFonts w:ascii="SimSun" w:hAnsi="SimSun" w:eastAsia="SimSun" w:cs="SimSun"/>
          <w:sz w:val="23"/>
          <w:szCs w:val="23"/>
          <w:spacing w:val="-15"/>
        </w:rPr>
        <w:t>在接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2"/>
        </w:rPr>
        <w:t>受调查2周前因</w:t>
      </w:r>
      <w:r>
        <w:rPr>
          <w:sz w:val="23"/>
          <w:szCs w:val="23"/>
          <w:spacing w:val="-2"/>
        </w:rPr>
        <w:t>PU</w:t>
      </w:r>
      <w:r>
        <w:rPr>
          <w:rFonts w:ascii="SimSun" w:hAnsi="SimSun" w:eastAsia="SimSun" w:cs="SimSun"/>
          <w:sz w:val="23"/>
          <w:szCs w:val="23"/>
          <w:spacing w:val="-2"/>
        </w:rPr>
        <w:t>就医或误工9];20</w:t>
      </w:r>
      <w:r>
        <w:rPr>
          <w:rFonts w:ascii="SimSun" w:hAnsi="SimSun" w:eastAsia="SimSun" w:cs="SimSun"/>
          <w:sz w:val="23"/>
          <w:szCs w:val="23"/>
          <w:spacing w:val="-3"/>
        </w:rPr>
        <w:t>21年在上海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0"/>
        </w:rPr>
        <w:t>开展的一项问卷调查共纳入1108名被调查者，其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2"/>
        </w:rPr>
        <w:t>中经内镜诊断的</w:t>
      </w:r>
      <w:r>
        <w:rPr>
          <w:sz w:val="23"/>
          <w:szCs w:val="23"/>
          <w:spacing w:val="-2"/>
        </w:rPr>
        <w:t>PU</w:t>
      </w:r>
      <w:r>
        <w:rPr>
          <w:sz w:val="23"/>
          <w:szCs w:val="23"/>
          <w:spacing w:val="-2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达9.1%(十二指肠溃疡5.8%,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胃溃疡2.5%,复合溃疡0.8%)[10]。不同国家和地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4"/>
        </w:rPr>
        <w:t>区的</w:t>
      </w:r>
      <w:r>
        <w:rPr>
          <w:sz w:val="23"/>
          <w:szCs w:val="23"/>
        </w:rPr>
        <w:t>PU</w:t>
      </w:r>
      <w:r>
        <w:rPr>
          <w:sz w:val="23"/>
          <w:szCs w:val="23"/>
          <w:spacing w:val="3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发病率有较大差异。2019年全球约有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7"/>
        </w:rPr>
        <w:t>809万例</w:t>
      </w:r>
      <w:r>
        <w:rPr>
          <w:sz w:val="23"/>
          <w:szCs w:val="23"/>
          <w:spacing w:val="-7"/>
        </w:rPr>
        <w:t>PU </w:t>
      </w:r>
      <w:r>
        <w:rPr>
          <w:rFonts w:ascii="SimSun" w:hAnsi="SimSun" w:eastAsia="SimSun" w:cs="SimSun"/>
          <w:sz w:val="23"/>
          <w:szCs w:val="23"/>
          <w:spacing w:val="-7"/>
        </w:rPr>
        <w:t>患者，相比1990年增加了25.82%[1]。</w:t>
      </w:r>
    </w:p>
    <w:p>
      <w:pPr>
        <w:pStyle w:val="BodyText"/>
        <w:ind w:right="35"/>
        <w:spacing w:before="7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14"/>
        </w:rPr>
        <w:t>但在亚洲，过去20年里不同人种(包括马来人、中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国人和印度人)的</w:t>
      </w:r>
      <w:r>
        <w:rPr>
          <w:rFonts w:ascii="SimSun" w:hAnsi="SimSun" w:eastAsia="SimSun" w:cs="SimSun"/>
          <w:sz w:val="23"/>
          <w:szCs w:val="23"/>
          <w:spacing w:val="-40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PU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患病率均稳步下降，与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sz w:val="20"/>
          <w:szCs w:val="20"/>
          <w:spacing w:val="6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相关的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</w:rPr>
        <w:t>PU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减少的情况一致[12]。需要注意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的是，</w:t>
      </w:r>
      <w:r>
        <w:rPr>
          <w:sz w:val="20"/>
          <w:szCs w:val="20"/>
        </w:rPr>
        <w:t>PU</w:t>
      </w:r>
      <w:r>
        <w:rPr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的发病率及其导致的死亡率下降趋势随着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时间的推移、</w:t>
      </w:r>
      <w:r>
        <w:rPr>
          <w:sz w:val="20"/>
          <w:szCs w:val="20"/>
          <w:spacing w:val="10"/>
        </w:rPr>
        <w:t>H.</w:t>
      </w:r>
      <w:r>
        <w:rPr>
          <w:sz w:val="20"/>
          <w:szCs w:val="20"/>
        </w:rPr>
        <w:t>pylori</w:t>
      </w:r>
      <w:r>
        <w:rPr>
          <w:rFonts w:ascii="SimSun" w:hAnsi="SimSun" w:eastAsia="SimSun" w:cs="SimSun"/>
          <w:sz w:val="20"/>
          <w:szCs w:val="20"/>
          <w:spacing w:val="10"/>
        </w:rPr>
        <w:t>的根除率的上升而逐渐趋缓，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这可能与</w:t>
      </w:r>
      <w:r>
        <w:rPr>
          <w:sz w:val="20"/>
          <w:szCs w:val="20"/>
        </w:rPr>
        <w:t>PU</w:t>
      </w:r>
      <w:r>
        <w:rPr>
          <w:sz w:val="20"/>
          <w:szCs w:val="20"/>
          <w:spacing w:val="12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6"/>
        </w:rPr>
        <w:t>的主要危险因素从</w:t>
      </w:r>
      <w:r>
        <w:rPr>
          <w:sz w:val="20"/>
          <w:szCs w:val="20"/>
          <w:spacing w:val="16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感染逐渐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转变为</w:t>
      </w:r>
      <w:r>
        <w:rPr>
          <w:sz w:val="20"/>
          <w:szCs w:val="20"/>
        </w:rPr>
        <w:t>NSAID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的广泛使用有关5。据估计，普通人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5"/>
        </w:rPr>
        <w:t>群中</w:t>
      </w:r>
      <w:r>
        <w:rPr>
          <w:sz w:val="20"/>
          <w:szCs w:val="20"/>
        </w:rPr>
        <w:t>PU</w:t>
      </w:r>
      <w:r>
        <w:rPr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的终身患病率为5%～10%,男性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sz w:val="20"/>
          <w:szCs w:val="20"/>
        </w:rPr>
        <w:t>PU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发病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率高于女性，2019年男女发病人数比为1:0.94[1。</w:t>
      </w:r>
    </w:p>
    <w:p>
      <w:pPr>
        <w:pStyle w:val="BodyText"/>
        <w:ind w:left="429"/>
        <w:spacing w:before="2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二、</w:t>
      </w:r>
      <w:r>
        <w:rPr>
          <w:sz w:val="20"/>
          <w:szCs w:val="20"/>
          <w:spacing w:val="-1"/>
        </w:rPr>
        <w:t>PU </w:t>
      </w:r>
      <w:r>
        <w:rPr>
          <w:rFonts w:ascii="SimSun" w:hAnsi="SimSun" w:eastAsia="SimSun" w:cs="SimSun"/>
          <w:sz w:val="20"/>
          <w:szCs w:val="20"/>
          <w:spacing w:val="-1"/>
        </w:rPr>
        <w:t>的病因与发病机制</w:t>
      </w:r>
    </w:p>
    <w:p>
      <w:pPr>
        <w:pStyle w:val="BodyText"/>
        <w:ind w:left="3" w:right="122" w:firstLine="430"/>
        <w:spacing w:before="50" w:line="249" w:lineRule="auto"/>
        <w:jc w:val="both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17"/>
        </w:rPr>
        <w:t>陈述2.1:</w:t>
      </w:r>
      <w:r>
        <w:rPr>
          <w:sz w:val="23"/>
          <w:szCs w:val="23"/>
          <w:b/>
          <w:bCs/>
          <w:spacing w:val="-17"/>
        </w:rPr>
        <w:t>PU </w:t>
      </w:r>
      <w:r>
        <w:rPr>
          <w:rFonts w:ascii="SimHei" w:hAnsi="SimHei" w:eastAsia="SimHei" w:cs="SimHei"/>
          <w:sz w:val="23"/>
          <w:szCs w:val="23"/>
          <w:b/>
          <w:bCs/>
          <w:spacing w:val="-17"/>
        </w:rPr>
        <w:t>的发病机制主要与胃、十二指肠</w:t>
      </w:r>
      <w:r>
        <w:rPr>
          <w:rFonts w:ascii="SimHei" w:hAnsi="SimHei" w:eastAsia="SimHei" w:cs="SimHei"/>
          <w:sz w:val="23"/>
          <w:szCs w:val="23"/>
          <w:spacing w:val="16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3"/>
        </w:rPr>
        <w:t>黏膜的损伤因素和黏膜防御修复因素之间失衡</w:t>
      </w:r>
      <w:r>
        <w:rPr>
          <w:rFonts w:ascii="SimHei" w:hAnsi="SimHei" w:eastAsia="SimHei" w:cs="SimHei"/>
          <w:sz w:val="23"/>
          <w:szCs w:val="23"/>
          <w:spacing w:val="3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7"/>
        </w:rPr>
        <w:t>有关。</w:t>
      </w:r>
    </w:p>
    <w:p>
      <w:pPr>
        <w:pStyle w:val="BodyText"/>
        <w:ind w:right="121" w:firstLine="429"/>
        <w:spacing w:before="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10"/>
        </w:rPr>
        <w:t>证据质量：</w:t>
      </w:r>
      <w:r>
        <w:rPr>
          <w:sz w:val="23"/>
          <w:szCs w:val="23"/>
          <w:spacing w:val="10"/>
        </w:rPr>
        <w:t>C;</w:t>
      </w:r>
      <w:r>
        <w:rPr>
          <w:sz w:val="23"/>
          <w:szCs w:val="23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推荐强度：强推荐；共识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水平：100.00%</w:t>
      </w:r>
    </w:p>
    <w:p>
      <w:pPr>
        <w:ind w:right="114" w:firstLine="429"/>
        <w:spacing w:before="5" w:line="27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溃疡形成是高泌酸环境与炎症、缺血、药物、代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谢紊乱、病毒、嗜碱性物质和嗜酸性物质的渗透等各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因素或压力共同作用的结果。机体通过黏膜防御机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制防止黏膜损伤，维持黏膜完整性[¹³],当损伤因素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超过防御因素或黏膜防御机制本身受到损害时，就</w:t>
      </w:r>
    </w:p>
    <w:p>
      <w:pPr>
        <w:spacing w:line="273" w:lineRule="auto"/>
        <w:sectPr>
          <w:type w:val="continuous"/>
          <w:pgSz w:w="10720" w:h="15880"/>
          <w:pgMar w:top="466" w:right="454" w:bottom="0" w:left="499" w:header="0" w:footer="0" w:gutter="0"/>
          <w:cols w:equalWidth="0" w:num="2">
            <w:col w:w="4931" w:space="100"/>
            <w:col w:w="473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205"/>
        <w:spacing w:before="51" w:line="223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3"/>
          <w:position w:val="-6"/>
        </w:rPr>
        <w:t>—</w:t>
      </w:r>
      <w:r>
        <w:rPr>
          <w:rFonts w:ascii="SimSun" w:hAnsi="SimSun" w:eastAsia="SimSun" w:cs="SimSun"/>
          <w:sz w:val="21"/>
          <w:szCs w:val="21"/>
          <w:spacing w:val="-29"/>
          <w:position w:val="-6"/>
        </w:rPr>
        <w:t xml:space="preserve"> </w:t>
      </w:r>
      <w:r>
        <w:rPr>
          <w:sz w:val="21"/>
          <w:szCs w:val="21"/>
          <w:spacing w:val="-13"/>
          <w:position w:val="-6"/>
        </w:rPr>
        <w:t>178</w:t>
      </w:r>
      <w:r>
        <w:rPr>
          <w:sz w:val="21"/>
          <w:szCs w:val="21"/>
          <w:u w:val="dotted" w:color="auto"/>
          <w:spacing w:val="-13"/>
          <w:position w:val="-6"/>
        </w:rPr>
        <w:t xml:space="preserve">    </w:t>
      </w:r>
      <w:r>
        <w:rPr>
          <w:sz w:val="21"/>
          <w:szCs w:val="21"/>
          <w:spacing w:val="1"/>
          <w:position w:val="-6"/>
        </w:rPr>
        <w:t xml:space="preserve">                                  </w:t>
      </w:r>
      <w:r>
        <w:rPr>
          <w:sz w:val="21"/>
          <w:szCs w:val="21"/>
          <w:position w:val="-6"/>
        </w:rPr>
        <w:t xml:space="preserve">                         </w:t>
      </w:r>
      <w:r>
        <w:rPr>
          <w:rFonts w:ascii="SimSun" w:hAnsi="SimSun" w:eastAsia="SimSun" w:cs="SimSun"/>
          <w:sz w:val="21"/>
          <w:szCs w:val="21"/>
          <w:u w:val="single" w:color="auto"/>
          <w:spacing w:val="-79"/>
        </w:rPr>
        <w:t xml:space="preserve"> </w:t>
      </w:r>
      <w:r>
        <w:rPr>
          <w:rFonts w:ascii="SimSun" w:hAnsi="SimSun" w:eastAsia="SimSun" w:cs="SimSun"/>
          <w:sz w:val="21"/>
          <w:szCs w:val="21"/>
          <w:u w:val="single" w:color="auto"/>
          <w:spacing w:val="-13"/>
        </w:rPr>
        <w:t>中华消化杂志</w:t>
      </w:r>
      <w:r>
        <w:rPr>
          <w:sz w:val="21"/>
          <w:szCs w:val="21"/>
          <w:u w:val="single" w:color="auto"/>
          <w:spacing w:val="-13"/>
        </w:rPr>
        <w:t>2023</w:t>
      </w:r>
      <w:r>
        <w:rPr>
          <w:rFonts w:ascii="SimSun" w:hAnsi="SimSun" w:eastAsia="SimSun" w:cs="SimSun"/>
          <w:sz w:val="21"/>
          <w:szCs w:val="21"/>
          <w:u w:val="single" w:color="auto"/>
          <w:spacing w:val="-13"/>
        </w:rPr>
        <w:t>年</w:t>
      </w:r>
      <w:r>
        <w:rPr>
          <w:sz w:val="21"/>
          <w:szCs w:val="21"/>
          <w:u w:val="single" w:color="auto"/>
          <w:spacing w:val="-13"/>
        </w:rPr>
        <w:t>3</w:t>
      </w:r>
      <w:r>
        <w:rPr>
          <w:rFonts w:ascii="SimSun" w:hAnsi="SimSun" w:eastAsia="SimSun" w:cs="SimSun"/>
          <w:sz w:val="21"/>
          <w:szCs w:val="21"/>
          <w:u w:val="single" w:color="auto"/>
          <w:spacing w:val="-13"/>
        </w:rPr>
        <w:t>月第</w:t>
      </w:r>
      <w:r>
        <w:rPr>
          <w:sz w:val="21"/>
          <w:szCs w:val="21"/>
          <w:u w:val="single" w:color="auto"/>
          <w:spacing w:val="-13"/>
        </w:rPr>
        <w:t>43</w:t>
      </w:r>
      <w:r>
        <w:rPr>
          <w:rFonts w:ascii="SimSun" w:hAnsi="SimSun" w:eastAsia="SimSun" w:cs="SimSun"/>
          <w:sz w:val="21"/>
          <w:szCs w:val="21"/>
          <w:u w:val="single" w:color="auto"/>
          <w:spacing w:val="-13"/>
        </w:rPr>
        <w:t>卷第</w:t>
      </w:r>
      <w:r>
        <w:rPr>
          <w:sz w:val="21"/>
          <w:szCs w:val="21"/>
          <w:u w:val="single" w:color="auto"/>
          <w:spacing w:val="-13"/>
        </w:rPr>
        <w:t>3</w:t>
      </w:r>
      <w:r>
        <w:rPr>
          <w:rFonts w:ascii="SimSun" w:hAnsi="SimSun" w:eastAsia="SimSun" w:cs="SimSun"/>
          <w:sz w:val="21"/>
          <w:szCs w:val="21"/>
          <w:u w:val="single" w:color="auto"/>
          <w:spacing w:val="-13"/>
        </w:rPr>
        <w:t>期</w:t>
      </w:r>
      <w:r>
        <w:rPr>
          <w:sz w:val="21"/>
          <w:szCs w:val="21"/>
          <w:u w:val="single" w:color="auto"/>
          <w:spacing w:val="-13"/>
        </w:rPr>
        <w:t>Chin JDig,March 2023,Vol.43,No.3</w:t>
      </w:r>
    </w:p>
    <w:p>
      <w:pPr>
        <w:spacing w:before="23"/>
        <w:rPr/>
      </w:pPr>
      <w:r/>
    </w:p>
    <w:p>
      <w:pPr>
        <w:sectPr>
          <w:pgSz w:w="10720" w:h="15880"/>
          <w:pgMar w:top="453" w:right="485" w:bottom="0" w:left="394" w:header="0" w:footer="0" w:gutter="0"/>
          <w:cols w:equalWidth="0" w:num="1">
            <w:col w:w="9840" w:space="0"/>
          </w:cols>
        </w:sectPr>
        <w:rPr/>
      </w:pPr>
    </w:p>
    <w:p>
      <w:pPr>
        <w:ind w:left="104" w:right="299"/>
        <w:spacing w:before="42" w:line="28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会导致黏膜破损[1,4,13]。内源性前列腺素通过调节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黏膜血流、碳酸氢盐分泌和黏液分泌等，在维持黏膜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完整性方面起重要作用。</w:t>
      </w:r>
    </w:p>
    <w:p>
      <w:pPr>
        <w:pStyle w:val="BodyText"/>
        <w:ind w:left="108" w:right="325" w:firstLine="429"/>
        <w:spacing w:before="9" w:line="25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陈述2.2:</w:t>
      </w:r>
      <w:r>
        <w:rPr>
          <w:sz w:val="21"/>
          <w:szCs w:val="21"/>
          <w:b/>
          <w:bCs/>
          <w:spacing w:val="-5"/>
        </w:rPr>
        <w:t>PU </w:t>
      </w: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的病因主要为</w:t>
      </w:r>
      <w:r>
        <w:rPr>
          <w:sz w:val="21"/>
          <w:szCs w:val="21"/>
          <w:b/>
          <w:bCs/>
          <w:spacing w:val="-5"/>
        </w:rPr>
        <w:t>H.pylori</w:t>
      </w:r>
      <w:r>
        <w:rPr>
          <w:sz w:val="21"/>
          <w:szCs w:val="21"/>
          <w:b/>
          <w:bCs/>
          <w:spacing w:val="-1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感染，以及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阿司匹林和其他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NSAID</w:t>
      </w:r>
      <w:r>
        <w:rPr>
          <w:rFonts w:ascii="SimSun" w:hAnsi="SimSun" w:eastAsia="SimSun" w:cs="SimSun"/>
          <w:sz w:val="21"/>
          <w:szCs w:val="21"/>
          <w:spacing w:val="95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的应用。</w:t>
      </w:r>
    </w:p>
    <w:p>
      <w:pPr>
        <w:pStyle w:val="BodyText"/>
        <w:ind w:left="104" w:right="319" w:firstLine="429"/>
        <w:spacing w:before="1" w:line="2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4"/>
          <w:szCs w:val="24"/>
          <w:spacing w:val="-16"/>
        </w:rPr>
        <w:t>证据质量：</w:t>
      </w:r>
      <w:r>
        <w:rPr>
          <w:sz w:val="24"/>
          <w:szCs w:val="24"/>
          <w:spacing w:val="-16"/>
        </w:rPr>
        <w:t>A;</w:t>
      </w:r>
      <w:r>
        <w:rPr>
          <w:sz w:val="24"/>
          <w:szCs w:val="24"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6"/>
        </w:rPr>
        <w:t>推荐强度：强推荐；共识水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平：95.65%</w:t>
      </w:r>
    </w:p>
    <w:p>
      <w:pPr>
        <w:pStyle w:val="BodyText"/>
        <w:ind w:left="104" w:right="209" w:firstLine="429"/>
        <w:spacing w:before="10" w:line="264" w:lineRule="auto"/>
        <w:jc w:val="both"/>
        <w:rPr>
          <w:rFonts w:ascii="SimSun" w:hAnsi="SimSun" w:eastAsia="SimSun" w:cs="SimSun"/>
          <w:sz w:val="21"/>
          <w:szCs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1666911</wp:posOffset>
            </wp:positionH>
            <wp:positionV relativeFrom="paragraph">
              <wp:posOffset>982823</wp:posOffset>
            </wp:positionV>
            <wp:extent cx="2901909" cy="276225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1909" cy="276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1"/>
          <w:szCs w:val="21"/>
          <w:spacing w:val="-3"/>
        </w:rPr>
        <w:t>H.pylori感染和服用阿司匹林或其他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NSA</w:t>
      </w:r>
      <w:r>
        <w:rPr>
          <w:rFonts w:ascii="SimSun" w:hAnsi="SimSun" w:eastAsia="SimSun" w:cs="SimSun"/>
          <w:sz w:val="21"/>
          <w:szCs w:val="21"/>
          <w:spacing w:val="-4"/>
        </w:rPr>
        <w:t>ID 是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sz w:val="21"/>
          <w:szCs w:val="21"/>
        </w:rPr>
        <w:t>PU</w:t>
      </w:r>
      <w:r>
        <w:rPr>
          <w:rFonts w:ascii="SimSun" w:hAnsi="SimSun" w:eastAsia="SimSun" w:cs="SimSun"/>
          <w:sz w:val="21"/>
          <w:szCs w:val="21"/>
          <w:spacing w:val="4"/>
        </w:rPr>
        <w:t>的主要致病因素14]。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sz w:val="21"/>
          <w:szCs w:val="21"/>
          <w:spacing w:val="4"/>
        </w:rPr>
        <w:t>H.</w:t>
      </w:r>
      <w:r>
        <w:rPr>
          <w:sz w:val="21"/>
          <w:szCs w:val="21"/>
        </w:rPr>
        <w:t>pylori</w:t>
      </w:r>
      <w:r>
        <w:rPr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是一种革兰氏阴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性微需氧细菌，发达国家的</w:t>
      </w:r>
      <w:r>
        <w:rPr>
          <w:sz w:val="21"/>
          <w:szCs w:val="21"/>
          <w:spacing w:val="-3"/>
        </w:rPr>
        <w:t>H.pylori</w:t>
      </w:r>
      <w:r>
        <w:rPr>
          <w:rFonts w:ascii="SimSun" w:hAnsi="SimSun" w:eastAsia="SimSun" w:cs="SimSun"/>
          <w:sz w:val="21"/>
          <w:szCs w:val="21"/>
          <w:spacing w:val="-3"/>
        </w:rPr>
        <w:t>感染率与发展中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国家差异很大。</w:t>
      </w:r>
      <w:r>
        <w:rPr>
          <w:sz w:val="21"/>
          <w:szCs w:val="21"/>
          <w:spacing w:val="6"/>
        </w:rPr>
        <w:t>H.</w:t>
      </w:r>
      <w:r>
        <w:rPr>
          <w:sz w:val="21"/>
          <w:szCs w:val="21"/>
        </w:rPr>
        <w:t>pylori</w:t>
      </w:r>
      <w:r>
        <w:rPr>
          <w:rFonts w:ascii="SimSun" w:hAnsi="SimSun" w:eastAsia="SimSun" w:cs="SimSun"/>
          <w:sz w:val="21"/>
          <w:szCs w:val="21"/>
          <w:spacing w:val="6"/>
        </w:rPr>
        <w:t>感染率和相关疾病的发生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0"/>
        </w:rPr>
        <w:t>率在西方国家均呈现下降趋势。在我国，虽然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sz w:val="24"/>
          <w:szCs w:val="24"/>
          <w:spacing w:val="4"/>
        </w:rPr>
        <w:t>H.</w:t>
      </w:r>
      <w:r>
        <w:rPr>
          <w:sz w:val="24"/>
          <w:szCs w:val="24"/>
        </w:rPr>
        <w:t>pylori</w:t>
      </w:r>
      <w:r>
        <w:rPr>
          <w:rFonts w:ascii="SimSun" w:hAnsi="SimSun" w:eastAsia="SimSun" w:cs="SimSun"/>
          <w:sz w:val="24"/>
          <w:szCs w:val="24"/>
          <w:spacing w:val="4"/>
        </w:rPr>
        <w:t>感染率从1983至1994年的58.3%降至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2015至2019年的40.0%[15],但感染率仍然很高。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细菌与宿主、环境因素之间的相互作用决定了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sz w:val="21"/>
          <w:szCs w:val="21"/>
          <w:spacing w:val="12"/>
        </w:rPr>
        <w:t>H.</w:t>
      </w:r>
      <w:r>
        <w:rPr>
          <w:sz w:val="21"/>
          <w:szCs w:val="21"/>
        </w:rPr>
        <w:t>pylori</w:t>
      </w:r>
      <w:r>
        <w:rPr>
          <w:rFonts w:ascii="SimSun" w:hAnsi="SimSun" w:eastAsia="SimSun" w:cs="SimSun"/>
          <w:sz w:val="21"/>
          <w:szCs w:val="21"/>
          <w:spacing w:val="12"/>
        </w:rPr>
        <w:t>感染的最终结果。15%～20%的</w:t>
      </w:r>
      <w:r>
        <w:rPr>
          <w:sz w:val="21"/>
          <w:szCs w:val="21"/>
          <w:spacing w:val="12"/>
        </w:rPr>
        <w:t>H.</w:t>
      </w:r>
      <w:r>
        <w:rPr>
          <w:sz w:val="21"/>
          <w:szCs w:val="21"/>
        </w:rPr>
        <w:t>pylori</w:t>
      </w:r>
      <w:r>
        <w:rPr>
          <w:rFonts w:ascii="SimSun" w:hAnsi="SimSun" w:eastAsia="SimSun" w:cs="SimSun"/>
          <w:sz w:val="21"/>
          <w:szCs w:val="21"/>
          <w:spacing w:val="12"/>
        </w:rPr>
        <w:t>感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7"/>
        </w:rPr>
        <w:t>染患者可发生</w:t>
      </w:r>
      <w:r>
        <w:rPr>
          <w:sz w:val="21"/>
          <w:szCs w:val="21"/>
        </w:rPr>
        <w:t>PU</w:t>
      </w:r>
      <w:r>
        <w:rPr>
          <w:sz w:val="21"/>
          <w:szCs w:val="21"/>
          <w:spacing w:val="7"/>
        </w:rPr>
        <w:t>,H.</w:t>
      </w:r>
      <w:r>
        <w:rPr>
          <w:sz w:val="21"/>
          <w:szCs w:val="21"/>
        </w:rPr>
        <w:t>pylori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感染是胃溃疡和十二指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肠溃疡的致病因素[16-8</w:t>
      </w:r>
      <w:r>
        <w:rPr>
          <w:sz w:val="21"/>
          <w:szCs w:val="21"/>
          <w:spacing w:val="-6"/>
        </w:rPr>
        <w:t>J, </w:t>
      </w:r>
      <w:r>
        <w:rPr>
          <w:rFonts w:ascii="SimSun" w:hAnsi="SimSun" w:eastAsia="SimSun" w:cs="SimSun"/>
          <w:sz w:val="21"/>
          <w:szCs w:val="21"/>
          <w:spacing w:val="-6"/>
        </w:rPr>
        <w:t>尽早根除</w:t>
      </w:r>
      <w:r>
        <w:rPr>
          <w:sz w:val="21"/>
          <w:szCs w:val="21"/>
          <w:spacing w:val="-6"/>
        </w:rPr>
        <w:t>H.pylori</w:t>
      </w:r>
      <w:r>
        <w:rPr>
          <w:rFonts w:ascii="SimSun" w:hAnsi="SimSun" w:eastAsia="SimSun" w:cs="SimSun"/>
          <w:sz w:val="21"/>
          <w:szCs w:val="21"/>
          <w:spacing w:val="-6"/>
        </w:rPr>
        <w:t>可有效预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4"/>
        </w:rPr>
        <w:t>防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sz w:val="21"/>
          <w:szCs w:val="21"/>
          <w:spacing w:val="-24"/>
        </w:rPr>
        <w:t>PU </w:t>
      </w:r>
      <w:r>
        <w:rPr>
          <w:rFonts w:ascii="SimSun" w:hAnsi="SimSun" w:eastAsia="SimSun" w:cs="SimSun"/>
          <w:sz w:val="21"/>
          <w:szCs w:val="21"/>
          <w:spacing w:val="-24"/>
        </w:rPr>
        <w:t>的发生[16,19-20]。</w:t>
      </w:r>
    </w:p>
    <w:p>
      <w:pPr>
        <w:pStyle w:val="BodyText"/>
        <w:ind w:right="224" w:firstLine="534"/>
        <w:spacing w:before="37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3"/>
        </w:rPr>
        <w:t>H.pylori</w:t>
      </w:r>
      <w:r>
        <w:rPr>
          <w:rFonts w:ascii="SimSun" w:hAnsi="SimSun" w:eastAsia="SimSun" w:cs="SimSun"/>
          <w:sz w:val="21"/>
          <w:szCs w:val="21"/>
          <w:spacing w:val="-3"/>
        </w:rPr>
        <w:t>感染可改变壁细胞分泌细胞因</w:t>
      </w:r>
      <w:r>
        <w:rPr>
          <w:rFonts w:ascii="SimSun" w:hAnsi="SimSun" w:eastAsia="SimSun" w:cs="SimSun"/>
          <w:sz w:val="21"/>
          <w:szCs w:val="21"/>
          <w:spacing w:val="-4"/>
        </w:rPr>
        <w:t>子，直接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影响氢-钾</w:t>
      </w:r>
      <w:r>
        <w:rPr>
          <w:sz w:val="21"/>
          <w:szCs w:val="21"/>
        </w:rPr>
        <w:t>ATP</w:t>
      </w:r>
      <w:r>
        <w:rPr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酶α亚基，激活与体液蛋白相关的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降钙素基因肽感觉神经元，抑制胃泌素的产生[21]。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10%～15%的H.</w:t>
      </w:r>
      <w:r>
        <w:rPr>
          <w:rFonts w:ascii="SimSun" w:hAnsi="SimSun" w:eastAsia="SimSun" w:cs="SimSun"/>
          <w:sz w:val="21"/>
          <w:szCs w:val="21"/>
        </w:rPr>
        <w:t>pylori</w:t>
      </w:r>
      <w:r>
        <w:rPr>
          <w:rFonts w:ascii="SimSun" w:hAnsi="SimSun" w:eastAsia="SimSun" w:cs="SimSun"/>
          <w:sz w:val="21"/>
          <w:szCs w:val="21"/>
          <w:spacing w:val="13"/>
        </w:rPr>
        <w:t>感染患者也可因高胃泌素血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症，刺激肠嗜铬样细胞的组胺分泌，引起壁细</w:t>
      </w:r>
      <w:r>
        <w:rPr>
          <w:rFonts w:ascii="SimSun" w:hAnsi="SimSun" w:eastAsia="SimSun" w:cs="SimSun"/>
          <w:sz w:val="21"/>
          <w:szCs w:val="21"/>
          <w:spacing w:val="-6"/>
        </w:rPr>
        <w:t>胞酸分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泌增加22。目前</w:t>
      </w:r>
      <w:r>
        <w:rPr>
          <w:sz w:val="21"/>
          <w:szCs w:val="21"/>
          <w:spacing w:val="8"/>
        </w:rPr>
        <w:t>H.</w:t>
      </w:r>
      <w:r>
        <w:rPr>
          <w:sz w:val="21"/>
          <w:szCs w:val="21"/>
        </w:rPr>
        <w:t>pylori</w:t>
      </w:r>
      <w:r>
        <w:rPr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在胃、十二指肠黏膜上诱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8"/>
        </w:rPr>
        <w:t>发不同类型的病变的原因还不完全明晰。但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sz w:val="21"/>
          <w:szCs w:val="21"/>
          <w:spacing w:val="4"/>
        </w:rPr>
        <w:t>H.</w:t>
      </w:r>
      <w:r>
        <w:rPr>
          <w:sz w:val="21"/>
          <w:szCs w:val="21"/>
        </w:rPr>
        <w:t>pylori</w:t>
      </w:r>
      <w:r>
        <w:rPr>
          <w:rFonts w:ascii="SimSun" w:hAnsi="SimSun" w:eastAsia="SimSun" w:cs="SimSun"/>
          <w:sz w:val="21"/>
          <w:szCs w:val="21"/>
          <w:spacing w:val="4"/>
        </w:rPr>
        <w:t>持续感染的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sz w:val="21"/>
          <w:szCs w:val="21"/>
        </w:rPr>
        <w:t>PU</w:t>
      </w:r>
      <w:r>
        <w:rPr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患者易反复发作溃疡，并发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出血，根除</w:t>
      </w:r>
      <w:r>
        <w:rPr>
          <w:sz w:val="21"/>
          <w:szCs w:val="21"/>
          <w:spacing w:val="3"/>
        </w:rPr>
        <w:t>H.</w:t>
      </w:r>
      <w:r>
        <w:rPr>
          <w:sz w:val="21"/>
          <w:szCs w:val="21"/>
        </w:rPr>
        <w:t>pylori</w:t>
      </w:r>
      <w:r>
        <w:rPr>
          <w:rFonts w:ascii="SimSun" w:hAnsi="SimSun" w:eastAsia="SimSun" w:cs="SimSun"/>
          <w:sz w:val="21"/>
          <w:szCs w:val="21"/>
          <w:spacing w:val="3"/>
        </w:rPr>
        <w:t>不仅可使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sz w:val="21"/>
          <w:szCs w:val="21"/>
        </w:rPr>
        <w:t>PU</w:t>
      </w:r>
      <w:r>
        <w:rPr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愈合，更有助于预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防溃疡复发和再出血[23]。因此，2018年《美国休斯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敦幽门螺杆菌感染检测共识会议》[24](以下简称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2018年美国休斯敦共识)和《2021年</w:t>
      </w:r>
      <w:r>
        <w:rPr>
          <w:sz w:val="21"/>
          <w:szCs w:val="21"/>
          <w:spacing w:val="8"/>
        </w:rPr>
        <w:t>H.</w:t>
      </w:r>
      <w:r>
        <w:rPr>
          <w:sz w:val="21"/>
          <w:szCs w:val="21"/>
        </w:rPr>
        <w:t>pylori</w:t>
      </w:r>
      <w:r>
        <w:rPr>
          <w:rFonts w:ascii="SimSun" w:hAnsi="SimSun" w:eastAsia="SimSun" w:cs="SimSun"/>
          <w:sz w:val="21"/>
          <w:szCs w:val="21"/>
          <w:spacing w:val="8"/>
        </w:rPr>
        <w:t>指南：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西班牙和世界胃肠病学组织指南之间的重合与差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异》[25均指出，现在或既往存在胃或十二指肠溃疡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的患者均需接受</w:t>
      </w:r>
      <w:r>
        <w:rPr>
          <w:sz w:val="21"/>
          <w:szCs w:val="21"/>
          <w:spacing w:val="4"/>
        </w:rPr>
        <w:t>H.</w:t>
      </w:r>
      <w:r>
        <w:rPr>
          <w:sz w:val="21"/>
          <w:szCs w:val="21"/>
        </w:rPr>
        <w:t>pylori</w:t>
      </w:r>
      <w:r>
        <w:rPr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检测，直至病因消除为止。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《第六次全国幽门螺杆菌感染处理共识报告(非根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9"/>
        </w:rPr>
        <w:t>除治疗部分)》26(以下简称我国2022版</w:t>
      </w:r>
      <w:r>
        <w:rPr>
          <w:sz w:val="21"/>
          <w:szCs w:val="21"/>
          <w:spacing w:val="9"/>
        </w:rPr>
        <w:t>H.</w:t>
      </w:r>
      <w:r>
        <w:rPr>
          <w:sz w:val="21"/>
          <w:szCs w:val="21"/>
        </w:rPr>
        <w:t>pylori</w:t>
      </w:r>
      <w:r>
        <w:rPr>
          <w:rFonts w:ascii="SimSun" w:hAnsi="SimSun" w:eastAsia="SimSun" w:cs="SimSun"/>
          <w:sz w:val="21"/>
          <w:szCs w:val="21"/>
          <w:spacing w:val="9"/>
        </w:rPr>
        <w:t>非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根除治疗共识)也指出，</w:t>
      </w:r>
      <w:r>
        <w:rPr>
          <w:sz w:val="21"/>
          <w:szCs w:val="21"/>
          <w:spacing w:val="8"/>
        </w:rPr>
        <w:t>H.</w:t>
      </w:r>
      <w:r>
        <w:rPr>
          <w:sz w:val="21"/>
          <w:szCs w:val="21"/>
        </w:rPr>
        <w:t>pylori</w:t>
      </w:r>
      <w:r>
        <w:rPr>
          <w:rFonts w:ascii="SimSun" w:hAnsi="SimSun" w:eastAsia="SimSun" w:cs="SimSun"/>
          <w:sz w:val="21"/>
          <w:szCs w:val="21"/>
          <w:spacing w:val="8"/>
        </w:rPr>
        <w:t>感染是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sz w:val="21"/>
          <w:szCs w:val="21"/>
        </w:rPr>
        <w:t>PU</w:t>
      </w:r>
      <w:r>
        <w:rPr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的主要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病因，无论溃疡是否活动，以及患者有无并发症史，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均应检测和根除</w:t>
      </w:r>
      <w:r>
        <w:rPr>
          <w:sz w:val="21"/>
          <w:szCs w:val="21"/>
          <w:spacing w:val="9"/>
        </w:rPr>
        <w:t>H.</w:t>
      </w:r>
      <w:r>
        <w:rPr>
          <w:sz w:val="21"/>
          <w:szCs w:val="21"/>
        </w:rPr>
        <w:t>pylori</w:t>
      </w:r>
      <w:r>
        <w:rPr>
          <w:rFonts w:ascii="SimSun" w:hAnsi="SimSun" w:eastAsia="SimSun" w:cs="SimSun"/>
          <w:sz w:val="21"/>
          <w:szCs w:val="21"/>
          <w:spacing w:val="9"/>
        </w:rPr>
        <w:t>。</w:t>
      </w:r>
    </w:p>
    <w:p>
      <w:pPr>
        <w:pStyle w:val="BodyText"/>
        <w:ind w:left="104" w:right="204" w:firstLine="429"/>
        <w:spacing w:before="110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"/>
        </w:rPr>
        <w:t>NSAID</w:t>
      </w:r>
      <w:r>
        <w:rPr>
          <w:rFonts w:ascii="SimSun" w:hAnsi="SimSun" w:eastAsia="SimSun" w:cs="SimSun"/>
          <w:sz w:val="21"/>
          <w:szCs w:val="21"/>
          <w:spacing w:val="-1"/>
        </w:rPr>
        <w:t>是临床常用的一类药物，占每年所有药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物处方的5%～10%[27</w:t>
      </w:r>
      <w:r>
        <w:rPr>
          <w:sz w:val="21"/>
          <w:szCs w:val="21"/>
          <w:spacing w:val="8"/>
        </w:rPr>
        <w:t>J,</w:t>
      </w:r>
      <w:r>
        <w:rPr>
          <w:sz w:val="21"/>
          <w:szCs w:val="21"/>
          <w:spacing w:val="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能有效缓解疼痛，减少局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部和全身炎症反应发生，改善患者肌肉骨骼功能和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生活质量[28-29]。阿司匹林和其他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sz w:val="21"/>
          <w:szCs w:val="21"/>
          <w:spacing w:val="-7"/>
        </w:rPr>
        <w:t>NSAID</w:t>
      </w:r>
      <w:r>
        <w:rPr>
          <w:rFonts w:ascii="SimSun" w:hAnsi="SimSun" w:eastAsia="SimSun" w:cs="SimSun"/>
          <w:sz w:val="21"/>
          <w:szCs w:val="21"/>
          <w:spacing w:val="-8"/>
        </w:rPr>
        <w:t>的应用是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sz w:val="21"/>
          <w:szCs w:val="21"/>
        </w:rPr>
        <w:t>PU</w:t>
      </w:r>
      <w:r>
        <w:rPr>
          <w:sz w:val="21"/>
          <w:szCs w:val="21"/>
          <w:spacing w:val="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及其相关并发症的另一主要致病因素[3032】。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NSAID</w:t>
      </w:r>
      <w:r>
        <w:rPr>
          <w:rFonts w:ascii="SimSun" w:hAnsi="SimSun" w:eastAsia="SimSun" w:cs="SimSun"/>
          <w:sz w:val="21"/>
          <w:szCs w:val="21"/>
          <w:spacing w:val="-1"/>
        </w:rPr>
        <w:t>引发胃部疾病与药物抑制前列腺素分泌、胃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80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肠蠕动增强和黏膜通透性增加有关，这些因素产生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中性粒细胞浸润和氧自由基，导致黏膜发生病变。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环氧合酶是花生四烯酸代谢的限速酶，有环氧合酶-1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和环氧合酶-22种异构体。环氧合酶-1</w:t>
      </w:r>
      <w:r>
        <w:rPr>
          <w:rFonts w:ascii="SimSun" w:hAnsi="SimSun" w:eastAsia="SimSun" w:cs="SimSun"/>
          <w:sz w:val="21"/>
          <w:szCs w:val="21"/>
          <w:spacing w:val="3"/>
        </w:rPr>
        <w:t>在胃肠道组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织中广泛表达，可诱导产生具有保护功能的内源性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前列腺素，环氧合酶-2在细胞因子、内毒素等诱导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下高表达，与炎症和肿瘤细胞增殖等病理反应密切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相关[3334]。</w:t>
      </w:r>
      <w:r>
        <w:rPr>
          <w:sz w:val="21"/>
          <w:szCs w:val="21"/>
          <w:spacing w:val="-4"/>
        </w:rPr>
        <w:t>NSAID</w:t>
      </w:r>
      <w:r>
        <w:rPr>
          <w:rFonts w:ascii="SimSun" w:hAnsi="SimSun" w:eastAsia="SimSun" w:cs="SimSun"/>
          <w:sz w:val="21"/>
          <w:szCs w:val="21"/>
          <w:spacing w:val="-4"/>
        </w:rPr>
        <w:t>因可抑制环氧合酶活性引起</w:t>
      </w:r>
      <w:r>
        <w:rPr>
          <w:sz w:val="21"/>
          <w:szCs w:val="21"/>
          <w:spacing w:val="-4"/>
        </w:rPr>
        <w:t>PU</w:t>
      </w:r>
      <w:r>
        <w:rPr>
          <w:sz w:val="21"/>
          <w:szCs w:val="21"/>
          <w:spacing w:val="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7"/>
        </w:rPr>
        <w:t>和消化道并发症。与未使用者相比，使用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sz w:val="21"/>
          <w:szCs w:val="21"/>
        </w:rPr>
        <w:t>NSAID   </w:t>
      </w:r>
      <w:r>
        <w:rPr>
          <w:rFonts w:ascii="SimSun" w:hAnsi="SimSun" w:eastAsia="SimSun" w:cs="SimSun"/>
          <w:sz w:val="21"/>
          <w:szCs w:val="21"/>
          <w:spacing w:val="11"/>
        </w:rPr>
        <w:t>(含阿司匹林)的患者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PU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并发症发生风险可增加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4倍[35;在使用阿司匹林或其他</w:t>
      </w:r>
      <w:r>
        <w:rPr>
          <w:sz w:val="21"/>
          <w:szCs w:val="21"/>
        </w:rPr>
        <w:t>NSAID</w:t>
      </w:r>
      <w:r>
        <w:rPr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时，同时使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用选择性5-羟色胺再摄取抑制剂、糖皮质激素、醛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固酮拮抗剂或抗凝剂，会明显增加上消化道出血的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风险[36]。因此，开具</w:t>
      </w:r>
      <w:r>
        <w:rPr>
          <w:sz w:val="21"/>
          <w:szCs w:val="21"/>
          <w:spacing w:val="-6"/>
        </w:rPr>
        <w:t>NSAID</w:t>
      </w:r>
      <w:r>
        <w:rPr>
          <w:rFonts w:ascii="SimSun" w:hAnsi="SimSun" w:eastAsia="SimSun" w:cs="SimSun"/>
          <w:sz w:val="21"/>
          <w:szCs w:val="21"/>
          <w:spacing w:val="-6"/>
        </w:rPr>
        <w:t>处方时须识别发生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sz w:val="21"/>
          <w:szCs w:val="21"/>
          <w:spacing w:val="-6"/>
        </w:rPr>
        <w:t>PU</w:t>
      </w:r>
      <w:r>
        <w:rPr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3"/>
        </w:rPr>
        <w:t>的高风险患者[37]。</w:t>
      </w:r>
    </w:p>
    <w:p>
      <w:pPr>
        <w:pStyle w:val="BodyText"/>
        <w:ind w:right="47" w:firstLine="429"/>
        <w:spacing w:before="66" w:line="27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除服用</w:t>
      </w:r>
      <w:r>
        <w:rPr>
          <w:sz w:val="21"/>
          <w:szCs w:val="21"/>
        </w:rPr>
        <w:t>NSAID</w:t>
      </w:r>
      <w:r>
        <w:rPr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和</w:t>
      </w:r>
      <w:r>
        <w:rPr>
          <w:sz w:val="21"/>
          <w:szCs w:val="21"/>
          <w:spacing w:val="9"/>
        </w:rPr>
        <w:t>H.</w:t>
      </w:r>
      <w:r>
        <w:rPr>
          <w:sz w:val="21"/>
          <w:szCs w:val="21"/>
        </w:rPr>
        <w:t>pylori</w:t>
      </w:r>
      <w:r>
        <w:rPr>
          <w:rFonts w:ascii="SimSun" w:hAnsi="SimSun" w:eastAsia="SimSun" w:cs="SimSun"/>
          <w:sz w:val="21"/>
          <w:szCs w:val="21"/>
          <w:spacing w:val="9"/>
        </w:rPr>
        <w:t>感染外，另5%～10%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的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sz w:val="21"/>
          <w:szCs w:val="21"/>
        </w:rPr>
        <w:t>PU</w:t>
      </w:r>
      <w:r>
        <w:rPr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由其他疾病及病变状态等因素引起，包括胃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泌素瘤或系统性肥大细胞增多症等引起的酸分</w:t>
      </w:r>
      <w:r>
        <w:rPr>
          <w:rFonts w:ascii="SimSun" w:hAnsi="SimSun" w:eastAsia="SimSun" w:cs="SimSun"/>
          <w:sz w:val="21"/>
          <w:szCs w:val="21"/>
          <w:spacing w:val="-2"/>
        </w:rPr>
        <w:t>泌过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多状态、巨细胞病毒感染(特别在器官移植后)、克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罗恩病、淋巴瘤、药物，以及慢性病(肝硬</w:t>
      </w:r>
      <w:r>
        <w:rPr>
          <w:rFonts w:ascii="SimSun" w:hAnsi="SimSun" w:eastAsia="SimSun" w:cs="SimSun"/>
          <w:sz w:val="21"/>
          <w:szCs w:val="21"/>
          <w:spacing w:val="-6"/>
        </w:rPr>
        <w:t>化或慢性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肾病)等，需要注意辨别和区分。此外，还有</w:t>
      </w:r>
      <w:r>
        <w:rPr>
          <w:rFonts w:ascii="SimSun" w:hAnsi="SimSun" w:eastAsia="SimSun" w:cs="SimSun"/>
          <w:sz w:val="21"/>
          <w:szCs w:val="21"/>
          <w:spacing w:val="-6"/>
        </w:rPr>
        <w:t>一部分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为特发性消化性溃疡(idiopathic peptic ulcer,IPU),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其发病机制仍然未知，目前认为由于黏膜防御机制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与攻击性因素不平衡，导致胃酸分泌过多而引发。</w:t>
      </w:r>
    </w:p>
    <w:p>
      <w:pPr>
        <w:pStyle w:val="BodyText"/>
        <w:ind w:left="429"/>
        <w:spacing w:before="6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三、</w:t>
      </w:r>
      <w:r>
        <w:rPr>
          <w:sz w:val="21"/>
          <w:szCs w:val="21"/>
          <w:spacing w:val="-6"/>
        </w:rPr>
        <w:t>PU</w:t>
      </w:r>
      <w:r>
        <w:rPr>
          <w:rFonts w:ascii="SimSun" w:hAnsi="SimSun" w:eastAsia="SimSun" w:cs="SimSun"/>
          <w:sz w:val="21"/>
          <w:szCs w:val="21"/>
          <w:spacing w:val="-6"/>
        </w:rPr>
        <w:t>的临床表现与诊断</w:t>
      </w:r>
    </w:p>
    <w:p>
      <w:pPr>
        <w:pStyle w:val="BodyText"/>
        <w:ind w:left="2" w:right="90" w:firstLine="430"/>
        <w:spacing w:before="65" w:line="270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陈述3.1:</w:t>
      </w:r>
      <w:r>
        <w:rPr>
          <w:sz w:val="21"/>
          <w:szCs w:val="21"/>
          <w:b/>
          <w:bCs/>
          <w:spacing w:val="-9"/>
        </w:rPr>
        <w:t>PU</w:t>
      </w:r>
      <w:r>
        <w:rPr>
          <w:sz w:val="21"/>
          <w:szCs w:val="21"/>
          <w:b/>
          <w:bCs/>
          <w:spacing w:val="1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可表现为慢性、节律性、周期性的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上腹部疼痛，并发症主要包括出血、穿孔、</w:t>
      </w:r>
      <w:r>
        <w:rPr>
          <w:rFonts w:ascii="SimHei" w:hAnsi="SimHei" w:eastAsia="SimHei" w:cs="SimHei"/>
          <w:sz w:val="21"/>
          <w:szCs w:val="21"/>
          <w:b/>
          <w:bCs/>
          <w:spacing w:val="-13"/>
        </w:rPr>
        <w:t>幽门梗阻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和癌变等。</w:t>
      </w:r>
    </w:p>
    <w:p>
      <w:pPr>
        <w:pStyle w:val="BodyText"/>
        <w:ind w:right="74" w:firstLine="429"/>
        <w:spacing w:line="2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证据质量：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sz w:val="21"/>
          <w:szCs w:val="21"/>
          <w:spacing w:val="15"/>
        </w:rPr>
        <w:t>A; </w:t>
      </w:r>
      <w:r>
        <w:rPr>
          <w:rFonts w:ascii="SimSun" w:hAnsi="SimSun" w:eastAsia="SimSun" w:cs="SimSun"/>
          <w:sz w:val="21"/>
          <w:szCs w:val="21"/>
          <w:spacing w:val="15"/>
        </w:rPr>
        <w:t>推荐强度：强推荐；共识水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平：95.65%</w:t>
      </w:r>
    </w:p>
    <w:p>
      <w:pPr>
        <w:pStyle w:val="BodyText"/>
        <w:ind w:firstLine="429"/>
        <w:spacing w:before="11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</w:rPr>
        <w:t>PU</w:t>
      </w:r>
      <w:r>
        <w:rPr>
          <w:rFonts w:ascii="SimSun" w:hAnsi="SimSun" w:eastAsia="SimSun" w:cs="SimSun"/>
          <w:sz w:val="21"/>
          <w:szCs w:val="21"/>
        </w:rPr>
        <w:t>症状常为非特异性，典型者可表现为慢性、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节律性、周期性的上腹部疼痛。十二指肠溃疡患者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可感到饥饿痛或夜间腹痛；胃溃疡患者可有餐后腹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痛、恶心、呕吐和体重下降等症状1。部分未经治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疗的</w:t>
      </w:r>
      <w:r>
        <w:rPr>
          <w:sz w:val="21"/>
          <w:szCs w:val="21"/>
          <w:spacing w:val="-1"/>
        </w:rPr>
        <w:t>PU </w:t>
      </w:r>
      <w:r>
        <w:rPr>
          <w:rFonts w:ascii="SimSun" w:hAnsi="SimSun" w:eastAsia="SimSun" w:cs="SimSun"/>
          <w:sz w:val="21"/>
          <w:szCs w:val="21"/>
          <w:spacing w:val="-1"/>
        </w:rPr>
        <w:t>患者的病变可自行愈合，但若致病因素(如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2"/>
        </w:rPr>
        <w:t>H.</w:t>
      </w:r>
      <w:r>
        <w:rPr>
          <w:sz w:val="21"/>
          <w:szCs w:val="21"/>
        </w:rPr>
        <w:t>pylori</w:t>
      </w:r>
      <w:r>
        <w:rPr>
          <w:rFonts w:ascii="SimSun" w:hAnsi="SimSun" w:eastAsia="SimSun" w:cs="SimSun"/>
          <w:sz w:val="21"/>
          <w:szCs w:val="21"/>
          <w:spacing w:val="2"/>
        </w:rPr>
        <w:t>感染或服用</w:t>
      </w:r>
      <w:r>
        <w:rPr>
          <w:sz w:val="21"/>
          <w:szCs w:val="21"/>
        </w:rPr>
        <w:t>NSAID</w:t>
      </w:r>
      <w:r>
        <w:rPr>
          <w:sz w:val="21"/>
          <w:szCs w:val="21"/>
          <w:spacing w:val="2"/>
        </w:rPr>
        <w:t>)</w:t>
      </w:r>
      <w:r>
        <w:rPr>
          <w:rFonts w:ascii="SimSun" w:hAnsi="SimSun" w:eastAsia="SimSun" w:cs="SimSun"/>
          <w:sz w:val="21"/>
          <w:szCs w:val="21"/>
          <w:spacing w:val="2"/>
        </w:rPr>
        <w:t>持续存在，症状会反复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发作[1。老年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sz w:val="21"/>
          <w:szCs w:val="21"/>
        </w:rPr>
        <w:t>PU</w:t>
      </w:r>
      <w:r>
        <w:rPr>
          <w:rFonts w:ascii="SimSun" w:hAnsi="SimSun" w:eastAsia="SimSun" w:cs="SimSun"/>
          <w:sz w:val="21"/>
          <w:szCs w:val="21"/>
          <w:spacing w:val="4"/>
        </w:rPr>
        <w:t>患者常无明显症状或仅有轻微症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状。既往的一项前瞻性研究显示，因常规健康体检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接受上消化道内镜检查发现</w:t>
      </w:r>
      <w:r>
        <w:rPr>
          <w:sz w:val="21"/>
          <w:szCs w:val="21"/>
        </w:rPr>
        <w:t>PU</w:t>
      </w:r>
      <w:r>
        <w:rPr>
          <w:sz w:val="21"/>
          <w:szCs w:val="21"/>
          <w:spacing w:val="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的患者中，约2/3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无明显消化道症状[38。国内的流行病学调查显示，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72.2%的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sz w:val="21"/>
          <w:szCs w:val="21"/>
        </w:rPr>
        <w:t>PU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患者既无明显反流症状，也无典型上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腹痛、腹胀或恶心等症状8]。在有症状的患者中，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81%表现为上腹痛，46%表现为烧心或反酸[39]。出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血、穿孔和幽门梗阻是</w:t>
      </w:r>
      <w:r>
        <w:rPr>
          <w:sz w:val="21"/>
          <w:szCs w:val="21"/>
        </w:rPr>
        <w:t>PU</w:t>
      </w:r>
      <w:r>
        <w:rPr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的主要并发症。出血常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表现为贫血或呕血，近50%的患者可在无任何预警</w:t>
      </w:r>
    </w:p>
    <w:p>
      <w:pPr>
        <w:spacing w:line="273" w:lineRule="auto"/>
        <w:sectPr>
          <w:type w:val="continuous"/>
          <w:pgSz w:w="10720" w:h="15880"/>
          <w:pgMar w:top="453" w:right="485" w:bottom="0" w:left="394" w:header="0" w:footer="0" w:gutter="0"/>
          <w:cols w:equalWidth="0" w:num="2">
            <w:col w:w="5036" w:space="100"/>
            <w:col w:w="470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before="45" w:line="216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-15"/>
        </w:rPr>
        <w:t>中华消化杂志2023年3月第43卷第3期Chin J Dig,March</w:t>
      </w:r>
      <w:r>
        <w:rPr>
          <w:rFonts w:ascii="SimSun" w:hAnsi="SimSun" w:eastAsia="SimSun" w:cs="SimSun"/>
          <w:sz w:val="20"/>
          <w:szCs w:val="20"/>
          <w:u w:val="single" w:color="auto"/>
          <w:spacing w:val="-16"/>
        </w:rPr>
        <w:t xml:space="preserve"> 2023,Vol.43,No.3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                        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6"/>
          <w:position w:val="-5"/>
        </w:rPr>
        <w:t>— </w:t>
      </w:r>
      <w:r>
        <w:rPr>
          <w:sz w:val="20"/>
          <w:szCs w:val="20"/>
          <w:spacing w:val="-16"/>
          <w:position w:val="-5"/>
        </w:rPr>
        <w:t>179</w:t>
      </w:r>
      <w:r>
        <w:rPr>
          <w:sz w:val="20"/>
          <w:szCs w:val="20"/>
          <w:u w:val="dotted" w:color="auto"/>
          <w:spacing w:val="-16"/>
          <w:position w:val="-5"/>
        </w:rPr>
        <w:t xml:space="preserve">     </w:t>
      </w:r>
    </w:p>
    <w:p>
      <w:pPr>
        <w:spacing w:before="25"/>
        <w:rPr/>
      </w:pPr>
      <w:r/>
    </w:p>
    <w:p>
      <w:pPr>
        <w:sectPr>
          <w:pgSz w:w="10720" w:h="15880"/>
          <w:pgMar w:top="486" w:right="479" w:bottom="0" w:left="499" w:header="0" w:footer="0" w:gutter="0"/>
          <w:cols w:equalWidth="0" w:num="1">
            <w:col w:w="9741" w:space="0"/>
          </w:cols>
        </w:sectPr>
        <w:rPr/>
      </w:pPr>
    </w:p>
    <w:p>
      <w:pPr>
        <w:pStyle w:val="BodyText"/>
        <w:ind w:right="295"/>
        <w:spacing w:before="44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症状的情况下发生出血[0]。尽管全球范围内因</w:t>
      </w:r>
      <w:r>
        <w:rPr>
          <w:sz w:val="20"/>
          <w:szCs w:val="20"/>
        </w:rPr>
        <w:t>PU</w:t>
      </w:r>
      <w:r>
        <w:rPr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出血而入院的患者数逐步减少，但入院患者死亡率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仍稳定在5%～10%[41-42]。穿孔通常表现为突然发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生的上腹部剧烈疼痛，症状的轻重程度取决于患者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年龄和合并症，并发穿孔后患者的死亡率可达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20%。胃溃疡是否会并发癌变尚存争议，建议对此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类患者进行多次内镜检查和活体组织检查(以下简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称活检)。</w:t>
      </w:r>
    </w:p>
    <w:p>
      <w:pPr>
        <w:pStyle w:val="BodyText"/>
        <w:ind w:right="210" w:firstLine="440"/>
        <w:spacing w:before="8" w:line="285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3"/>
        </w:rPr>
        <w:t>陈述3.2:内镜检查是诊断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PU</w:t>
      </w:r>
      <w:r>
        <w:rPr>
          <w:sz w:val="20"/>
          <w:szCs w:val="20"/>
          <w:spacing w:val="3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3"/>
        </w:rPr>
        <w:t>最重要的方法，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对于无法接受传统内镜检查的患者，有条件</w:t>
      </w:r>
      <w:r>
        <w:rPr>
          <w:rFonts w:ascii="SimHei" w:hAnsi="SimHei" w:eastAsia="SimHei" w:cs="SimHei"/>
          <w:sz w:val="20"/>
          <w:szCs w:val="20"/>
          <w:spacing w:val="8"/>
        </w:rPr>
        <w:t>的内镜</w:t>
      </w:r>
      <w:r>
        <w:rPr>
          <w:rFonts w:ascii="SimHei" w:hAnsi="SimHei" w:eastAsia="SimHei" w:cs="SimHei"/>
          <w:sz w:val="20"/>
          <w:szCs w:val="20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9"/>
        </w:rPr>
        <w:t>中心可根据适应证选择磁控胶囊内镜检查。磁控胶</w:t>
      </w:r>
      <w:r>
        <w:rPr>
          <w:rFonts w:ascii="SimHei" w:hAnsi="SimHei" w:eastAsia="SimHei" w:cs="SimHei"/>
          <w:sz w:val="20"/>
          <w:szCs w:val="20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29"/>
        </w:rPr>
        <w:t>囊内镜检查诊断</w:t>
      </w:r>
      <w:r>
        <w:rPr>
          <w:rFonts w:ascii="SimHei" w:hAnsi="SimHei" w:eastAsia="SimHei" w:cs="SimHei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PU</w:t>
      </w:r>
      <w:r>
        <w:rPr>
          <w:rFonts w:ascii="SimSun" w:hAnsi="SimSun" w:eastAsia="SimSun" w:cs="SimSun"/>
          <w:sz w:val="20"/>
          <w:szCs w:val="20"/>
          <w:spacing w:val="8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9"/>
        </w:rPr>
        <w:t>的准确性与传统胃镜检查</w:t>
      </w:r>
      <w:r>
        <w:rPr>
          <w:rFonts w:ascii="SimHei" w:hAnsi="SimHei" w:eastAsia="SimHei" w:cs="SimHei"/>
          <w:sz w:val="20"/>
          <w:szCs w:val="20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3"/>
        </w:rPr>
        <w:t>相当。</w:t>
      </w:r>
    </w:p>
    <w:p>
      <w:pPr>
        <w:pStyle w:val="BodyText"/>
        <w:ind w:right="279" w:firstLine="440"/>
        <w:spacing w:before="1" w:line="293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1593837</wp:posOffset>
            </wp:positionH>
            <wp:positionV relativeFrom="paragraph">
              <wp:posOffset>-224208</wp:posOffset>
            </wp:positionV>
            <wp:extent cx="2889247" cy="277496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9247" cy="2774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3"/>
          <w:szCs w:val="23"/>
          <w:spacing w:val="-1"/>
        </w:rPr>
        <w:t>证据质量：</w:t>
      </w:r>
      <w:r>
        <w:rPr>
          <w:sz w:val="23"/>
          <w:szCs w:val="23"/>
          <w:spacing w:val="-1"/>
        </w:rPr>
        <w:t>A;</w:t>
      </w:r>
      <w:r>
        <w:rPr>
          <w:sz w:val="23"/>
          <w:szCs w:val="23"/>
          <w:spacing w:val="2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推荐强度：强推荐；共识水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平：95.65%</w:t>
      </w:r>
    </w:p>
    <w:p>
      <w:pPr>
        <w:pStyle w:val="BodyText"/>
        <w:ind w:right="294" w:firstLine="440"/>
        <w:spacing w:before="3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内镜检查是诊断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PU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最重要的方法，不仅有助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于排除其他可致溃疡的疾病，还可通过活检或</w:t>
      </w:r>
      <w:r>
        <w:rPr>
          <w:rFonts w:ascii="SimSun" w:hAnsi="SimSun" w:eastAsia="SimSun" w:cs="SimSun"/>
          <w:sz w:val="20"/>
          <w:szCs w:val="20"/>
          <w:spacing w:val="8"/>
        </w:rPr>
        <w:t>快速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尿素酶试验</w:t>
      </w:r>
      <w:r>
        <w:rPr>
          <w:sz w:val="20"/>
          <w:szCs w:val="20"/>
          <w:spacing w:val="1"/>
        </w:rPr>
        <w:t>(</w:t>
      </w:r>
      <w:r>
        <w:rPr>
          <w:sz w:val="20"/>
          <w:szCs w:val="20"/>
        </w:rPr>
        <w:t>rapid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sz w:val="20"/>
          <w:szCs w:val="20"/>
        </w:rPr>
        <w:t>urease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</w:rPr>
        <w:t>test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</w:rPr>
        <w:t>RUT</w:t>
      </w:r>
      <w:r>
        <w:rPr>
          <w:sz w:val="20"/>
          <w:szCs w:val="20"/>
          <w:spacing w:val="1"/>
        </w:rPr>
        <w:t>)</w:t>
      </w:r>
      <w:r>
        <w:rPr>
          <w:rFonts w:ascii="SimSun" w:hAnsi="SimSun" w:eastAsia="SimSun" w:cs="SimSun"/>
          <w:sz w:val="20"/>
          <w:szCs w:val="20"/>
          <w:spacing w:val="1"/>
        </w:rPr>
        <w:t>判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断</w:t>
      </w:r>
      <w:r>
        <w:rPr>
          <w:sz w:val="20"/>
          <w:szCs w:val="20"/>
          <w:spacing w:val="1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染情况，对随后的治疗计划至关重要。与上消化道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造影检查相比，内镜检查对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PU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的诊断率更高，且可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评估溃疡的位置、大小、深度和任何出血的迹象或征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兆，并进行活检[43]。对于无法接受传统内镜检查的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患者，有条件的内镜中心还可根据适应证选择磁控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胶囊内镜检查。国内开展的一项大型、前瞻性、多中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心的临床研究显示，磁控胶囊内镜检查是一种安全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的方法，可通过远程磁控操作来观察胃黏膜，</w:t>
      </w:r>
      <w:r>
        <w:rPr>
          <w:rFonts w:ascii="SimSun" w:hAnsi="SimSun" w:eastAsia="SimSun" w:cs="SimSun"/>
          <w:sz w:val="20"/>
          <w:szCs w:val="20"/>
          <w:spacing w:val="-1"/>
        </w:rPr>
        <w:t>无需插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管或镇静，其诊断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sz w:val="20"/>
          <w:szCs w:val="20"/>
        </w:rPr>
        <w:t>PU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的准确性与传统胃镜检查相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当[44]。在某些特殊情况下，如患者并发急性心脑血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管事件等，可考虑使用上消化道造影检查诊断</w:t>
      </w:r>
      <w:r>
        <w:rPr>
          <w:sz w:val="20"/>
          <w:szCs w:val="20"/>
        </w:rPr>
        <w:t>PU</w:t>
      </w:r>
      <w:r>
        <w:rPr>
          <w:rFonts w:ascii="SimSun" w:hAnsi="SimSun" w:eastAsia="SimSun" w:cs="SimSun"/>
          <w:sz w:val="20"/>
          <w:szCs w:val="20"/>
          <w:spacing w:val="5"/>
        </w:rPr>
        <w:t>。</w:t>
      </w:r>
    </w:p>
    <w:p>
      <w:pPr>
        <w:pStyle w:val="BodyText"/>
        <w:ind w:right="277" w:firstLine="443"/>
        <w:spacing w:before="55" w:line="26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3"/>
          <w:szCs w:val="23"/>
          <w:b/>
          <w:bCs/>
          <w:spacing w:val="-16"/>
        </w:rPr>
        <w:t>陈述3.3:现在或既往诊断</w:t>
      </w:r>
      <w:r>
        <w:rPr>
          <w:sz w:val="23"/>
          <w:szCs w:val="23"/>
          <w:b/>
          <w:bCs/>
          <w:spacing w:val="-16"/>
        </w:rPr>
        <w:t>PU </w:t>
      </w:r>
      <w:r>
        <w:rPr>
          <w:rFonts w:ascii="SimHei" w:hAnsi="SimHei" w:eastAsia="SimHei" w:cs="SimHei"/>
          <w:sz w:val="23"/>
          <w:szCs w:val="23"/>
          <w:b/>
          <w:bCs/>
          <w:spacing w:val="-16"/>
        </w:rPr>
        <w:t>的患者均需接受</w:t>
      </w:r>
      <w:r>
        <w:rPr>
          <w:rFonts w:ascii="SimHei" w:hAnsi="SimHei" w:eastAsia="SimHei" w:cs="SimHei"/>
          <w:sz w:val="23"/>
          <w:szCs w:val="23"/>
          <w:spacing w:val="14"/>
        </w:rPr>
        <w:t xml:space="preserve"> </w:t>
      </w:r>
      <w:r>
        <w:rPr>
          <w:sz w:val="20"/>
          <w:szCs w:val="20"/>
          <w:b/>
          <w:bCs/>
          <w:spacing w:val="2"/>
        </w:rPr>
        <w:t>H.</w:t>
      </w:r>
      <w:r>
        <w:rPr>
          <w:sz w:val="20"/>
          <w:szCs w:val="20"/>
          <w:b/>
          <w:bCs/>
        </w:rPr>
        <w:t>pylori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2"/>
        </w:rPr>
        <w:t>检测。</w:t>
      </w:r>
    </w:p>
    <w:p>
      <w:pPr>
        <w:pStyle w:val="BodyText"/>
        <w:ind w:right="279" w:firstLine="440"/>
        <w:spacing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2"/>
        </w:rPr>
        <w:t>证据质量：</w:t>
      </w:r>
      <w:r>
        <w:rPr>
          <w:sz w:val="23"/>
          <w:szCs w:val="23"/>
          <w:spacing w:val="-2"/>
        </w:rPr>
        <w:t>A;</w:t>
      </w:r>
      <w:r>
        <w:rPr>
          <w:sz w:val="23"/>
          <w:szCs w:val="23"/>
          <w:spacing w:val="4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推荐强度：强推荐；共识水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平：100.00%</w:t>
      </w:r>
    </w:p>
    <w:p>
      <w:pPr>
        <w:pStyle w:val="BodyText"/>
        <w:ind w:right="252" w:firstLine="440"/>
        <w:spacing w:before="11" w:line="27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诊断</w:t>
      </w:r>
      <w:r>
        <w:rPr>
          <w:sz w:val="20"/>
          <w:szCs w:val="20"/>
          <w:spacing w:val="26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感染的测试包括尿素呼气试验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(urea   breath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  <w:spacing w:val="-4"/>
        </w:rPr>
        <w:t>test,UBT)</w:t>
      </w:r>
      <w:r>
        <w:rPr>
          <w:rFonts w:ascii="SimSun" w:hAnsi="SimSun" w:eastAsia="SimSun" w:cs="SimSun"/>
          <w:sz w:val="20"/>
          <w:szCs w:val="20"/>
          <w:spacing w:val="-4"/>
        </w:rPr>
        <w:t>、单克隆粪便抗原检</w:t>
      </w:r>
      <w:r>
        <w:rPr>
          <w:rFonts w:ascii="SimSun" w:hAnsi="SimSun" w:eastAsia="SimSun" w:cs="SimSun"/>
          <w:sz w:val="20"/>
          <w:szCs w:val="20"/>
          <w:spacing w:val="-5"/>
        </w:rPr>
        <w:t>测、</w:t>
      </w:r>
      <w:r>
        <w:rPr>
          <w:sz w:val="20"/>
          <w:szCs w:val="20"/>
          <w:spacing w:val="-5"/>
        </w:rPr>
        <w:t>RUT</w:t>
      </w:r>
      <w:r>
        <w:rPr>
          <w:rFonts w:ascii="SimSun" w:hAnsi="SimSun" w:eastAsia="SimSun" w:cs="SimSun"/>
          <w:sz w:val="20"/>
          <w:szCs w:val="20"/>
          <w:spacing w:val="-5"/>
        </w:rPr>
        <w:t>、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胃黏膜组织病理学和血清学抗体检测。有学者指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出，大多数情况下，活动性感染的检测</w:t>
      </w:r>
      <w:r>
        <w:rPr>
          <w:sz w:val="20"/>
          <w:szCs w:val="20"/>
          <w:spacing w:val="-3"/>
        </w:rPr>
        <w:t>(UBT</w:t>
      </w:r>
      <w:r>
        <w:rPr>
          <w:rFonts w:ascii="SimSun" w:hAnsi="SimSun" w:eastAsia="SimSun" w:cs="SimSun"/>
          <w:sz w:val="20"/>
          <w:szCs w:val="20"/>
          <w:spacing w:val="-3"/>
        </w:rPr>
        <w:t>、粪便抗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原检测、</w:t>
      </w:r>
      <w:r>
        <w:rPr>
          <w:sz w:val="20"/>
          <w:szCs w:val="20"/>
        </w:rPr>
        <w:t>RUT</w:t>
      </w:r>
      <w:r>
        <w:rPr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或组织学检测)诊断</w:t>
      </w:r>
      <w:r>
        <w:rPr>
          <w:sz w:val="20"/>
          <w:szCs w:val="20"/>
          <w:spacing w:val="7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感染较血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清学抗体检测更准确[45]。血清学抗体检测</w:t>
      </w:r>
      <w:r>
        <w:rPr>
          <w:rFonts w:ascii="SimSun" w:hAnsi="SimSun" w:eastAsia="SimSun" w:cs="SimSun"/>
          <w:sz w:val="20"/>
          <w:szCs w:val="20"/>
          <w:spacing w:val="8"/>
        </w:rPr>
        <w:t>主要用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于流行病学调查，不作为</w:t>
      </w:r>
      <w:r>
        <w:rPr>
          <w:sz w:val="20"/>
          <w:szCs w:val="20"/>
          <w:spacing w:val="3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现症感染的诊断方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法。根据我国2022版</w:t>
      </w:r>
      <w:r>
        <w:rPr>
          <w:sz w:val="20"/>
          <w:szCs w:val="20"/>
          <w:spacing w:val="15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非根除治疗共识[26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推荐，多数根除治疗患者无需复查胃镜，建议采用非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侵入性方法检测</w:t>
      </w:r>
      <w:r>
        <w:rPr>
          <w:sz w:val="20"/>
          <w:szCs w:val="20"/>
          <w:spacing w:val="7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</w:rPr>
        <w:t>UBT</w:t>
      </w:r>
      <w:r>
        <w:rPr>
          <w:sz w:val="20"/>
          <w:szCs w:val="20"/>
          <w:spacing w:val="2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是首选方法，单克隆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粪便抗原检测可作为备选方法；对于接受内镜检查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的患者，</w:t>
      </w:r>
      <w:r>
        <w:rPr>
          <w:sz w:val="20"/>
          <w:szCs w:val="20"/>
        </w:rPr>
        <w:t>RUT</w:t>
      </w:r>
      <w:r>
        <w:rPr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可作为</w:t>
      </w:r>
      <w:r>
        <w:rPr>
          <w:sz w:val="20"/>
          <w:szCs w:val="20"/>
          <w:spacing w:val="1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快速检测方法，胃黏膜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8"/>
        <w:spacing w:before="40" w:line="30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组织常规染色通常可有效诊断</w:t>
      </w:r>
      <w:r>
        <w:rPr>
          <w:sz w:val="20"/>
          <w:szCs w:val="20"/>
          <w:spacing w:val="5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感染，必要时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可行特殊染色。</w:t>
      </w:r>
    </w:p>
    <w:p>
      <w:pPr>
        <w:pStyle w:val="BodyText"/>
        <w:ind w:left="2" w:right="90" w:firstLine="440"/>
        <w:spacing w:line="26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陈述3.4:</w:t>
      </w:r>
      <w:r>
        <w:rPr>
          <w:sz w:val="20"/>
          <w:szCs w:val="20"/>
          <w:b/>
          <w:bCs/>
        </w:rPr>
        <w:t>PU</w:t>
      </w:r>
      <w:r>
        <w:rPr>
          <w:sz w:val="20"/>
          <w:szCs w:val="20"/>
          <w:b/>
          <w:bCs/>
          <w:spacing w:val="4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病因诊断时需综合考虑患者既往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4"/>
        </w:rPr>
        <w:t>史、服药史，特别是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NSAID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4"/>
        </w:rPr>
        <w:t>等使用情况。</w:t>
      </w:r>
    </w:p>
    <w:p>
      <w:pPr>
        <w:pStyle w:val="BodyText"/>
        <w:ind w:right="89" w:firstLine="439"/>
        <w:spacing w:before="2" w:line="2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2"/>
        </w:rPr>
        <w:t>证据质量：</w:t>
      </w:r>
      <w:r>
        <w:rPr>
          <w:sz w:val="23"/>
          <w:szCs w:val="23"/>
          <w:spacing w:val="-2"/>
        </w:rPr>
        <w:t>A;</w:t>
      </w:r>
      <w:r>
        <w:rPr>
          <w:sz w:val="23"/>
          <w:szCs w:val="23"/>
          <w:spacing w:val="3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推荐强度：强推荐；共识水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平：100.00%</w:t>
      </w:r>
    </w:p>
    <w:p>
      <w:pPr>
        <w:pStyle w:val="BodyText"/>
        <w:ind w:firstLine="439"/>
        <w:spacing w:before="3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</w:rPr>
        <w:t>NSAID</w:t>
      </w:r>
      <w:r>
        <w:rPr>
          <w:rFonts w:ascii="SimSun" w:hAnsi="SimSun" w:eastAsia="SimSun" w:cs="SimSun"/>
          <w:sz w:val="20"/>
          <w:szCs w:val="20"/>
          <w:spacing w:val="9"/>
        </w:rPr>
        <w:t>引起的</w:t>
      </w:r>
      <w:r>
        <w:rPr>
          <w:sz w:val="20"/>
          <w:szCs w:val="20"/>
        </w:rPr>
        <w:t>PU</w:t>
      </w:r>
      <w:r>
        <w:rPr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常见于老年、使用多种药物、 </w:t>
      </w:r>
      <w:r>
        <w:rPr>
          <w:rFonts w:ascii="SimSun" w:hAnsi="SimSun" w:eastAsia="SimSun" w:cs="SimSun"/>
          <w:sz w:val="20"/>
          <w:szCs w:val="20"/>
          <w:spacing w:val="2"/>
        </w:rPr>
        <w:t>有合并症、</w:t>
      </w:r>
      <w:r>
        <w:rPr>
          <w:sz w:val="20"/>
          <w:szCs w:val="20"/>
          <w:spacing w:val="2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感染和有</w:t>
      </w:r>
      <w:r>
        <w:rPr>
          <w:sz w:val="20"/>
          <w:szCs w:val="20"/>
        </w:rPr>
        <w:t>PU</w:t>
      </w:r>
      <w:r>
        <w:rPr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病史的患者[4647]。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2018年美国休斯敦共识24]和我国2022版</w:t>
      </w:r>
      <w:r>
        <w:rPr>
          <w:sz w:val="20"/>
          <w:szCs w:val="20"/>
          <w:spacing w:val="16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"/>
        </w:rPr>
        <w:t>非根除治疗共识[26]均明确指出，使用过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NSAID</w:t>
      </w:r>
      <w:r>
        <w:rPr>
          <w:rFonts w:ascii="SimSun" w:hAnsi="SimSun" w:eastAsia="SimSun" w:cs="SimSun"/>
          <w:sz w:val="20"/>
          <w:szCs w:val="20"/>
          <w:spacing w:val="7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  <w:spacing w:val="10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感染患者发生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</w:rPr>
        <w:t>PU</w:t>
      </w:r>
      <w:r>
        <w:rPr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的风险显著增加，因此，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在进行诊断时需全面考虑患者既往病史、服药史，特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别是</w:t>
      </w:r>
      <w:r>
        <w:rPr>
          <w:sz w:val="20"/>
          <w:szCs w:val="20"/>
        </w:rPr>
        <w:t>NSAID</w:t>
      </w:r>
      <w:r>
        <w:rPr>
          <w:rFonts w:ascii="SimSun" w:hAnsi="SimSun" w:eastAsia="SimSun" w:cs="SimSun"/>
          <w:sz w:val="20"/>
          <w:szCs w:val="20"/>
          <w:spacing w:val="13"/>
        </w:rPr>
        <w:t>等使用情况进行综合判断。</w:t>
      </w:r>
    </w:p>
    <w:p>
      <w:pPr>
        <w:pStyle w:val="BodyText"/>
        <w:ind w:left="439"/>
        <w:spacing w:before="1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四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、</w:t>
      </w:r>
      <w:r>
        <w:rPr>
          <w:sz w:val="20"/>
          <w:szCs w:val="20"/>
          <w:spacing w:val="-7"/>
        </w:rPr>
        <w:t>PU </w:t>
      </w:r>
      <w:r>
        <w:rPr>
          <w:rFonts w:ascii="SimSun" w:hAnsi="SimSun" w:eastAsia="SimSun" w:cs="SimSun"/>
          <w:sz w:val="20"/>
          <w:szCs w:val="20"/>
          <w:spacing w:val="-7"/>
        </w:rPr>
        <w:t>的一般药物治疗</w:t>
      </w:r>
    </w:p>
    <w:p>
      <w:pPr>
        <w:pStyle w:val="BodyText"/>
        <w:ind w:right="93" w:firstLine="439"/>
        <w:spacing w:before="57" w:line="288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6"/>
        </w:rPr>
        <w:t>陈</w:t>
      </w:r>
      <w:r>
        <w:rPr>
          <w:rFonts w:ascii="SimHei" w:hAnsi="SimHei" w:eastAsia="SimHei" w:cs="SimHei"/>
          <w:sz w:val="20"/>
          <w:szCs w:val="20"/>
          <w:spacing w:val="-1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述</w:t>
      </w:r>
      <w:r>
        <w:rPr>
          <w:rFonts w:ascii="SimHei" w:hAnsi="SimHei" w:eastAsia="SimHei" w:cs="SimHei"/>
          <w:sz w:val="20"/>
          <w:szCs w:val="20"/>
          <w:spacing w:val="-3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4</w:t>
      </w:r>
      <w:r>
        <w:rPr>
          <w:rFonts w:ascii="SimHei" w:hAnsi="SimHei" w:eastAsia="SimHei" w:cs="SimHei"/>
          <w:sz w:val="20"/>
          <w:szCs w:val="20"/>
          <w:spacing w:val="-2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.</w:t>
      </w:r>
      <w:r>
        <w:rPr>
          <w:rFonts w:ascii="SimHei" w:hAnsi="SimHei" w:eastAsia="SimHei" w:cs="SimHei"/>
          <w:sz w:val="20"/>
          <w:szCs w:val="20"/>
          <w:spacing w:val="-2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1</w:t>
      </w:r>
      <w:r>
        <w:rPr>
          <w:rFonts w:ascii="SimHei" w:hAnsi="SimHei" w:eastAsia="SimHei" w:cs="SimHei"/>
          <w:sz w:val="20"/>
          <w:szCs w:val="20"/>
          <w:spacing w:val="-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:</w:t>
      </w:r>
      <w:r>
        <w:rPr>
          <w:rFonts w:ascii="SimHei" w:hAnsi="SimHei" w:eastAsia="SimHei" w:cs="SimHei"/>
          <w:sz w:val="20"/>
          <w:szCs w:val="20"/>
          <w:spacing w:val="-3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质</w:t>
      </w:r>
      <w:r>
        <w:rPr>
          <w:rFonts w:ascii="SimHei" w:hAnsi="SimHei" w:eastAsia="SimHei" w:cs="SimHei"/>
          <w:sz w:val="20"/>
          <w:szCs w:val="20"/>
          <w:spacing w:val="-3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子</w:t>
      </w:r>
      <w:r>
        <w:rPr>
          <w:rFonts w:ascii="SimHei" w:hAnsi="SimHei" w:eastAsia="SimHei" w:cs="SimHei"/>
          <w:sz w:val="20"/>
          <w:szCs w:val="20"/>
          <w:spacing w:val="-3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泵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抑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制</w:t>
      </w:r>
      <w:r>
        <w:rPr>
          <w:rFonts w:ascii="SimHei" w:hAnsi="SimHei" w:eastAsia="SimHei" w:cs="SimHei"/>
          <w:sz w:val="20"/>
          <w:szCs w:val="20"/>
          <w:spacing w:val="-3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6"/>
        </w:rPr>
        <w:t>剂</w:t>
      </w:r>
      <w:r>
        <w:rPr>
          <w:rFonts w:ascii="SimHei" w:hAnsi="SimHei" w:eastAsia="SimHei" w:cs="SimHei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-6"/>
        </w:rPr>
        <w:t>(proton         pump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inhibitor,PPI)</w:t>
      </w:r>
      <w:r>
        <w:rPr>
          <w:rFonts w:ascii="SimSun" w:hAnsi="SimSun" w:eastAsia="SimSun" w:cs="SimSun"/>
          <w:sz w:val="20"/>
          <w:szCs w:val="20"/>
          <w:spacing w:val="7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和</w:t>
      </w:r>
      <w:r>
        <w:rPr>
          <w:rFonts w:ascii="SimHei" w:hAnsi="SimHei" w:eastAsia="SimHei" w:cs="SimHei"/>
          <w:sz w:val="20"/>
          <w:szCs w:val="20"/>
          <w:spacing w:val="-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钾</w:t>
      </w:r>
      <w:r>
        <w:rPr>
          <w:rFonts w:ascii="SimHei" w:hAnsi="SimHei" w:eastAsia="SimHei" w:cs="SimHei"/>
          <w:sz w:val="20"/>
          <w:szCs w:val="20"/>
          <w:spacing w:val="-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离</w:t>
      </w:r>
      <w:r>
        <w:rPr>
          <w:rFonts w:ascii="SimHei" w:hAnsi="SimHei" w:eastAsia="SimHei" w:cs="SimHei"/>
          <w:sz w:val="20"/>
          <w:szCs w:val="20"/>
          <w:spacing w:val="-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子</w:t>
      </w:r>
      <w:r>
        <w:rPr>
          <w:rFonts w:ascii="SimHei" w:hAnsi="SimHei" w:eastAsia="SimHei" w:cs="SimHei"/>
          <w:sz w:val="20"/>
          <w:szCs w:val="20"/>
          <w:spacing w:val="-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竞</w:t>
      </w:r>
      <w:r>
        <w:rPr>
          <w:rFonts w:ascii="SimHei" w:hAnsi="SimHei" w:eastAsia="SimHei" w:cs="SimHei"/>
          <w:sz w:val="20"/>
          <w:szCs w:val="20"/>
          <w:spacing w:val="-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争</w:t>
      </w:r>
      <w:r>
        <w:rPr>
          <w:rFonts w:ascii="SimHei" w:hAnsi="SimHei" w:eastAsia="SimHei" w:cs="SimHei"/>
          <w:sz w:val="20"/>
          <w:szCs w:val="20"/>
          <w:spacing w:val="-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性</w:t>
      </w:r>
      <w:r>
        <w:rPr>
          <w:rFonts w:ascii="SimHei" w:hAnsi="SimHei" w:eastAsia="SimHei" w:cs="SimHei"/>
          <w:sz w:val="20"/>
          <w:szCs w:val="20"/>
          <w:spacing w:val="-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酸</w:t>
      </w:r>
      <w:r>
        <w:rPr>
          <w:rFonts w:ascii="SimHei" w:hAnsi="SimHei" w:eastAsia="SimHei" w:cs="SimHei"/>
          <w:sz w:val="20"/>
          <w:szCs w:val="20"/>
          <w:spacing w:val="-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阻</w:t>
      </w:r>
      <w:r>
        <w:rPr>
          <w:rFonts w:ascii="SimHei" w:hAnsi="SimHei" w:eastAsia="SimHei" w:cs="SimHei"/>
          <w:sz w:val="20"/>
          <w:szCs w:val="20"/>
          <w:spacing w:val="-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滞</w:t>
      </w:r>
      <w:r>
        <w:rPr>
          <w:rFonts w:ascii="SimHei" w:hAnsi="SimHei" w:eastAsia="SimHei" w:cs="SimHei"/>
          <w:sz w:val="20"/>
          <w:szCs w:val="20"/>
          <w:spacing w:val="-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剂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(potassium-competitive acid blocker,P-CAB)</w:t>
      </w:r>
      <w:r>
        <w:rPr>
          <w:rFonts w:ascii="SimHei" w:hAnsi="SimHei" w:eastAsia="SimHei" w:cs="SimHei"/>
          <w:sz w:val="20"/>
          <w:szCs w:val="20"/>
          <w:spacing w:val="-2"/>
        </w:rPr>
        <w:t>均</w:t>
      </w:r>
      <w:r>
        <w:rPr>
          <w:rFonts w:ascii="SimHei" w:hAnsi="SimHei" w:eastAsia="SimHei" w:cs="SimHei"/>
          <w:sz w:val="20"/>
          <w:szCs w:val="20"/>
          <w:spacing w:val="-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可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有效抑制胃酸分泌，促进溃疡愈合。</w:t>
      </w:r>
    </w:p>
    <w:p>
      <w:pPr>
        <w:pStyle w:val="BodyText"/>
        <w:ind w:right="109" w:firstLine="439"/>
        <w:spacing w:before="3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2"/>
        </w:rPr>
        <w:t>证据质量：</w:t>
      </w:r>
      <w:r>
        <w:rPr>
          <w:sz w:val="23"/>
          <w:szCs w:val="23"/>
          <w:spacing w:val="-2"/>
        </w:rPr>
        <w:t>A; </w:t>
      </w:r>
      <w:r>
        <w:rPr>
          <w:rFonts w:ascii="SimSun" w:hAnsi="SimSun" w:eastAsia="SimSun" w:cs="SimSun"/>
          <w:sz w:val="23"/>
          <w:szCs w:val="23"/>
          <w:spacing w:val="-2"/>
        </w:rPr>
        <w:t>推荐强度：强推荐；共识水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平：91.31%</w:t>
      </w:r>
    </w:p>
    <w:p>
      <w:pPr>
        <w:pStyle w:val="BodyText"/>
        <w:ind w:right="92" w:firstLine="439"/>
        <w:spacing w:before="4" w:line="28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</w:rPr>
        <w:t>PPI</w:t>
      </w:r>
      <w:r>
        <w:rPr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可以抑制壁细胞分泌</w:t>
      </w:r>
      <w:r>
        <w:rPr>
          <w:sz w:val="20"/>
          <w:szCs w:val="20"/>
          <w:spacing w:val="10"/>
        </w:rPr>
        <w:t>H+ </w:t>
      </w:r>
      <w:r>
        <w:rPr>
          <w:rFonts w:ascii="SimSun" w:hAnsi="SimSun" w:eastAsia="SimSun" w:cs="SimSun"/>
          <w:sz w:val="20"/>
          <w:szCs w:val="20"/>
          <w:spacing w:val="10"/>
        </w:rPr>
        <w:t>的最后环节氢-钾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ATP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酶，是全球范围内用于治疗酸相关疾病的常用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药[48]。确诊</w:t>
      </w:r>
      <w:r>
        <w:rPr>
          <w:sz w:val="20"/>
          <w:szCs w:val="20"/>
        </w:rPr>
        <w:t>PU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后，依据患者的基础疾病、溃疡的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位置和相关并发症确定</w:t>
      </w:r>
      <w:r>
        <w:rPr>
          <w:sz w:val="20"/>
          <w:szCs w:val="20"/>
        </w:rPr>
        <w:t>PPI</w:t>
      </w:r>
      <w:r>
        <w:rPr>
          <w:sz w:val="20"/>
          <w:szCs w:val="20"/>
          <w:spacing w:val="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的疗程。大多数胃溃疡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在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</w:rPr>
        <w:t>PPI</w:t>
      </w:r>
      <w:r>
        <w:rPr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治疗6～8周后可痊愈，十二指肠溃疡建议治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疗4～6周。若溃疡未能完全愈合，应检查</w:t>
      </w:r>
      <w:r>
        <w:rPr>
          <w:rFonts w:ascii="SimSun" w:hAnsi="SimSun" w:eastAsia="SimSun" w:cs="SimSun"/>
          <w:sz w:val="20"/>
          <w:szCs w:val="20"/>
          <w:spacing w:val="9"/>
        </w:rPr>
        <w:t>患者依从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性并仔细询问其既往病史。尽管尚无可靠证据，但 </w:t>
      </w:r>
      <w:r>
        <w:rPr>
          <w:rFonts w:ascii="SimSun" w:hAnsi="SimSun" w:eastAsia="SimSun" w:cs="SimSun"/>
          <w:sz w:val="20"/>
          <w:szCs w:val="20"/>
          <w:spacing w:val="19"/>
        </w:rPr>
        <w:t>溃疡愈合不充分时，通常建议采用双倍标准剂量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PPI</w:t>
      </w:r>
      <w:r>
        <w:rPr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再治疗6～8周，以弥补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sz w:val="20"/>
          <w:szCs w:val="20"/>
        </w:rPr>
        <w:t>PPI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被快速代谢的不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足[49];不同</w:t>
      </w:r>
      <w:r>
        <w:rPr>
          <w:sz w:val="20"/>
          <w:szCs w:val="20"/>
        </w:rPr>
        <w:t>PPI</w:t>
      </w:r>
      <w:r>
        <w:rPr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的相对效力也各不相同</w:t>
      </w:r>
      <w:r>
        <w:rPr>
          <w:rFonts w:ascii="SimSun" w:hAnsi="SimSun" w:eastAsia="SimSun" w:cs="SimSun"/>
          <w:sz w:val="20"/>
          <w:szCs w:val="20"/>
          <w:spacing w:val="2"/>
        </w:rPr>
        <w:t>[50],可考虑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交替使用不同种类的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</w:rPr>
        <w:t>PPI</w:t>
      </w:r>
      <w:r>
        <w:rPr>
          <w:sz w:val="20"/>
          <w:szCs w:val="20"/>
          <w:spacing w:val="11"/>
        </w:rPr>
        <w:t>[51-52]</w:t>
      </w:r>
      <w:r>
        <w:rPr>
          <w:rFonts w:ascii="SimSun" w:hAnsi="SimSun" w:eastAsia="SimSun" w:cs="SimSun"/>
          <w:sz w:val="20"/>
          <w:szCs w:val="20"/>
          <w:spacing w:val="11"/>
        </w:rPr>
        <w:t>。溃疡愈合与药物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24h   </w:t>
      </w:r>
      <w:r>
        <w:rPr>
          <w:rFonts w:ascii="SimSun" w:hAnsi="SimSun" w:eastAsia="SimSun" w:cs="SimSun"/>
          <w:sz w:val="20"/>
          <w:szCs w:val="20"/>
          <w:spacing w:val="1"/>
        </w:rPr>
        <w:t>内抑酸时间、疗程和抑酸程度均密切相关</w:t>
      </w:r>
      <w:r>
        <w:rPr>
          <w:sz w:val="20"/>
          <w:szCs w:val="20"/>
          <w:spacing w:val="1"/>
        </w:rPr>
        <w:t>[S²]</w:t>
      </w:r>
      <w:r>
        <w:rPr>
          <w:rFonts w:ascii="SimSun" w:hAnsi="SimSun" w:eastAsia="SimSun" w:cs="SimSun"/>
          <w:sz w:val="20"/>
          <w:szCs w:val="20"/>
          <w:spacing w:val="1"/>
        </w:rPr>
        <w:t>。</w:t>
      </w:r>
    </w:p>
    <w:p>
      <w:pPr>
        <w:pStyle w:val="BodyText"/>
        <w:ind w:right="20" w:firstLine="439"/>
        <w:spacing w:before="116" w:line="27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11"/>
        </w:rPr>
        <w:t>P-</w:t>
      </w:r>
      <w:r>
        <w:rPr>
          <w:sz w:val="20"/>
          <w:szCs w:val="20"/>
        </w:rPr>
        <w:t>CAB</w:t>
      </w:r>
      <w:r>
        <w:rPr>
          <w:rFonts w:ascii="SimSun" w:hAnsi="SimSun" w:eastAsia="SimSun" w:cs="SimSun"/>
          <w:sz w:val="20"/>
          <w:szCs w:val="20"/>
          <w:spacing w:val="11"/>
        </w:rPr>
        <w:t>通过竞争性阻滞钾离子与氢-钾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</w:rPr>
        <w:t>ATP</w:t>
      </w:r>
      <w:r>
        <w:rPr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酶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结合达到抑酸作用，不仅起效迅速，还可将胃内的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pH</w:t>
      </w:r>
      <w:r>
        <w:rPr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值稳定在较高水平[53。相比</w:t>
      </w:r>
      <w:r>
        <w:rPr>
          <w:sz w:val="20"/>
          <w:szCs w:val="20"/>
        </w:rPr>
        <w:t>PPI</w:t>
      </w:r>
      <w:r>
        <w:rPr>
          <w:sz w:val="20"/>
          <w:szCs w:val="20"/>
          <w:spacing w:val="8"/>
        </w:rPr>
        <w:t>,P-</w:t>
      </w:r>
      <w:r>
        <w:rPr>
          <w:sz w:val="20"/>
          <w:szCs w:val="20"/>
        </w:rPr>
        <w:t>CAB</w:t>
      </w:r>
      <w:r>
        <w:rPr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具有药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效学和药代动力学方面的优势，已被用于酸相关性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疾病的治疗。根据既往研究，患者对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5"/>
        </w:rPr>
        <w:t>P-</w:t>
      </w:r>
      <w:r>
        <w:rPr>
          <w:sz w:val="20"/>
          <w:szCs w:val="20"/>
        </w:rPr>
        <w:t>CAB</w:t>
      </w:r>
      <w:r>
        <w:rPr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均耐受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良好[54-5,且此类药物的药代动力学和药效学特征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均与食物效应无关[56-57],更便于对使用者进行临床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7"/>
        </w:rPr>
        <w:t>管理。</w:t>
      </w:r>
      <w:r>
        <w:rPr>
          <w:sz w:val="20"/>
          <w:szCs w:val="20"/>
          <w:spacing w:val="17"/>
        </w:rPr>
        <w:t>P-</w:t>
      </w:r>
      <w:r>
        <w:rPr>
          <w:sz w:val="20"/>
          <w:szCs w:val="20"/>
        </w:rPr>
        <w:t>CAB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促进胃溃疡和十二指肠溃疡愈合的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效果与</w:t>
      </w:r>
      <w:r>
        <w:rPr>
          <w:sz w:val="20"/>
          <w:szCs w:val="20"/>
          <w:spacing w:val="-5"/>
        </w:rPr>
        <w:t>PPI</w:t>
      </w:r>
      <w:r>
        <w:rPr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相当[54-55,5859]。2020年日本胃肠病学会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的《消化性溃疡病的循证临床实践指南2020》[60]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9"/>
        </w:rPr>
        <w:t>(以下简称2020年日本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PU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指南)也强烈建议，将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P-</w:t>
      </w:r>
      <w:r>
        <w:rPr>
          <w:rFonts w:ascii="SimSun" w:hAnsi="SimSun" w:eastAsia="SimSun" w:cs="SimSun"/>
          <w:sz w:val="20"/>
          <w:szCs w:val="20"/>
        </w:rPr>
        <w:t>CAB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和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PPI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作为胃溃疡和十二指肠溃疡的一线治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疗药物。近期我国完成的一项临床Ⅲ期随机、双盲、</w:t>
      </w:r>
    </w:p>
    <w:p>
      <w:pPr>
        <w:spacing w:line="279" w:lineRule="auto"/>
        <w:sectPr>
          <w:type w:val="continuous"/>
          <w:pgSz w:w="10720" w:h="15880"/>
          <w:pgMar w:top="486" w:right="479" w:bottom="0" w:left="499" w:header="0" w:footer="0" w:gutter="0"/>
          <w:cols w:equalWidth="0" w:num="2">
            <w:col w:w="4921" w:space="100"/>
            <w:col w:w="472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74"/>
        <w:rPr/>
      </w:pPr>
      <w:r/>
    </w:p>
    <w:p>
      <w:pPr>
        <w:sectPr>
          <w:headerReference w:type="default" r:id="rId4"/>
          <w:pgSz w:w="10720" w:h="15880"/>
          <w:pgMar w:top="791" w:right="489" w:bottom="0" w:left="509" w:header="483" w:footer="0" w:gutter="0"/>
          <w:cols w:equalWidth="0" w:num="1">
            <w:col w:w="9721" w:space="0"/>
          </w:cols>
        </w:sectPr>
        <w:rPr/>
      </w:pPr>
    </w:p>
    <w:p>
      <w:pPr>
        <w:ind w:right="297"/>
        <w:spacing w:before="39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非劣效性研究也显示，P-</w:t>
      </w:r>
      <w:r>
        <w:rPr>
          <w:rFonts w:ascii="SimSun" w:hAnsi="SimSun" w:eastAsia="SimSun" w:cs="SimSun"/>
          <w:sz w:val="20"/>
          <w:szCs w:val="20"/>
        </w:rPr>
        <w:t>CAB</w:t>
      </w:r>
      <w:r>
        <w:rPr>
          <w:rFonts w:ascii="SimSun" w:hAnsi="SimSun" w:eastAsia="SimSun" w:cs="SimSun"/>
          <w:sz w:val="20"/>
          <w:szCs w:val="20"/>
          <w:spacing w:val="6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在中国患者中耐受度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良好，促进十二指肠溃疡愈合的效果不劣于</w:t>
      </w:r>
      <w:r>
        <w:rPr>
          <w:rFonts w:ascii="SimSun" w:hAnsi="SimSun" w:eastAsia="SimSun" w:cs="SimSun"/>
          <w:sz w:val="20"/>
          <w:szCs w:val="20"/>
        </w:rPr>
        <w:t>PPI</w:t>
      </w:r>
      <w:r>
        <w:rPr>
          <w:rFonts w:ascii="Calibri" w:hAnsi="Calibri" w:eastAsia="Calibri" w:cs="Calibri"/>
          <w:sz w:val="20"/>
          <w:szCs w:val="20"/>
          <w:spacing w:val="2"/>
        </w:rPr>
        <w:t>⁵</w:t>
      </w:r>
      <w:r>
        <w:rPr>
          <w:rFonts w:ascii="SimSun" w:hAnsi="SimSun" w:eastAsia="SimSun" w:cs="SimSun"/>
          <w:sz w:val="20"/>
          <w:szCs w:val="20"/>
          <w:spacing w:val="2"/>
        </w:rPr>
        <w:t>4]。</w:t>
      </w:r>
    </w:p>
    <w:p>
      <w:pPr>
        <w:pStyle w:val="BodyText"/>
        <w:ind w:left="422"/>
        <w:spacing w:line="212" w:lineRule="auto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4"/>
        </w:rPr>
        <w:t>陈述4</w:t>
      </w:r>
      <w:r>
        <w:rPr>
          <w:rFonts w:ascii="SimHei" w:hAnsi="SimHei" w:eastAsia="SimHei" w:cs="SimHei"/>
          <w:sz w:val="20"/>
          <w:szCs w:val="20"/>
          <w:spacing w:val="-3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4"/>
        </w:rPr>
        <w:t>.2:组胺</w:t>
      </w:r>
      <w:r>
        <w:rPr>
          <w:rFonts w:ascii="SimHei" w:hAnsi="SimHei" w:eastAsia="SimHei" w:cs="SimHei"/>
          <w:sz w:val="20"/>
          <w:szCs w:val="20"/>
          <w:spacing w:val="-28"/>
        </w:rPr>
        <w:t xml:space="preserve"> </w:t>
      </w:r>
      <w:r>
        <w:rPr>
          <w:sz w:val="20"/>
          <w:szCs w:val="20"/>
          <w:b/>
          <w:bCs/>
          <w:spacing w:val="14"/>
        </w:rPr>
        <w:t>H₂  </w:t>
      </w:r>
      <w:r>
        <w:rPr>
          <w:rFonts w:ascii="SimHei" w:hAnsi="SimHei" w:eastAsia="SimHei" w:cs="SimHei"/>
          <w:sz w:val="20"/>
          <w:szCs w:val="20"/>
          <w:b/>
          <w:bCs/>
          <w:spacing w:val="14"/>
        </w:rPr>
        <w:t>受体拮抗剂</w:t>
      </w:r>
      <w:r>
        <w:rPr>
          <w:sz w:val="20"/>
          <w:szCs w:val="20"/>
          <w:b/>
          <w:bCs/>
          <w:spacing w:val="14"/>
        </w:rPr>
        <w:t>(H₂</w:t>
      </w:r>
      <w:r>
        <w:rPr>
          <w:sz w:val="20"/>
          <w:szCs w:val="20"/>
          <w:b/>
          <w:bCs/>
        </w:rPr>
        <w:t>receptor</w:t>
      </w:r>
    </w:p>
    <w:p>
      <w:pPr>
        <w:pStyle w:val="BodyText"/>
        <w:ind w:left="2" w:right="316"/>
        <w:spacing w:before="93" w:line="28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antagonist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,H</w:t>
      </w:r>
      <w:r>
        <w:rPr>
          <w:rFonts w:ascii="Calibri" w:hAnsi="Calibri" w:eastAsia="Calibri" w:cs="Calibri"/>
          <w:sz w:val="20"/>
          <w:szCs w:val="20"/>
          <w:b/>
          <w:bCs/>
          <w:spacing w:val="10"/>
        </w:rPr>
        <w:t>₂</w:t>
      </w:r>
      <w:r>
        <w:rPr>
          <w:rFonts w:ascii="SimSun" w:hAnsi="SimSun" w:eastAsia="SimSun" w:cs="SimSun"/>
          <w:sz w:val="20"/>
          <w:szCs w:val="20"/>
          <w:b/>
          <w:bCs/>
        </w:rPr>
        <w:t>RA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)</w:t>
      </w:r>
      <w:r>
        <w:rPr>
          <w:rFonts w:ascii="SimSun" w:hAnsi="SimSun" w:eastAsia="SimSun" w:cs="SimSun"/>
          <w:sz w:val="20"/>
          <w:szCs w:val="20"/>
          <w:spacing w:val="10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可以部分抑制基础和餐后胃酸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分泌，促进</w:t>
      </w:r>
      <w:r>
        <w:rPr>
          <w:sz w:val="20"/>
          <w:szCs w:val="20"/>
          <w:b/>
          <w:bCs/>
          <w:spacing w:val="-2"/>
        </w:rPr>
        <w:t>PU</w:t>
      </w:r>
      <w:r>
        <w:rPr>
          <w:sz w:val="20"/>
          <w:szCs w:val="20"/>
          <w:b/>
          <w:bCs/>
          <w:spacing w:val="4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2"/>
        </w:rPr>
        <w:t>愈合。</w:t>
      </w:r>
    </w:p>
    <w:p>
      <w:pPr>
        <w:pStyle w:val="BodyText"/>
        <w:ind w:right="309" w:firstLine="420"/>
        <w:spacing w:before="8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1"/>
        </w:rPr>
        <w:t>证据质量：</w:t>
      </w:r>
      <w:r>
        <w:rPr>
          <w:sz w:val="23"/>
          <w:szCs w:val="23"/>
          <w:spacing w:val="-1"/>
        </w:rPr>
        <w:t>B;</w:t>
      </w:r>
      <w:r>
        <w:rPr>
          <w:sz w:val="23"/>
          <w:szCs w:val="23"/>
          <w:spacing w:val="2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推荐强度：强推荐；共识水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平：95.65%</w:t>
      </w:r>
    </w:p>
    <w:p>
      <w:pPr>
        <w:pStyle w:val="BodyText"/>
        <w:ind w:right="240" w:firstLine="420"/>
        <w:spacing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1593905</wp:posOffset>
            </wp:positionH>
            <wp:positionV relativeFrom="paragraph">
              <wp:posOffset>973105</wp:posOffset>
            </wp:positionV>
            <wp:extent cx="2889248" cy="276225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9248" cy="276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9"/>
        </w:rPr>
        <w:t>H₂</w:t>
      </w:r>
      <w:r>
        <w:rPr>
          <w:sz w:val="20"/>
          <w:szCs w:val="20"/>
        </w:rPr>
        <w:t>RA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具有高度选择性，不影响组胺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9"/>
        </w:rPr>
        <w:t>H</w:t>
      </w:r>
      <w:r>
        <w:rPr>
          <w:sz w:val="20"/>
          <w:szCs w:val="20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受体，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可以抑制基础和餐后胃酸分泌，促进十二指肠溃疡 </w:t>
      </w:r>
      <w:r>
        <w:rPr>
          <w:rFonts w:ascii="SimSun" w:hAnsi="SimSun" w:eastAsia="SimSun" w:cs="SimSun"/>
          <w:sz w:val="20"/>
          <w:szCs w:val="20"/>
          <w:spacing w:val="9"/>
        </w:rPr>
        <w:t>愈合，但对上消化道出血等并发症的疗效有限。此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外，机体对</w:t>
      </w:r>
      <w:r>
        <w:rPr>
          <w:sz w:val="20"/>
          <w:szCs w:val="20"/>
          <w:spacing w:val="11"/>
        </w:rPr>
        <w:t>H₂</w:t>
      </w:r>
      <w:r>
        <w:rPr>
          <w:sz w:val="20"/>
          <w:szCs w:val="20"/>
        </w:rPr>
        <w:t>RA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的耐受性进一步限制了其临床使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用。既往在我国进行的回顾性研究也显示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8"/>
        </w:rPr>
        <w:t>H</w:t>
      </w:r>
      <w:r>
        <w:rPr>
          <w:sz w:val="20"/>
          <w:szCs w:val="20"/>
          <w:spacing w:val="7"/>
        </w:rPr>
        <w:t>₂</w:t>
      </w:r>
      <w:r>
        <w:rPr>
          <w:sz w:val="20"/>
          <w:szCs w:val="20"/>
        </w:rPr>
        <w:t>RA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对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5"/>
        </w:rPr>
        <w:t>胃溃疡患者的疗效相对较差(62.9%)61,但也有证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据表明西咪替丁在较高剂量(&gt;800</w:t>
      </w:r>
      <w:r>
        <w:rPr>
          <w:rFonts w:ascii="SimSun" w:hAnsi="SimSun" w:eastAsia="SimSun" w:cs="SimSun"/>
          <w:sz w:val="20"/>
          <w:szCs w:val="20"/>
          <w:spacing w:val="45"/>
        </w:rPr>
        <w:t xml:space="preserve"> </w:t>
      </w:r>
      <w:r>
        <w:rPr>
          <w:sz w:val="20"/>
          <w:szCs w:val="20"/>
        </w:rPr>
        <w:t>mg</w:t>
      </w:r>
      <w:r>
        <w:rPr>
          <w:sz w:val="20"/>
          <w:szCs w:val="20"/>
          <w:spacing w:val="17"/>
        </w:rPr>
        <w:t>)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下使用时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内镜下溃疡愈合比例明显增高[62]。</w:t>
      </w:r>
    </w:p>
    <w:p>
      <w:pPr>
        <w:pStyle w:val="BodyText"/>
        <w:ind w:left="2" w:right="325" w:firstLine="420"/>
        <w:spacing w:before="1" w:line="29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陈述4.3:黏膜保护剂可用于</w:t>
      </w:r>
      <w:r>
        <w:rPr>
          <w:rFonts w:ascii="SimHei" w:hAnsi="SimHei" w:eastAsia="SimHei" w:cs="SimHei"/>
          <w:sz w:val="20"/>
          <w:szCs w:val="20"/>
          <w:spacing w:val="-40"/>
        </w:rPr>
        <w:t xml:space="preserve"> </w:t>
      </w:r>
      <w:r>
        <w:rPr>
          <w:sz w:val="20"/>
          <w:szCs w:val="20"/>
          <w:b/>
          <w:bCs/>
        </w:rPr>
        <w:t>PU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的治疗，有助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4"/>
        </w:rPr>
        <w:t>于提高黏膜愈合质量。</w:t>
      </w:r>
    </w:p>
    <w:p>
      <w:pPr>
        <w:pStyle w:val="BodyText"/>
        <w:ind w:right="310" w:firstLine="420"/>
        <w:spacing w:before="2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证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据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质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量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：</w:t>
      </w:r>
      <w:r>
        <w:rPr>
          <w:sz w:val="20"/>
          <w:szCs w:val="20"/>
          <w:spacing w:val="14"/>
        </w:rPr>
        <w:t>B;</w:t>
      </w:r>
      <w:r>
        <w:rPr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推荐强度：强推荐；共识水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平：86.95%</w:t>
      </w:r>
    </w:p>
    <w:p>
      <w:pPr>
        <w:pStyle w:val="BodyText"/>
        <w:ind w:right="220" w:firstLine="420"/>
        <w:spacing w:before="9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根据《胃肠道黏膜保护临床专家共识(2021</w:t>
      </w:r>
      <w:r>
        <w:rPr>
          <w:rFonts w:ascii="SimSun" w:hAnsi="SimSun" w:eastAsia="SimSun" w:cs="SimSun"/>
          <w:sz w:val="20"/>
          <w:szCs w:val="20"/>
          <w:spacing w:val="6"/>
        </w:rPr>
        <w:t>年，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福州)》[63,黏膜保护剂根据药代动力学作用方式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分为内源性和外源性黏膜保护剂。内源性黏膜保护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剂作用于黏膜屏障的不同靶点，在多方位提供保护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9"/>
        </w:rPr>
        <w:t>作用。如前列腺素能抑制胃酸分泌，有助于防止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NSAID</w:t>
      </w:r>
      <w:r>
        <w:rPr>
          <w:rFonts w:ascii="SimSun" w:hAnsi="SimSun" w:eastAsia="SimSun" w:cs="SimSun"/>
          <w:sz w:val="20"/>
          <w:szCs w:val="20"/>
        </w:rPr>
        <w:t>、饮食、饮酒、吸烟和压力导致的溃疡。米索  </w:t>
      </w:r>
      <w:r>
        <w:rPr>
          <w:rFonts w:ascii="SimSun" w:hAnsi="SimSun" w:eastAsia="SimSun" w:cs="SimSun"/>
          <w:sz w:val="20"/>
          <w:szCs w:val="20"/>
          <w:spacing w:val="9"/>
        </w:rPr>
        <w:t>前列醇是一种前列腺素类似物，可增加胃内黏液和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9"/>
        </w:rPr>
        <w:t>碳酸氢盐的分泌，促进胃溃疡和十二指肠溃疡愈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合[64]。瑞巴派特可通过刺激胃黏膜中前列腺素的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生成，减弱中性粒细胞的活性，从而促进损伤黏膜的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愈合，其还具有增加胃黏液糖蛋白成分的独特作用，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被广泛应用于胃溃疡和急性胃炎的治疗，有助于改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善溃疡愈合的速度和质量[65]。替普瑞酮作为热休  </w:t>
      </w:r>
      <w:r>
        <w:rPr>
          <w:rFonts w:ascii="SimSun" w:hAnsi="SimSun" w:eastAsia="SimSun" w:cs="SimSun"/>
          <w:sz w:val="20"/>
          <w:szCs w:val="20"/>
        </w:rPr>
        <w:t>克蛋白诱导剂，可促进蛋白质折叠和膜通透性，在不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影响胃酸分泌的情况下保护细胞，还可以通过刺激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前列腺素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3"/>
        </w:rPr>
        <w:t>E₂</w:t>
      </w:r>
      <w:r>
        <w:rPr>
          <w:sz w:val="20"/>
          <w:szCs w:val="20"/>
          <w:spacing w:val="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产生等机制，参与胃溃疡修复[66]。外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源性黏膜保护剂主要通过局部作用，起到中和胃酸、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降低胃蛋白酶活性和增强黏膜屏障的作用。其中铝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碳酸镁可在溃疡部位形成保护膜，并可提供丰富的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碳酸氢根，修复黏液屏障，同时上调胃组织中的各种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保护和修复因子，促进内源性前列腺素的生成，改善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溃疡部位的黏膜血流和代谢，从而增强黏膜的修复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功能[67]。硫糖铝是一种八硫酸蔗糖的铝盐，可与胃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内渗出物中带正电荷的蛋白质结合，在局部形成一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种质地厚重的黏性物质，保护黏膜免受胃蛋白酶、胃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酸和胆汁酸盐的影响，已被美国食品药品管理局批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5"/>
        <w:spacing w:before="57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准用于治疗十二指肠溃疡，最长疗程为8周。研究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结果显示，硫糖铝对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</w:rPr>
        <w:t>PU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的疗效与西咪替丁等药物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相当[686]。尽管米索前列醇和硫糖铝等黏膜保护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剂都已被证明可通过增强溃疡愈合能力、加强黏膜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防御机制来促进溃疡愈合，但</w:t>
      </w:r>
      <w:r>
        <w:rPr>
          <w:sz w:val="20"/>
          <w:szCs w:val="20"/>
        </w:rPr>
        <w:t>PPI</w:t>
      </w:r>
      <w:r>
        <w:rPr>
          <w:sz w:val="20"/>
          <w:szCs w:val="20"/>
          <w:spacing w:val="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较这些药物更为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有效【62]。因此，虽然上述胃黏膜保护剂不再被用于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PU</w:t>
      </w:r>
      <w:r>
        <w:rPr>
          <w:rFonts w:ascii="SimSun" w:hAnsi="SimSun" w:eastAsia="SimSun" w:cs="SimSun"/>
          <w:sz w:val="20"/>
          <w:szCs w:val="20"/>
        </w:rPr>
        <w:t>的一线治疗，但在无法获得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</w:rPr>
        <w:t>PPI</w:t>
      </w:r>
      <w:r>
        <w:rPr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或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</w:rPr>
        <w:t>P-CAB</w:t>
      </w:r>
      <w:r>
        <w:rPr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时，其 </w:t>
      </w:r>
      <w:r>
        <w:rPr>
          <w:rFonts w:ascii="SimSun" w:hAnsi="SimSun" w:eastAsia="SimSun" w:cs="SimSun"/>
          <w:sz w:val="20"/>
          <w:szCs w:val="20"/>
          <w:spacing w:val="17"/>
        </w:rPr>
        <w:t>仍可用于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</w:rPr>
        <w:t>PU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的治疗[0],或与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sz w:val="20"/>
          <w:szCs w:val="20"/>
        </w:rPr>
        <w:t>PPI</w:t>
      </w:r>
      <w:r>
        <w:rPr>
          <w:sz w:val="20"/>
          <w:szCs w:val="20"/>
          <w:spacing w:val="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联合应用于</w:t>
      </w:r>
      <w:r>
        <w:rPr>
          <w:sz w:val="20"/>
          <w:szCs w:val="20"/>
        </w:rPr>
        <w:t>PU  </w:t>
      </w:r>
      <w:r>
        <w:rPr>
          <w:rFonts w:ascii="SimSun" w:hAnsi="SimSun" w:eastAsia="SimSun" w:cs="SimSun"/>
          <w:sz w:val="20"/>
          <w:szCs w:val="20"/>
          <w:spacing w:val="4"/>
        </w:rPr>
        <w:t>的治疗。</w:t>
      </w:r>
    </w:p>
    <w:p>
      <w:pPr>
        <w:pStyle w:val="BodyText"/>
        <w:ind w:left="429"/>
        <w:spacing w:before="5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五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、</w:t>
      </w:r>
      <w:r>
        <w:rPr>
          <w:sz w:val="20"/>
          <w:szCs w:val="20"/>
          <w:spacing w:val="-6"/>
        </w:rPr>
        <w:t>PU </w:t>
      </w:r>
      <w:r>
        <w:rPr>
          <w:rFonts w:ascii="SimSun" w:hAnsi="SimSun" w:eastAsia="SimSun" w:cs="SimSun"/>
          <w:sz w:val="20"/>
          <w:szCs w:val="20"/>
          <w:spacing w:val="-6"/>
        </w:rPr>
        <w:t>的抗</w:t>
      </w:r>
      <w:r>
        <w:rPr>
          <w:sz w:val="20"/>
          <w:szCs w:val="20"/>
          <w:spacing w:val="-6"/>
        </w:rPr>
        <w:t>H.pylori</w:t>
      </w:r>
      <w:r>
        <w:rPr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感染治疗</w:t>
      </w:r>
    </w:p>
    <w:p>
      <w:pPr>
        <w:pStyle w:val="BodyText"/>
        <w:ind w:right="70" w:firstLine="429"/>
        <w:spacing w:before="40" w:line="283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3"/>
          <w:szCs w:val="23"/>
          <w:spacing w:val="9"/>
        </w:rPr>
        <w:t>陈述5:合并</w:t>
      </w:r>
      <w:r>
        <w:rPr>
          <w:sz w:val="23"/>
          <w:szCs w:val="23"/>
          <w:spacing w:val="9"/>
        </w:rPr>
        <w:t>H.</w:t>
      </w:r>
      <w:r>
        <w:rPr>
          <w:sz w:val="23"/>
          <w:szCs w:val="23"/>
        </w:rPr>
        <w:t>pylori</w:t>
      </w:r>
      <w:r>
        <w:rPr>
          <w:sz w:val="23"/>
          <w:szCs w:val="23"/>
          <w:spacing w:val="9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9"/>
        </w:rPr>
        <w:t>感染的</w:t>
      </w:r>
      <w:r>
        <w:rPr>
          <w:rFonts w:ascii="SimHei" w:hAnsi="SimHei" w:eastAsia="SimHei" w:cs="SimHei"/>
          <w:sz w:val="23"/>
          <w:szCs w:val="23"/>
          <w:spacing w:val="-47"/>
        </w:rPr>
        <w:t xml:space="preserve"> </w:t>
      </w:r>
      <w:r>
        <w:rPr>
          <w:sz w:val="23"/>
          <w:szCs w:val="23"/>
        </w:rPr>
        <w:t>PU</w:t>
      </w:r>
      <w:r>
        <w:rPr>
          <w:sz w:val="23"/>
          <w:szCs w:val="23"/>
          <w:spacing w:val="43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9"/>
        </w:rPr>
        <w:t>均应进行</w:t>
      </w:r>
      <w:r>
        <w:rPr>
          <w:rFonts w:ascii="SimHei" w:hAnsi="SimHei" w:eastAsia="SimHei" w:cs="SimHei"/>
          <w:sz w:val="23"/>
          <w:szCs w:val="23"/>
        </w:rPr>
        <w:t xml:space="preserve"> </w:t>
      </w:r>
      <w:r>
        <w:rPr>
          <w:sz w:val="20"/>
          <w:szCs w:val="20"/>
          <w:spacing w:val="12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8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12"/>
        </w:rPr>
        <w:t>根除治疗。推荐含铋剂的四联疗法作为根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1"/>
        </w:rPr>
        <w:t>除</w:t>
      </w:r>
      <w:r>
        <w:rPr>
          <w:rFonts w:ascii="SimSun" w:hAnsi="SimSun" w:eastAsia="SimSun" w:cs="SimSun"/>
          <w:sz w:val="20"/>
          <w:szCs w:val="20"/>
          <w:spacing w:val="21"/>
        </w:rPr>
        <w:t>H.</w:t>
      </w:r>
      <w:r>
        <w:rPr>
          <w:rFonts w:ascii="SimSun" w:hAnsi="SimSun" w:eastAsia="SimSun" w:cs="SimSun"/>
          <w:sz w:val="20"/>
          <w:szCs w:val="20"/>
        </w:rPr>
        <w:t>pylori</w:t>
      </w:r>
      <w:r>
        <w:rPr>
          <w:rFonts w:ascii="SimHei" w:hAnsi="SimHei" w:eastAsia="SimHei" w:cs="SimHei"/>
          <w:sz w:val="20"/>
          <w:szCs w:val="20"/>
          <w:spacing w:val="21"/>
        </w:rPr>
        <w:t>的经验性治疗方案，高剂量双联疗法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(</w:t>
      </w:r>
      <w:r>
        <w:rPr>
          <w:rFonts w:ascii="SimSun" w:hAnsi="SimSun" w:eastAsia="SimSun" w:cs="SimSun"/>
          <w:sz w:val="20"/>
          <w:szCs w:val="20"/>
        </w:rPr>
        <w:t>high</w:t>
      </w:r>
      <w:r>
        <w:rPr>
          <w:rFonts w:ascii="SimSun" w:hAnsi="SimSun" w:eastAsia="SimSun" w:cs="SimSun"/>
          <w:sz w:val="20"/>
          <w:szCs w:val="20"/>
          <w:spacing w:val="8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dose</w:t>
      </w:r>
      <w:r>
        <w:rPr>
          <w:rFonts w:ascii="SimSun" w:hAnsi="SimSun" w:eastAsia="SimSun" w:cs="SimSun"/>
          <w:sz w:val="20"/>
          <w:szCs w:val="20"/>
          <w:spacing w:val="8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dual</w:t>
      </w:r>
      <w:r>
        <w:rPr>
          <w:rFonts w:ascii="SimSun" w:hAnsi="SimSun" w:eastAsia="SimSun" w:cs="SimSun"/>
          <w:sz w:val="20"/>
          <w:szCs w:val="20"/>
          <w:spacing w:val="8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therapy</w:t>
      </w:r>
      <w:r>
        <w:rPr>
          <w:rFonts w:ascii="SimSun" w:hAnsi="SimSun" w:eastAsia="SimSun" w:cs="SimSun"/>
          <w:sz w:val="20"/>
          <w:szCs w:val="20"/>
          <w:spacing w:val="4"/>
        </w:rPr>
        <w:t>,</w:t>
      </w:r>
      <w:r>
        <w:rPr>
          <w:rFonts w:ascii="SimSun" w:hAnsi="SimSun" w:eastAsia="SimSun" w:cs="SimSun"/>
          <w:sz w:val="20"/>
          <w:szCs w:val="20"/>
        </w:rPr>
        <w:t>HDDT</w:t>
      </w:r>
      <w:r>
        <w:rPr>
          <w:rFonts w:ascii="SimSun" w:hAnsi="SimSun" w:eastAsia="SimSun" w:cs="SimSun"/>
          <w:sz w:val="20"/>
          <w:szCs w:val="20"/>
          <w:spacing w:val="4"/>
        </w:rPr>
        <w:t>)</w:t>
      </w:r>
      <w:r>
        <w:rPr>
          <w:rFonts w:ascii="SimHei" w:hAnsi="SimHei" w:eastAsia="SimHei" w:cs="SimHei"/>
          <w:sz w:val="20"/>
          <w:szCs w:val="20"/>
          <w:spacing w:val="4"/>
        </w:rPr>
        <w:t>亦可作为初次和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0"/>
        </w:rPr>
        <w:t>再次治疗方案。</w:t>
      </w:r>
    </w:p>
    <w:p>
      <w:pPr>
        <w:pStyle w:val="BodyText"/>
        <w:ind w:right="89" w:firstLine="429"/>
        <w:spacing w:before="1" w:line="26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2"/>
        </w:rPr>
        <w:t>证据质量：</w:t>
      </w:r>
      <w:r>
        <w:rPr>
          <w:sz w:val="23"/>
          <w:szCs w:val="23"/>
          <w:spacing w:val="-2"/>
        </w:rPr>
        <w:t>A;</w:t>
      </w:r>
      <w:r>
        <w:rPr>
          <w:sz w:val="23"/>
          <w:szCs w:val="23"/>
          <w:spacing w:val="2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推荐强度：强推荐；共识水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平：100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00%</w:t>
      </w:r>
    </w:p>
    <w:p>
      <w:pPr>
        <w:pStyle w:val="BodyText"/>
        <w:ind w:firstLine="429"/>
        <w:spacing w:before="4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尽早根除</w:t>
      </w:r>
      <w:r>
        <w:rPr>
          <w:sz w:val="20"/>
          <w:szCs w:val="20"/>
          <w:spacing w:val="-3"/>
        </w:rPr>
        <w:t>H.pylori </w:t>
      </w:r>
      <w:r>
        <w:rPr>
          <w:rFonts w:ascii="SimSun" w:hAnsi="SimSun" w:eastAsia="SimSun" w:cs="SimSun"/>
          <w:sz w:val="20"/>
          <w:szCs w:val="20"/>
          <w:spacing w:val="-3"/>
        </w:rPr>
        <w:t>可有效预防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3"/>
        </w:rPr>
        <w:t>PU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的发生[19,70</w:t>
      </w:r>
      <w:r>
        <w:rPr>
          <w:sz w:val="20"/>
          <w:szCs w:val="20"/>
          <w:spacing w:val="-4"/>
        </w:rPr>
        <w:t>J</w:t>
      </w:r>
      <w:r>
        <w:rPr>
          <w:rFonts w:ascii="SimSun" w:hAnsi="SimSun" w:eastAsia="SimSun" w:cs="SimSun"/>
          <w:sz w:val="20"/>
          <w:szCs w:val="20"/>
          <w:spacing w:val="-4"/>
        </w:rPr>
        <w:t>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我国《2022中国幽门螺杆菌感染治疗指南》7(以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7"/>
        </w:rPr>
        <w:t>下简称2022年中国</w:t>
      </w:r>
      <w:r>
        <w:rPr>
          <w:sz w:val="20"/>
          <w:szCs w:val="20"/>
          <w:spacing w:val="17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治疗指南)推荐</w:t>
      </w:r>
      <w:r>
        <w:rPr>
          <w:rFonts w:ascii="SimSun" w:hAnsi="SimSun" w:eastAsia="SimSun" w:cs="SimSun"/>
          <w:sz w:val="20"/>
          <w:szCs w:val="20"/>
          <w:spacing w:val="16"/>
        </w:rPr>
        <w:t>了含铋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剂的四联疗法作为根除H.</w:t>
      </w:r>
      <w:r>
        <w:rPr>
          <w:rFonts w:ascii="SimSun" w:hAnsi="SimSun" w:eastAsia="SimSun" w:cs="SimSun"/>
          <w:sz w:val="20"/>
          <w:szCs w:val="20"/>
        </w:rPr>
        <w:t>pylori</w:t>
      </w:r>
      <w:r>
        <w:rPr>
          <w:rFonts w:ascii="SimSun" w:hAnsi="SimSun" w:eastAsia="SimSun" w:cs="SimSun"/>
          <w:sz w:val="20"/>
          <w:szCs w:val="20"/>
          <w:spacing w:val="4"/>
        </w:rPr>
        <w:t>的经验性治疗方案。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这些方案已经在临床上被广泛使用多年，取得了良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好的疗效。在选择治疗方案时，应详细询问患者既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往抗生素使用史，并将这些信息纳入决策过程，同时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需结合当地的</w:t>
      </w:r>
      <w:r>
        <w:rPr>
          <w:sz w:val="20"/>
          <w:szCs w:val="20"/>
          <w:spacing w:val="4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抗生素耐药率，权衡疗效</w:t>
      </w:r>
      <w:r>
        <w:rPr>
          <w:rFonts w:ascii="SimSun" w:hAnsi="SimSun" w:eastAsia="SimSun" w:cs="SimSun"/>
          <w:sz w:val="20"/>
          <w:szCs w:val="20"/>
          <w:spacing w:val="3"/>
        </w:rPr>
        <w:t>、药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物费用、不良反应和药物的可获得性[71]。</w:t>
      </w:r>
    </w:p>
    <w:p>
      <w:pPr>
        <w:pStyle w:val="BodyText"/>
        <w:ind w:right="69" w:firstLine="429"/>
        <w:spacing w:before="1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</w:rPr>
        <w:t>HDDT</w:t>
      </w:r>
      <w:r>
        <w:rPr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指含双倍标准剂量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</w:rPr>
        <w:t>PPI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和≥3 </w:t>
      </w:r>
      <w:r>
        <w:rPr>
          <w:sz w:val="20"/>
          <w:szCs w:val="20"/>
          <w:spacing w:val="4"/>
        </w:rPr>
        <w:t>g/d   </w:t>
      </w:r>
      <w:r>
        <w:rPr>
          <w:rFonts w:ascii="SimSun" w:hAnsi="SimSun" w:eastAsia="SimSun" w:cs="SimSun"/>
          <w:sz w:val="20"/>
          <w:szCs w:val="20"/>
          <w:spacing w:val="4"/>
        </w:rPr>
        <w:t>阿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西林(分≥3次给予)的方案，疗程为14 </w:t>
      </w:r>
      <w:r>
        <w:rPr>
          <w:sz w:val="20"/>
          <w:szCs w:val="20"/>
          <w:spacing w:val="11"/>
        </w:rPr>
        <w:t>d</w:t>
      </w:r>
      <w:r>
        <w:rPr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。东亚地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区的多项研究显示，</w:t>
      </w:r>
      <w:r>
        <w:rPr>
          <w:sz w:val="20"/>
          <w:szCs w:val="20"/>
        </w:rPr>
        <w:t>HDDT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的疗效不劣于目前推荐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的主流方案[72-73],而总体不良反应发生率和药物费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用均显著降低74]。2022年中国</w:t>
      </w:r>
      <w:r>
        <w:rPr>
          <w:sz w:val="20"/>
          <w:szCs w:val="20"/>
          <w:spacing w:val="18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8"/>
        </w:rPr>
        <w:t>治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疗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南[7指出，</w:t>
      </w:r>
      <w:r>
        <w:rPr>
          <w:sz w:val="20"/>
          <w:szCs w:val="20"/>
        </w:rPr>
        <w:t>HDDT</w:t>
      </w:r>
      <w:r>
        <w:rPr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亦可作为</w:t>
      </w:r>
      <w:r>
        <w:rPr>
          <w:sz w:val="20"/>
          <w:szCs w:val="20"/>
          <w:spacing w:val="14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感染的初次和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再次治疗方案。</w:t>
      </w:r>
    </w:p>
    <w:p>
      <w:pPr>
        <w:pStyle w:val="BodyText"/>
        <w:ind w:firstLine="429"/>
        <w:spacing w:before="35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抑酸强度和持续时间均与</w:t>
      </w:r>
      <w:r>
        <w:rPr>
          <w:sz w:val="20"/>
          <w:szCs w:val="20"/>
          <w:spacing w:val="7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根除率相关，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在根除治疗中通过抑制胃酸分泌并提高胃内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</w:rPr>
        <w:t>pH   </w:t>
      </w:r>
      <w:r>
        <w:rPr>
          <w:rFonts w:ascii="SimSun" w:hAnsi="SimSun" w:eastAsia="SimSun" w:cs="SimSun"/>
          <w:sz w:val="20"/>
          <w:szCs w:val="20"/>
          <w:spacing w:val="-1"/>
        </w:rPr>
        <w:t>值，可降低抗生素的最低抑菌浓度，增强抗生素的药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效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。</w:t>
      </w:r>
      <w:r>
        <w:rPr>
          <w:sz w:val="20"/>
          <w:szCs w:val="20"/>
          <w:spacing w:val="2"/>
        </w:rPr>
        <w:t>P-</w:t>
      </w:r>
      <w:r>
        <w:rPr>
          <w:sz w:val="20"/>
          <w:szCs w:val="20"/>
        </w:rPr>
        <w:t>CAB</w:t>
      </w:r>
      <w:r>
        <w:rPr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类药物比</w:t>
      </w:r>
      <w:r>
        <w:rPr>
          <w:sz w:val="20"/>
          <w:szCs w:val="20"/>
        </w:rPr>
        <w:t>PPI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起效更快、持续时间更长、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抑酸效果更强，且不受进餐影响[59]。在</w:t>
      </w:r>
      <w:r>
        <w:rPr>
          <w:sz w:val="20"/>
          <w:szCs w:val="20"/>
          <w:spacing w:val="2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根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除治疗中，患者对</w:t>
      </w:r>
      <w:r>
        <w:rPr>
          <w:sz w:val="20"/>
          <w:szCs w:val="20"/>
          <w:spacing w:val="10"/>
        </w:rPr>
        <w:t>P-</w:t>
      </w:r>
      <w:r>
        <w:rPr>
          <w:sz w:val="20"/>
          <w:szCs w:val="20"/>
        </w:rPr>
        <w:t>CAB</w:t>
      </w:r>
      <w:r>
        <w:rPr>
          <w:rFonts w:ascii="SimSun" w:hAnsi="SimSun" w:eastAsia="SimSun" w:cs="SimSun"/>
          <w:sz w:val="20"/>
          <w:szCs w:val="20"/>
          <w:spacing w:val="10"/>
        </w:rPr>
        <w:t>(如伏诺拉生)药物的</w:t>
      </w:r>
      <w:r>
        <w:rPr>
          <w:rFonts w:ascii="SimSun" w:hAnsi="SimSun" w:eastAsia="SimSun" w:cs="SimSun"/>
          <w:sz w:val="20"/>
          <w:szCs w:val="20"/>
          <w:spacing w:val="9"/>
        </w:rPr>
        <w:t>耐受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性良好，疗效不劣于含 </w:t>
      </w:r>
      <w:r>
        <w:rPr>
          <w:sz w:val="20"/>
          <w:szCs w:val="20"/>
        </w:rPr>
        <w:t>PPI  </w:t>
      </w:r>
      <w:r>
        <w:rPr>
          <w:rFonts w:ascii="SimSun" w:hAnsi="SimSun" w:eastAsia="SimSun" w:cs="SimSun"/>
          <w:sz w:val="20"/>
          <w:szCs w:val="20"/>
        </w:rPr>
        <w:t>的治疗方案[54,75-79]。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2022年中国</w:t>
      </w:r>
      <w:r>
        <w:rPr>
          <w:sz w:val="20"/>
          <w:szCs w:val="20"/>
          <w:spacing w:val="7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治疗指南7</w:t>
      </w:r>
      <w:r>
        <w:rPr>
          <w:rFonts w:ascii="SimSun" w:hAnsi="SimSun" w:eastAsia="SimSun" w:cs="SimSun"/>
          <w:sz w:val="20"/>
          <w:szCs w:val="20"/>
          <w:spacing w:val="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指出，含</w:t>
      </w:r>
      <w:r>
        <w:rPr>
          <w:sz w:val="20"/>
          <w:szCs w:val="20"/>
          <w:spacing w:val="7"/>
        </w:rPr>
        <w:t>P-</w:t>
      </w:r>
      <w:r>
        <w:rPr>
          <w:sz w:val="20"/>
          <w:szCs w:val="20"/>
        </w:rPr>
        <w:t>CAB</w:t>
      </w:r>
      <w:r>
        <w:rPr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铋剂四联疗法也作为H.</w:t>
      </w:r>
      <w:r>
        <w:rPr>
          <w:rFonts w:ascii="SimSun" w:hAnsi="SimSun" w:eastAsia="SimSun" w:cs="SimSun"/>
          <w:sz w:val="20"/>
          <w:szCs w:val="20"/>
        </w:rPr>
        <w:t>pylori</w:t>
      </w:r>
      <w:r>
        <w:rPr>
          <w:rFonts w:ascii="SimSun" w:hAnsi="SimSun" w:eastAsia="SimSun" w:cs="SimSun"/>
          <w:sz w:val="20"/>
          <w:szCs w:val="20"/>
          <w:spacing w:val="3"/>
        </w:rPr>
        <w:t>根除治疗的可选方案。</w:t>
      </w:r>
    </w:p>
    <w:p>
      <w:pPr>
        <w:pStyle w:val="BodyText"/>
        <w:ind w:left="429"/>
        <w:spacing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9"/>
        </w:rPr>
        <w:t>六、</w:t>
      </w:r>
      <w:r>
        <w:rPr>
          <w:sz w:val="23"/>
          <w:szCs w:val="23"/>
          <w:spacing w:val="-19"/>
        </w:rPr>
        <w:t>NSAID</w:t>
      </w:r>
      <w:r>
        <w:rPr>
          <w:sz w:val="23"/>
          <w:szCs w:val="23"/>
          <w:spacing w:val="-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9"/>
        </w:rPr>
        <w:t>所致</w:t>
      </w:r>
      <w:r>
        <w:rPr>
          <w:sz w:val="23"/>
          <w:szCs w:val="23"/>
          <w:spacing w:val="-19"/>
        </w:rPr>
        <w:t>PU</w:t>
      </w:r>
      <w:r>
        <w:rPr>
          <w:rFonts w:ascii="SimSun" w:hAnsi="SimSun" w:eastAsia="SimSun" w:cs="SimSun"/>
          <w:sz w:val="23"/>
          <w:szCs w:val="23"/>
          <w:spacing w:val="-19"/>
        </w:rPr>
        <w:t>的治疗</w:t>
      </w:r>
    </w:p>
    <w:p>
      <w:pPr>
        <w:pStyle w:val="BodyText"/>
        <w:ind w:left="2" w:right="86" w:firstLine="429"/>
        <w:spacing w:before="60" w:line="23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陈述6:阿司匹林和其他</w:t>
      </w:r>
      <w:r>
        <w:rPr>
          <w:rFonts w:ascii="SimHei" w:hAnsi="SimHei" w:eastAsia="SimHei" w:cs="SimHei"/>
          <w:sz w:val="20"/>
          <w:szCs w:val="20"/>
          <w:spacing w:val="-53"/>
        </w:rPr>
        <w:t xml:space="preserve"> </w:t>
      </w:r>
      <w:r>
        <w:rPr>
          <w:sz w:val="20"/>
          <w:szCs w:val="20"/>
          <w:b/>
          <w:bCs/>
        </w:rPr>
        <w:t>NSAID</w:t>
      </w:r>
      <w:r>
        <w:rPr>
          <w:sz w:val="20"/>
          <w:szCs w:val="20"/>
          <w:b/>
          <w:bCs/>
          <w:spacing w:val="3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所</w:t>
      </w:r>
      <w:r>
        <w:rPr>
          <w:rFonts w:ascii="SimHei" w:hAnsi="SimHei" w:eastAsia="SimHei" w:cs="SimHei"/>
          <w:sz w:val="20"/>
          <w:szCs w:val="20"/>
          <w:spacing w:val="-2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致</w:t>
      </w:r>
      <w:r>
        <w:rPr>
          <w:sz w:val="20"/>
          <w:szCs w:val="20"/>
          <w:b/>
          <w:bCs/>
        </w:rPr>
        <w:t>PU</w:t>
      </w:r>
      <w:r>
        <w:rPr>
          <w:sz w:val="20"/>
          <w:szCs w:val="20"/>
          <w:b/>
          <w:bCs/>
          <w:spacing w:val="1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发生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后，推荐使用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sz w:val="20"/>
          <w:szCs w:val="20"/>
          <w:b/>
          <w:bCs/>
        </w:rPr>
        <w:t>PPI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6"/>
        </w:rPr>
        <w:t>等抑酸剂作为一线治疗方案，并</w:t>
      </w:r>
    </w:p>
    <w:p>
      <w:pPr>
        <w:spacing w:line="237" w:lineRule="auto"/>
        <w:sectPr>
          <w:type w:val="continuous"/>
          <w:pgSz w:w="10720" w:h="15880"/>
          <w:pgMar w:top="791" w:right="489" w:bottom="0" w:left="509" w:header="483" w:footer="0" w:gutter="0"/>
          <w:cols w:equalWidth="0" w:num="2">
            <w:col w:w="4921" w:space="100"/>
            <w:col w:w="4700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pStyle w:val="BodyText"/>
        <w:spacing w:before="121" w:line="217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u w:val="single" w:color="auto"/>
          <w:spacing w:val="-21"/>
        </w:rPr>
        <w:t>中华消化杂志2023年3月第43卷第3期Chin J Dig,March 2023,Vol.43,No.3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                           </w:t>
      </w:r>
      <w:r>
        <w:rPr>
          <w:rFonts w:ascii="SimSun" w:hAnsi="SimSun" w:eastAsia="SimSun" w:cs="SimSun"/>
          <w:sz w:val="21"/>
          <w:szCs w:val="21"/>
          <w:spacing w:val="-21"/>
          <w:position w:val="-4"/>
        </w:rPr>
        <w:t>— </w:t>
      </w:r>
      <w:r>
        <w:rPr>
          <w:sz w:val="21"/>
          <w:szCs w:val="21"/>
          <w:spacing w:val="-21"/>
          <w:position w:val="-4"/>
        </w:rPr>
        <w:t>181</w:t>
      </w:r>
      <w:r>
        <w:rPr>
          <w:sz w:val="21"/>
          <w:szCs w:val="21"/>
          <w:u w:val="dotted" w:color="auto"/>
          <w:spacing w:val="-21"/>
          <w:position w:val="-4"/>
        </w:rPr>
        <w:t xml:space="preserve">  </w:t>
      </w:r>
      <w:r>
        <w:rPr>
          <w:sz w:val="21"/>
          <w:szCs w:val="21"/>
          <w:u w:val="dotted" w:color="auto"/>
          <w:spacing w:val="-22"/>
          <w:position w:val="-4"/>
        </w:rPr>
        <w:t xml:space="preserve">   </w:t>
      </w:r>
    </w:p>
    <w:p>
      <w:pPr>
        <w:spacing w:before="62"/>
        <w:rPr/>
      </w:pPr>
      <w:r/>
    </w:p>
    <w:p>
      <w:pPr>
        <w:sectPr>
          <w:headerReference w:type="default" r:id="rId6"/>
          <w:pgSz w:w="10720" w:h="15880"/>
          <w:pgMar w:top="400" w:right="474" w:bottom="0" w:left="499" w:header="0" w:footer="0" w:gutter="0"/>
          <w:cols w:equalWidth="0" w:num="1">
            <w:col w:w="9746" w:space="0"/>
          </w:cols>
        </w:sectPr>
        <w:rPr/>
      </w:pPr>
    </w:p>
    <w:p>
      <w:pPr>
        <w:ind w:left="3"/>
        <w:spacing w:before="42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在充分权衡利弊后尽可能停用相关药物。</w:t>
      </w:r>
    </w:p>
    <w:p>
      <w:pPr>
        <w:pStyle w:val="BodyText"/>
        <w:ind w:right="319" w:firstLine="429"/>
        <w:spacing w:before="6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4"/>
          <w:szCs w:val="24"/>
          <w:spacing w:val="-11"/>
        </w:rPr>
        <w:t>证据质量：</w:t>
      </w:r>
      <w:r>
        <w:rPr>
          <w:sz w:val="24"/>
          <w:szCs w:val="24"/>
          <w:spacing w:val="-11"/>
        </w:rPr>
        <w:t>A;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推荐强度：强推荐；共识水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平：86.96%</w:t>
      </w:r>
    </w:p>
    <w:p>
      <w:pPr>
        <w:pStyle w:val="BodyText"/>
        <w:ind w:right="224" w:firstLine="429"/>
        <w:spacing w:before="9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</w:rPr>
        <w:t>NSAID</w:t>
      </w:r>
      <w:r>
        <w:rPr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使用者停用</w:t>
      </w:r>
      <w:r>
        <w:rPr>
          <w:sz w:val="21"/>
          <w:szCs w:val="21"/>
        </w:rPr>
        <w:t>NSAID</w:t>
      </w:r>
      <w:r>
        <w:rPr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后 </w:t>
      </w:r>
      <w:r>
        <w:rPr>
          <w:sz w:val="21"/>
          <w:szCs w:val="21"/>
        </w:rPr>
        <w:t>PU</w:t>
      </w:r>
      <w:r>
        <w:rPr>
          <w:sz w:val="21"/>
          <w:szCs w:val="21"/>
          <w:spacing w:val="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的愈合率很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0"/>
        </w:rPr>
        <w:t>高。在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PPI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与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H</w:t>
      </w:r>
      <w:r>
        <w:rPr>
          <w:rFonts w:ascii="Calibri" w:hAnsi="Calibri" w:eastAsia="Calibri" w:cs="Calibri"/>
          <w:sz w:val="21"/>
          <w:szCs w:val="21"/>
          <w:spacing w:val="10"/>
        </w:rPr>
        <w:t>₂</w:t>
      </w:r>
      <w:r>
        <w:rPr>
          <w:rFonts w:ascii="SimSun" w:hAnsi="SimSun" w:eastAsia="SimSun" w:cs="SimSun"/>
          <w:sz w:val="21"/>
          <w:szCs w:val="21"/>
        </w:rPr>
        <w:t>RA</w:t>
      </w:r>
      <w:r>
        <w:rPr>
          <w:rFonts w:ascii="SimSun" w:hAnsi="SimSun" w:eastAsia="SimSun" w:cs="SimSun"/>
          <w:sz w:val="21"/>
          <w:szCs w:val="21"/>
          <w:spacing w:val="10"/>
        </w:rPr>
        <w:t>[80</w:t>
      </w:r>
      <w:r>
        <w:rPr>
          <w:rFonts w:ascii="SimSun" w:hAnsi="SimSun" w:eastAsia="SimSun" w:cs="SimSun"/>
          <w:sz w:val="21"/>
          <w:szCs w:val="21"/>
          <w:spacing w:val="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和</w:t>
      </w:r>
      <w:r>
        <w:rPr>
          <w:rFonts w:ascii="SimSun" w:hAnsi="SimSun" w:eastAsia="SimSun" w:cs="SimSu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PPI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与前列腺素类似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物[81]的治疗比较研究中，</w:t>
      </w:r>
      <w:r>
        <w:rPr>
          <w:sz w:val="21"/>
          <w:szCs w:val="21"/>
          <w:spacing w:val="-6"/>
        </w:rPr>
        <w:t>PPI </w:t>
      </w:r>
      <w:r>
        <w:rPr>
          <w:rFonts w:ascii="SimSun" w:hAnsi="SimSun" w:eastAsia="SimSun" w:cs="SimSun"/>
          <w:sz w:val="21"/>
          <w:szCs w:val="21"/>
          <w:spacing w:val="-6"/>
        </w:rPr>
        <w:t>组的</w:t>
      </w:r>
      <w:r>
        <w:rPr>
          <w:sz w:val="21"/>
          <w:szCs w:val="21"/>
          <w:spacing w:val="-7"/>
        </w:rPr>
        <w:t>PU</w:t>
      </w:r>
      <w:r>
        <w:rPr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愈合率最高。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2018年一篇纳入了目前主要使用的胃黏膜保护剂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2"/>
        </w:rPr>
        <w:t>的1200余项随机研究数据的</w:t>
      </w:r>
      <w:r>
        <w:rPr>
          <w:sz w:val="21"/>
          <w:szCs w:val="21"/>
        </w:rPr>
        <w:t>meta</w:t>
      </w:r>
      <w:r>
        <w:rPr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分析结果显示，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</w:rPr>
        <w:t>PPI</w:t>
      </w:r>
      <w:r>
        <w:rPr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对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sz w:val="21"/>
          <w:szCs w:val="21"/>
        </w:rPr>
        <w:t>PU</w:t>
      </w:r>
      <w:r>
        <w:rPr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及其并发出血的保护作用均优于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sz w:val="21"/>
          <w:szCs w:val="21"/>
          <w:spacing w:val="10"/>
        </w:rPr>
        <w:t>H₂</w:t>
      </w:r>
      <w:r>
        <w:rPr>
          <w:sz w:val="21"/>
          <w:szCs w:val="21"/>
        </w:rPr>
        <w:t>RA   </w:t>
      </w:r>
      <w:r>
        <w:rPr>
          <w:rFonts w:ascii="SimSun" w:hAnsi="SimSun" w:eastAsia="SimSun" w:cs="SimSun"/>
          <w:sz w:val="21"/>
          <w:szCs w:val="21"/>
        </w:rPr>
        <w:t>或前列腺素类似物[62]。</w:t>
      </w:r>
      <w:r>
        <w:rPr>
          <w:sz w:val="21"/>
          <w:szCs w:val="21"/>
        </w:rPr>
        <w:t>PPI </w:t>
      </w:r>
      <w:r>
        <w:rPr>
          <w:rFonts w:ascii="SimSun" w:hAnsi="SimSun" w:eastAsia="SimSun" w:cs="SimSun"/>
          <w:sz w:val="21"/>
          <w:szCs w:val="21"/>
        </w:rPr>
        <w:t>治疗组8周内</w:t>
      </w:r>
      <w:r>
        <w:rPr>
          <w:sz w:val="21"/>
          <w:szCs w:val="21"/>
        </w:rPr>
        <w:t>PU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的愈  </w:t>
      </w:r>
      <w:r>
        <w:rPr>
          <w:rFonts w:ascii="SimSun" w:hAnsi="SimSun" w:eastAsia="SimSun" w:cs="SimSun"/>
          <w:sz w:val="21"/>
          <w:szCs w:val="21"/>
          <w:spacing w:val="-2"/>
        </w:rPr>
        <w:t>合率高于</w:t>
      </w:r>
      <w:r>
        <w:rPr>
          <w:sz w:val="21"/>
          <w:szCs w:val="21"/>
          <w:spacing w:val="-2"/>
        </w:rPr>
        <w:t>H₂RA </w:t>
      </w:r>
      <w:r>
        <w:rPr>
          <w:rFonts w:ascii="SimSun" w:hAnsi="SimSun" w:eastAsia="SimSun" w:cs="SimSun"/>
          <w:sz w:val="21"/>
          <w:szCs w:val="21"/>
          <w:spacing w:val="-2"/>
        </w:rPr>
        <w:t>治疗组，推荐使用</w:t>
      </w:r>
      <w:r>
        <w:rPr>
          <w:sz w:val="21"/>
          <w:szCs w:val="21"/>
          <w:spacing w:val="-2"/>
        </w:rPr>
        <w:t>PPI </w:t>
      </w:r>
      <w:r>
        <w:rPr>
          <w:rFonts w:ascii="SimSun" w:hAnsi="SimSun" w:eastAsia="SimSun" w:cs="SimSun"/>
          <w:sz w:val="21"/>
          <w:szCs w:val="21"/>
          <w:spacing w:val="-2"/>
        </w:rPr>
        <w:t>作为</w:t>
      </w:r>
      <w:r>
        <w:rPr>
          <w:sz w:val="21"/>
          <w:szCs w:val="21"/>
          <w:spacing w:val="-2"/>
        </w:rPr>
        <w:t>PU </w:t>
      </w:r>
      <w:r>
        <w:rPr>
          <w:rFonts w:ascii="SimSun" w:hAnsi="SimSun" w:eastAsia="SimSun" w:cs="SimSun"/>
          <w:sz w:val="21"/>
          <w:szCs w:val="21"/>
          <w:spacing w:val="-2"/>
        </w:rPr>
        <w:t>的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一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线治疗方案[0]。</w:t>
      </w:r>
    </w:p>
    <w:p>
      <w:pPr>
        <w:ind w:left="429"/>
        <w:spacing w:before="34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七、IPU</w:t>
      </w:r>
      <w:r>
        <w:rPr>
          <w:rFonts w:ascii="SimSun" w:hAnsi="SimSun" w:eastAsia="SimSun" w:cs="SimSu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与难治性溃疡</w:t>
      </w:r>
    </w:p>
    <w:p>
      <w:pPr>
        <w:pStyle w:val="BodyText"/>
        <w:ind w:left="3" w:right="228" w:firstLine="429"/>
        <w:spacing w:before="56" w:line="263" w:lineRule="auto"/>
        <w:rPr>
          <w:rFonts w:ascii="SimHei" w:hAnsi="SimHei" w:eastAsia="SimHei" w:cs="SimHei"/>
          <w:sz w:val="21"/>
          <w:szCs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1619228</wp:posOffset>
            </wp:positionH>
            <wp:positionV relativeFrom="paragraph">
              <wp:posOffset>-234287</wp:posOffset>
            </wp:positionV>
            <wp:extent cx="2895646" cy="278131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646" cy="2781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陈述7.1:</w:t>
      </w:r>
      <w:r>
        <w:rPr>
          <w:sz w:val="21"/>
          <w:szCs w:val="21"/>
          <w:b/>
          <w:bCs/>
        </w:rPr>
        <w:t>IPU</w:t>
      </w:r>
      <w:r>
        <w:rPr>
          <w:sz w:val="21"/>
          <w:szCs w:val="21"/>
          <w:b/>
          <w:bCs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1"/>
        </w:rPr>
        <w:t>发病率在全球范围内有所升高，</w:t>
      </w:r>
      <w:r>
        <w:rPr>
          <w:rFonts w:ascii="SimHei" w:hAnsi="SimHei" w:eastAsia="SimHei" w:cs="SimHei"/>
          <w:sz w:val="21"/>
          <w:szCs w:val="21"/>
          <w:spacing w:val="1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其诊断应首先排除常见可能原因。</w:t>
      </w:r>
    </w:p>
    <w:p>
      <w:pPr>
        <w:pStyle w:val="BodyText"/>
        <w:ind w:right="319" w:firstLine="429"/>
        <w:spacing w:before="2" w:line="2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4"/>
          <w:szCs w:val="24"/>
          <w:spacing w:val="-11"/>
        </w:rPr>
        <w:t>证据质量：</w:t>
      </w:r>
      <w:r>
        <w:rPr>
          <w:sz w:val="24"/>
          <w:szCs w:val="24"/>
          <w:spacing w:val="-11"/>
        </w:rPr>
        <w:t>A;</w:t>
      </w:r>
      <w:r>
        <w:rPr>
          <w:sz w:val="24"/>
          <w:szCs w:val="24"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推荐强度：强推荐；共识水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平：82.61%</w:t>
      </w:r>
    </w:p>
    <w:p>
      <w:pPr>
        <w:pStyle w:val="BodyText"/>
        <w:ind w:left="3" w:right="402" w:firstLine="429"/>
        <w:spacing w:line="25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3"/>
        </w:rPr>
        <w:t>陈述7.2:</w:t>
      </w:r>
      <w:r>
        <w:rPr>
          <w:sz w:val="21"/>
          <w:szCs w:val="21"/>
          <w:b/>
          <w:bCs/>
        </w:rPr>
        <w:t>IPU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3"/>
        </w:rPr>
        <w:t>的愈合率低于</w:t>
      </w:r>
      <w:r>
        <w:rPr>
          <w:sz w:val="21"/>
          <w:szCs w:val="21"/>
          <w:b/>
          <w:bCs/>
          <w:spacing w:val="3"/>
        </w:rPr>
        <w:t>H.</w:t>
      </w:r>
      <w:r>
        <w:rPr>
          <w:sz w:val="21"/>
          <w:szCs w:val="21"/>
          <w:b/>
          <w:bCs/>
        </w:rPr>
        <w:t>pylori</w:t>
      </w:r>
      <w:r>
        <w:rPr>
          <w:rFonts w:ascii="SimHei" w:hAnsi="SimHei" w:eastAsia="SimHei" w:cs="SimHei"/>
          <w:sz w:val="21"/>
          <w:szCs w:val="21"/>
          <w:b/>
          <w:bCs/>
          <w:spacing w:val="3"/>
        </w:rPr>
        <w:t>相关</w:t>
      </w:r>
      <w:r>
        <w:rPr>
          <w:sz w:val="21"/>
          <w:szCs w:val="21"/>
          <w:b/>
          <w:bCs/>
        </w:rPr>
        <w:t>PU</w:t>
      </w:r>
      <w:r>
        <w:rPr>
          <w:sz w:val="21"/>
          <w:szCs w:val="21"/>
          <w:b/>
          <w:bCs/>
          <w:spacing w:val="3"/>
        </w:rPr>
        <w:t>,</w:t>
      </w:r>
      <w:r>
        <w:rPr>
          <w:sz w:val="21"/>
          <w:szCs w:val="21"/>
          <w:b/>
          <w:bCs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可使用</w:t>
      </w:r>
      <w:r>
        <w:rPr>
          <w:sz w:val="21"/>
          <w:szCs w:val="21"/>
          <w:b/>
          <w:bCs/>
          <w:spacing w:val="-2"/>
        </w:rPr>
        <w:t>PPI</w:t>
      </w:r>
      <w:r>
        <w:rPr>
          <w:sz w:val="21"/>
          <w:szCs w:val="21"/>
          <w:b/>
          <w:bCs/>
          <w:spacing w:val="24"/>
          <w:w w:val="10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和</w:t>
      </w:r>
      <w:r>
        <w:rPr>
          <w:rFonts w:ascii="SimHei" w:hAnsi="SimHei" w:eastAsia="SimHei" w:cs="SimHei"/>
          <w:sz w:val="21"/>
          <w:szCs w:val="21"/>
          <w:spacing w:val="-39"/>
        </w:rPr>
        <w:t xml:space="preserve"> </w:t>
      </w:r>
      <w:r>
        <w:rPr>
          <w:sz w:val="21"/>
          <w:szCs w:val="21"/>
          <w:b/>
          <w:bCs/>
          <w:spacing w:val="-2"/>
        </w:rPr>
        <w:t>H₂RA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"/>
        </w:rPr>
        <w:t>等药物进行维持治疗。</w:t>
      </w:r>
    </w:p>
    <w:p>
      <w:pPr>
        <w:pStyle w:val="BodyText"/>
        <w:ind w:right="319" w:firstLine="429"/>
        <w:spacing w:before="2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4"/>
          <w:szCs w:val="24"/>
          <w:spacing w:val="-15"/>
        </w:rPr>
        <w:t>证据质量：</w:t>
      </w:r>
      <w:r>
        <w:rPr>
          <w:sz w:val="24"/>
          <w:szCs w:val="24"/>
          <w:spacing w:val="-15"/>
        </w:rPr>
        <w:t>C;</w:t>
      </w:r>
      <w:r>
        <w:rPr>
          <w:sz w:val="24"/>
          <w:szCs w:val="24"/>
          <w:spacing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5"/>
        </w:rPr>
        <w:t>推荐强度：强推荐；共识水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平：95.65%</w:t>
      </w:r>
    </w:p>
    <w:p>
      <w:pPr>
        <w:pStyle w:val="BodyText"/>
        <w:ind w:right="224" w:firstLine="429"/>
        <w:spacing w:before="11" w:line="27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</w:rPr>
        <w:t>IPU</w:t>
      </w:r>
      <w:r>
        <w:rPr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指原因不明或自发产生的溃疡。</w:t>
      </w:r>
      <w:r>
        <w:rPr>
          <w:sz w:val="21"/>
          <w:szCs w:val="21"/>
        </w:rPr>
        <w:t>IPU</w:t>
      </w:r>
      <w:r>
        <w:rPr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诊断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首先需排除常见的可能原因，包括H.pylori感染、其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0"/>
        </w:rPr>
        <w:t>他病原体感染、致溃疡药物、具有上消化道表现的疾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病、胃酸过多，以及其他涉及上消化道的罕见感染。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当所有已知病因被排除后，可以诊断为</w:t>
      </w:r>
      <w:r>
        <w:rPr>
          <w:sz w:val="21"/>
          <w:szCs w:val="21"/>
          <w:spacing w:val="-2"/>
        </w:rPr>
        <w:t>IPU[82]   </w:t>
      </w:r>
      <w:r>
        <w:rPr>
          <w:rFonts w:ascii="SimSun" w:hAnsi="SimSun" w:eastAsia="SimSun" w:cs="SimSun"/>
          <w:sz w:val="21"/>
          <w:szCs w:val="21"/>
          <w:spacing w:val="-2"/>
        </w:rPr>
        <w:t>近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年来，全球范围内</w:t>
      </w:r>
      <w:r>
        <w:rPr>
          <w:sz w:val="21"/>
          <w:szCs w:val="21"/>
          <w:spacing w:val="-7"/>
        </w:rPr>
        <w:t>IPU </w:t>
      </w:r>
      <w:r>
        <w:rPr>
          <w:rFonts w:ascii="SimSun" w:hAnsi="SimSun" w:eastAsia="SimSun" w:cs="SimSun"/>
          <w:sz w:val="21"/>
          <w:szCs w:val="21"/>
          <w:spacing w:val="-7"/>
        </w:rPr>
        <w:t>的发病率有所升高[8387]。日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本的一项多中心研究显示，</w:t>
      </w:r>
      <w:r>
        <w:rPr>
          <w:sz w:val="21"/>
          <w:szCs w:val="21"/>
          <w:spacing w:val="-4"/>
        </w:rPr>
        <w:t>IPU</w:t>
      </w:r>
      <w:r>
        <w:rPr>
          <w:rFonts w:ascii="SimSun" w:hAnsi="SimSun" w:eastAsia="SimSun" w:cs="SimSun"/>
          <w:sz w:val="21"/>
          <w:szCs w:val="21"/>
          <w:spacing w:val="-4"/>
        </w:rPr>
        <w:t>占所有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sz w:val="21"/>
          <w:szCs w:val="21"/>
          <w:spacing w:val="-4"/>
        </w:rPr>
        <w:t>PU</w:t>
      </w:r>
      <w:r>
        <w:rPr>
          <w:rFonts w:ascii="SimSun" w:hAnsi="SimSun" w:eastAsia="SimSun" w:cs="SimSun"/>
          <w:sz w:val="21"/>
          <w:szCs w:val="21"/>
          <w:spacing w:val="-4"/>
        </w:rPr>
        <w:t>的</w:t>
      </w:r>
      <w:r>
        <w:rPr>
          <w:rFonts w:ascii="SimSun" w:hAnsi="SimSun" w:eastAsia="SimSun" w:cs="SimSun"/>
          <w:sz w:val="21"/>
          <w:szCs w:val="21"/>
          <w:spacing w:val="-5"/>
        </w:rPr>
        <w:t xml:space="preserve"> 1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3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%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,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PPI对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IPU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的治疗效果不佳[82]。有研究结果显示，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经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PPI 治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疗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3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个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月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后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，IPU</w:t>
      </w:r>
      <w:r>
        <w:rPr>
          <w:rFonts w:ascii="SimSun" w:hAnsi="SimSun" w:eastAsia="SimSun" w:cs="SimSun"/>
          <w:sz w:val="21"/>
          <w:szCs w:val="21"/>
          <w:spacing w:val="3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的愈合率明显低于  </w:t>
      </w:r>
      <w:r>
        <w:rPr>
          <w:sz w:val="21"/>
          <w:szCs w:val="21"/>
          <w:spacing w:val="3"/>
        </w:rPr>
        <w:t>H.</w:t>
      </w:r>
      <w:r>
        <w:rPr>
          <w:sz w:val="21"/>
          <w:szCs w:val="21"/>
        </w:rPr>
        <w:t>pylori</w:t>
      </w:r>
      <w:r>
        <w:rPr>
          <w:rFonts w:ascii="SimSun" w:hAnsi="SimSun" w:eastAsia="SimSun" w:cs="SimSun"/>
          <w:sz w:val="21"/>
          <w:szCs w:val="21"/>
          <w:spacing w:val="3"/>
        </w:rPr>
        <w:t>感染相关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sz w:val="21"/>
          <w:szCs w:val="21"/>
        </w:rPr>
        <w:t>PU</w:t>
      </w:r>
      <w:r>
        <w:rPr>
          <w:sz w:val="21"/>
          <w:szCs w:val="21"/>
          <w:spacing w:val="3"/>
        </w:rPr>
        <w:t>(77%  </w:t>
      </w:r>
      <w:r>
        <w:rPr>
          <w:rFonts w:ascii="SimSun" w:hAnsi="SimSun" w:eastAsia="SimSun" w:cs="SimSun"/>
          <w:sz w:val="21"/>
          <w:szCs w:val="21"/>
          <w:spacing w:val="3"/>
        </w:rPr>
        <w:t>比95%)[88]。在</w:t>
      </w:r>
      <w:r>
        <w:rPr>
          <w:rFonts w:ascii="SimSun" w:hAnsi="SimSun" w:eastAsia="SimSun" w:cs="SimSun"/>
          <w:sz w:val="21"/>
          <w:szCs w:val="21"/>
          <w:spacing w:val="2"/>
        </w:rPr>
        <w:t>没有维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持治疗的情况下，</w:t>
      </w:r>
      <w:r>
        <w:rPr>
          <w:sz w:val="21"/>
          <w:szCs w:val="21"/>
        </w:rPr>
        <w:t>IPU</w:t>
      </w:r>
      <w:r>
        <w:rPr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组7年内的累积复发率远高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5"/>
        </w:rPr>
        <w:t>于</w:t>
      </w:r>
      <w:r>
        <w:rPr>
          <w:sz w:val="21"/>
          <w:szCs w:val="21"/>
          <w:spacing w:val="15"/>
        </w:rPr>
        <w:t>H.</w:t>
      </w:r>
      <w:r>
        <w:rPr>
          <w:sz w:val="21"/>
          <w:szCs w:val="21"/>
        </w:rPr>
        <w:t>pylori</w:t>
      </w:r>
      <w:r>
        <w:rPr>
          <w:rFonts w:ascii="SimSun" w:hAnsi="SimSun" w:eastAsia="SimSun" w:cs="SimSun"/>
          <w:sz w:val="21"/>
          <w:szCs w:val="21"/>
          <w:spacing w:val="15"/>
        </w:rPr>
        <w:t>感染相关</w:t>
      </w:r>
      <w:r>
        <w:rPr>
          <w:sz w:val="21"/>
          <w:szCs w:val="21"/>
        </w:rPr>
        <w:t>PU</w:t>
      </w:r>
      <w:r>
        <w:rPr>
          <w:sz w:val="21"/>
          <w:szCs w:val="21"/>
          <w:spacing w:val="3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组(42.3%比11.2%)</w:t>
      </w:r>
      <w:r>
        <w:rPr>
          <w:rFonts w:ascii="Calibri" w:hAnsi="Calibri" w:eastAsia="Calibri" w:cs="Calibri"/>
          <w:sz w:val="21"/>
          <w:szCs w:val="21"/>
          <w:spacing w:val="15"/>
        </w:rPr>
        <w:t>⁸</w:t>
      </w:r>
      <w:r>
        <w:rPr>
          <w:rFonts w:ascii="SimSun" w:hAnsi="SimSun" w:eastAsia="SimSun" w:cs="SimSun"/>
          <w:sz w:val="21"/>
          <w:szCs w:val="21"/>
          <w:spacing w:val="15"/>
        </w:rPr>
        <w:t>9]。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即便使用</w:t>
      </w:r>
      <w:r>
        <w:rPr>
          <w:sz w:val="21"/>
          <w:szCs w:val="21"/>
        </w:rPr>
        <w:t>PPI</w:t>
      </w:r>
      <w:r>
        <w:rPr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或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sz w:val="21"/>
          <w:szCs w:val="21"/>
          <w:spacing w:val="1"/>
        </w:rPr>
        <w:t>H₂</w:t>
      </w:r>
      <w:r>
        <w:rPr>
          <w:sz w:val="21"/>
          <w:szCs w:val="21"/>
        </w:rPr>
        <w:t>RA</w:t>
      </w:r>
      <w:r>
        <w:rPr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等药物进行维持治疗，也很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难有效预防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sz w:val="21"/>
          <w:szCs w:val="21"/>
          <w:spacing w:val="-2"/>
        </w:rPr>
        <w:t>IPU </w:t>
      </w:r>
      <w:r>
        <w:rPr>
          <w:rFonts w:ascii="SimSun" w:hAnsi="SimSun" w:eastAsia="SimSun" w:cs="SimSun"/>
          <w:sz w:val="21"/>
          <w:szCs w:val="21"/>
          <w:spacing w:val="-2"/>
        </w:rPr>
        <w:t>复发[90,因此，</w:t>
      </w:r>
      <w:r>
        <w:rPr>
          <w:sz w:val="21"/>
          <w:szCs w:val="21"/>
          <w:spacing w:val="-2"/>
        </w:rPr>
        <w:t>IPU</w:t>
      </w:r>
      <w:r>
        <w:rPr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的临床治疗难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度较大。</w:t>
      </w:r>
    </w:p>
    <w:p>
      <w:pPr>
        <w:ind w:left="3" w:right="321" w:firstLine="429"/>
        <w:spacing w:before="31" w:line="263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陈述7.3:当溃疡难以治愈时，应排除药物因素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或其他原因，所有未愈合的溃疡在治疗2～3个月后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必须反复进行溃疡部位活检。</w:t>
      </w:r>
    </w:p>
    <w:p>
      <w:pPr>
        <w:pStyle w:val="BodyText"/>
        <w:ind w:right="319" w:firstLine="429"/>
        <w:spacing w:before="2" w:line="2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4"/>
          <w:szCs w:val="24"/>
          <w:spacing w:val="-11"/>
        </w:rPr>
        <w:t>证据质量：</w:t>
      </w:r>
      <w:r>
        <w:rPr>
          <w:sz w:val="24"/>
          <w:szCs w:val="24"/>
          <w:spacing w:val="-11"/>
        </w:rPr>
        <w:t>C;</w:t>
      </w:r>
      <w:r>
        <w:rPr>
          <w:sz w:val="24"/>
          <w:szCs w:val="24"/>
          <w:spacing w:val="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推荐强度：强推荐；共识水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平：86.96%</w:t>
      </w:r>
    </w:p>
    <w:p>
      <w:pPr>
        <w:pStyle w:val="BodyText"/>
        <w:ind w:right="319" w:firstLine="429"/>
        <w:spacing w:before="1" w:line="25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仅</w:t>
      </w:r>
      <w:r>
        <w:rPr>
          <w:rFonts w:ascii="SimSun" w:hAnsi="SimSun" w:eastAsia="SimSun" w:cs="SimSu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&lt;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5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%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的</w:t>
      </w:r>
      <w:r>
        <w:rPr>
          <w:sz w:val="21"/>
          <w:szCs w:val="21"/>
        </w:rPr>
        <w:t>PU</w:t>
      </w:r>
      <w:r>
        <w:rPr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患者在使用</w:t>
      </w:r>
      <w:r>
        <w:rPr>
          <w:sz w:val="21"/>
          <w:szCs w:val="21"/>
        </w:rPr>
        <w:t>PPI</w:t>
      </w:r>
      <w:r>
        <w:rPr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治疗8周后仍未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能愈合，而未规范服药是导致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PU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不愈合的最常见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原因；使用阿司匹林或其他NSAID 也是难治性</w:t>
      </w:r>
      <w:r>
        <w:rPr>
          <w:rFonts w:ascii="SimSun" w:hAnsi="SimSun" w:eastAsia="SimSun" w:cs="SimSun"/>
          <w:sz w:val="21"/>
          <w:szCs w:val="21"/>
          <w:spacing w:val="-1"/>
        </w:rPr>
        <w:t>溃疡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发生的常见原因。某些恶性肿瘤(包括腺癌和</w:t>
      </w:r>
      <w:r>
        <w:rPr>
          <w:rFonts w:ascii="SimSun" w:hAnsi="SimSun" w:eastAsia="SimSun" w:cs="SimSun"/>
          <w:sz w:val="21"/>
          <w:szCs w:val="21"/>
          <w:spacing w:val="3"/>
        </w:rPr>
        <w:t>淋巴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0"/>
        <w:spacing w:before="36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瘤)可导致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sz w:val="21"/>
          <w:szCs w:val="21"/>
          <w:spacing w:val="-2"/>
        </w:rPr>
        <w:t>PU </w:t>
      </w:r>
      <w:r>
        <w:rPr>
          <w:rFonts w:ascii="SimSun" w:hAnsi="SimSun" w:eastAsia="SimSun" w:cs="SimSun"/>
          <w:sz w:val="21"/>
          <w:szCs w:val="21"/>
          <w:spacing w:val="-2"/>
        </w:rPr>
        <w:t>形成，当溃疡难以治愈时，应</w:t>
      </w:r>
      <w:r>
        <w:rPr>
          <w:rFonts w:ascii="SimSun" w:hAnsi="SimSun" w:eastAsia="SimSun" w:cs="SimSun"/>
          <w:sz w:val="21"/>
          <w:szCs w:val="21"/>
          <w:spacing w:val="-3"/>
        </w:rPr>
        <w:t>考虑此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类因素，在后续内镜检查中进行反复活检，并进一步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评估1,91]。</w:t>
      </w:r>
      <w:r>
        <w:rPr>
          <w:sz w:val="21"/>
          <w:szCs w:val="21"/>
          <w:spacing w:val="-6"/>
        </w:rPr>
        <w:t>H.pylori</w:t>
      </w:r>
      <w:r>
        <w:rPr>
          <w:rFonts w:ascii="SimSun" w:hAnsi="SimSun" w:eastAsia="SimSun" w:cs="SimSun"/>
          <w:sz w:val="21"/>
          <w:szCs w:val="21"/>
          <w:spacing w:val="-6"/>
        </w:rPr>
        <w:t>感染以外</w:t>
      </w:r>
      <w:r>
        <w:rPr>
          <w:rFonts w:ascii="SimSun" w:hAnsi="SimSun" w:eastAsia="SimSun" w:cs="SimSun"/>
          <w:sz w:val="21"/>
          <w:szCs w:val="21"/>
          <w:spacing w:val="-7"/>
        </w:rPr>
        <w:t>的感染性疾病，如结核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病、梅毒，以及巨细胞病毒和单纯疱疹病毒感染等，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也曾被报道为难治性溃疡的病因，需要在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PPI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治疗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外进行特定的抗感染治疗[90];当考虑感染性病因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时，因可能需要特定的组织学染色和培养来进行鉴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别，在活检取样和样本处理时需特别注意。全身性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疾病，包括结节病92、贝赫切特综合征(又称白塞综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合征)[3和结节性多动脉炎[90,94]等，也可引起难治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4"/>
        </w:rPr>
        <w:t>性溃疡。约15%的克罗恩病患者存在胃、十二指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肠受累，从而出现大小不一的溃疡1,91,95]</w:t>
      </w:r>
      <w:r>
        <w:rPr>
          <w:rFonts w:ascii="SimSun" w:hAnsi="SimSun" w:eastAsia="SimSun" w:cs="SimSun"/>
          <w:sz w:val="21"/>
          <w:szCs w:val="21"/>
          <w:spacing w:val="-9"/>
        </w:rPr>
        <w:t>。由于胃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泌素瘤使得胃泌素升高，导致胃酸分泌增加，为难治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性溃疡的主要原因。通常表现为胃多发或发生在非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典型部位的溃疡，同时伴有腹泻，标准剂量</w:t>
      </w:r>
      <w:r>
        <w:rPr>
          <w:sz w:val="21"/>
          <w:szCs w:val="21"/>
          <w:spacing w:val="-8"/>
        </w:rPr>
        <w:t>PPI</w:t>
      </w:r>
      <w:r>
        <w:rPr>
          <w:sz w:val="21"/>
          <w:szCs w:val="21"/>
          <w:spacing w:val="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无法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治愈[1,91]。更罕见原因包括特发性胃酸分泌过多和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胃次全切除术后残留胃窦综合征等[96]。持续不愈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4"/>
        </w:rPr>
        <w:t>合的   患者在排除使用</w:t>
      </w:r>
      <w:r>
        <w:rPr>
          <w:rFonts w:ascii="SimSun" w:hAnsi="SimSun" w:eastAsia="SimSun" w:cs="SimSun"/>
          <w:sz w:val="21"/>
          <w:szCs w:val="21"/>
        </w:rPr>
        <w:t>NSAID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和持续的H.</w:t>
      </w:r>
      <w:r>
        <w:rPr>
          <w:rFonts w:ascii="SimSun" w:hAnsi="SimSun" w:eastAsia="SimSun" w:cs="SimSun"/>
          <w:sz w:val="21"/>
          <w:szCs w:val="21"/>
        </w:rPr>
        <w:t>pylori </w:t>
      </w:r>
      <w:r>
        <w:rPr>
          <w:rFonts w:ascii="SimSun" w:hAnsi="SimSun" w:eastAsia="SimSun" w:cs="SimSun"/>
          <w:sz w:val="21"/>
          <w:szCs w:val="21"/>
          <w:spacing w:val="-2"/>
        </w:rPr>
        <w:t>感染后可考虑手术治疗。</w:t>
      </w:r>
    </w:p>
    <w:p>
      <w:pPr>
        <w:pStyle w:val="BodyText"/>
        <w:ind w:left="429"/>
        <w:spacing w:before="13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2"/>
        </w:rPr>
        <w:t>八、</w:t>
      </w:r>
      <w:r>
        <w:rPr>
          <w:sz w:val="21"/>
          <w:szCs w:val="21"/>
          <w:spacing w:val="-12"/>
        </w:rPr>
        <w:t>PU</w:t>
      </w:r>
      <w:r>
        <w:rPr>
          <w:rFonts w:ascii="SimSun" w:hAnsi="SimSun" w:eastAsia="SimSun" w:cs="SimSun"/>
          <w:sz w:val="21"/>
          <w:szCs w:val="21"/>
          <w:spacing w:val="-12"/>
        </w:rPr>
        <w:t>并发出血、穿孔的处理</w:t>
      </w:r>
    </w:p>
    <w:p>
      <w:pPr>
        <w:pStyle w:val="BodyText"/>
        <w:ind w:right="96" w:firstLine="429"/>
        <w:spacing w:before="34" w:line="27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6"/>
        </w:rPr>
        <w:t>陈述8</w:t>
      </w:r>
      <w:r>
        <w:rPr>
          <w:rFonts w:ascii="SimHei" w:hAnsi="SimHei" w:eastAsia="SimHei" w:cs="SimHei"/>
          <w:sz w:val="21"/>
          <w:szCs w:val="21"/>
          <w:spacing w:val="-5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6"/>
        </w:rPr>
        <w:t>.</w:t>
      </w:r>
      <w:r>
        <w:rPr>
          <w:rFonts w:ascii="SimHei" w:hAnsi="SimHei" w:eastAsia="SimHei" w:cs="SimHei"/>
          <w:sz w:val="21"/>
          <w:szCs w:val="21"/>
          <w:spacing w:val="-60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6"/>
        </w:rPr>
        <w:t>1:</w:t>
      </w:r>
      <w:r>
        <w:rPr>
          <w:sz w:val="21"/>
          <w:szCs w:val="21"/>
        </w:rPr>
        <w:t>PU  </w:t>
      </w:r>
      <w:r>
        <w:rPr>
          <w:rFonts w:ascii="SimHei" w:hAnsi="SimHei" w:eastAsia="SimHei" w:cs="SimHei"/>
          <w:sz w:val="21"/>
          <w:szCs w:val="21"/>
          <w:spacing w:val="6"/>
        </w:rPr>
        <w:t>合并急性上消化道出血</w:t>
      </w:r>
      <w:r>
        <w:rPr>
          <w:sz w:val="21"/>
          <w:szCs w:val="21"/>
          <w:spacing w:val="6"/>
        </w:rPr>
        <w:t>(</w:t>
      </w:r>
      <w:r>
        <w:rPr>
          <w:sz w:val="21"/>
          <w:szCs w:val="21"/>
        </w:rPr>
        <w:t>upper   </w:t>
      </w:r>
      <w:r>
        <w:rPr>
          <w:rFonts w:ascii="SimSun" w:hAnsi="SimSun" w:eastAsia="SimSun" w:cs="SimSun"/>
          <w:sz w:val="21"/>
          <w:szCs w:val="21"/>
          <w:spacing w:val="-3"/>
        </w:rPr>
        <w:t>gastrointestinal bleeding,UGIB)</w:t>
      </w:r>
      <w:r>
        <w:rPr>
          <w:rFonts w:ascii="SimHei" w:hAnsi="SimHei" w:eastAsia="SimHei" w:cs="SimHei"/>
          <w:sz w:val="21"/>
          <w:szCs w:val="21"/>
          <w:spacing w:val="-3"/>
        </w:rPr>
        <w:t>患者建</w:t>
      </w:r>
      <w:r>
        <w:rPr>
          <w:rFonts w:ascii="SimHei" w:hAnsi="SimHei" w:eastAsia="SimHei" w:cs="SimHei"/>
          <w:sz w:val="21"/>
          <w:szCs w:val="21"/>
          <w:spacing w:val="-4"/>
        </w:rPr>
        <w:t>议应用格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1"/>
        </w:rPr>
        <w:t>拉斯哥-布拉奇福德出血评分</w:t>
      </w:r>
      <w:r>
        <w:rPr>
          <w:rFonts w:ascii="SimSun" w:hAnsi="SimSun" w:eastAsia="SimSun" w:cs="SimSun"/>
          <w:sz w:val="21"/>
          <w:szCs w:val="21"/>
          <w:spacing w:val="-1"/>
        </w:rPr>
        <w:t>(Glasgow-Blatchford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score,GBS)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2"/>
        </w:rPr>
        <w:t>系统进行分层处理。</w:t>
      </w:r>
    </w:p>
    <w:p>
      <w:pPr>
        <w:pStyle w:val="BodyText"/>
        <w:ind w:right="74" w:firstLine="429"/>
        <w:spacing w:before="2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4"/>
          <w:szCs w:val="24"/>
          <w:spacing w:val="-10"/>
        </w:rPr>
        <w:t>证据质量：</w:t>
      </w:r>
      <w:r>
        <w:rPr>
          <w:sz w:val="24"/>
          <w:szCs w:val="24"/>
          <w:spacing w:val="-10"/>
        </w:rPr>
        <w:t>C;</w:t>
      </w:r>
      <w:r>
        <w:rPr>
          <w:sz w:val="24"/>
          <w:szCs w:val="24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推荐强度：强推荐；共识水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平：95.65%</w:t>
      </w:r>
    </w:p>
    <w:p>
      <w:pPr>
        <w:pStyle w:val="BodyText"/>
        <w:ind w:firstLine="429"/>
        <w:spacing w:before="14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尽管</w:t>
      </w:r>
      <w:r>
        <w:rPr>
          <w:sz w:val="21"/>
          <w:szCs w:val="21"/>
        </w:rPr>
        <w:t>PU</w:t>
      </w:r>
      <w:r>
        <w:rPr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的发病率、住院率和相关死亡率均明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显下降[97</w:t>
      </w:r>
      <w:r>
        <w:rPr>
          <w:sz w:val="21"/>
          <w:szCs w:val="21"/>
          <w:spacing w:val="7"/>
        </w:rPr>
        <w:t>J, </w:t>
      </w:r>
      <w:r>
        <w:rPr>
          <w:rFonts w:ascii="SimSun" w:hAnsi="SimSun" w:eastAsia="SimSun" w:cs="SimSun"/>
          <w:sz w:val="21"/>
          <w:szCs w:val="21"/>
          <w:spacing w:val="7"/>
        </w:rPr>
        <w:t>但仍有10%～20%的患者出现</w:t>
      </w:r>
      <w:r>
        <w:rPr>
          <w:sz w:val="21"/>
          <w:szCs w:val="21"/>
        </w:rPr>
        <w:t>PU</w:t>
      </w:r>
      <w:r>
        <w:rPr>
          <w:sz w:val="21"/>
          <w:szCs w:val="21"/>
          <w:spacing w:val="3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相关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并发症。</w:t>
      </w:r>
      <w:r>
        <w:rPr>
          <w:sz w:val="21"/>
          <w:szCs w:val="21"/>
          <w:spacing w:val="-2"/>
        </w:rPr>
        <w:t>UGIB</w:t>
      </w:r>
      <w:r>
        <w:rPr>
          <w:rFonts w:ascii="SimSun" w:hAnsi="SimSun" w:eastAsia="SimSun" w:cs="SimSun"/>
          <w:sz w:val="21"/>
          <w:szCs w:val="21"/>
          <w:spacing w:val="-2"/>
        </w:rPr>
        <w:t>是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sz w:val="21"/>
          <w:szCs w:val="21"/>
          <w:spacing w:val="-2"/>
        </w:rPr>
        <w:t>PU </w:t>
      </w:r>
      <w:r>
        <w:rPr>
          <w:rFonts w:ascii="SimSun" w:hAnsi="SimSun" w:eastAsia="SimSun" w:cs="SimSun"/>
          <w:sz w:val="21"/>
          <w:szCs w:val="21"/>
          <w:spacing w:val="-2"/>
        </w:rPr>
        <w:t>最常见的并发症，占非静脉曲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张性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sz w:val="21"/>
          <w:szCs w:val="21"/>
        </w:rPr>
        <w:t>UGIB</w:t>
      </w:r>
      <w:r>
        <w:rPr>
          <w:rFonts w:ascii="SimSun" w:hAnsi="SimSun" w:eastAsia="SimSun" w:cs="SimSun"/>
          <w:sz w:val="21"/>
          <w:szCs w:val="21"/>
          <w:spacing w:val="6"/>
        </w:rPr>
        <w:t>的40%～60%[1,97】,近50%的患者可在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没有任何预警症状的情况下发生出血。及时识</w:t>
      </w:r>
      <w:r>
        <w:rPr>
          <w:rFonts w:ascii="SimSun" w:hAnsi="SimSun" w:eastAsia="SimSun" w:cs="SimSun"/>
          <w:sz w:val="21"/>
          <w:szCs w:val="21"/>
          <w:spacing w:val="2"/>
        </w:rPr>
        <w:t>别、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必要时进行复苏、适当药物治疗，以及及时进行内镜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和(或)手术、介入治疗等，有利于对复杂</w:t>
      </w:r>
      <w:r>
        <w:rPr>
          <w:sz w:val="21"/>
          <w:szCs w:val="21"/>
          <w:spacing w:val="-4"/>
        </w:rPr>
        <w:t>U</w:t>
      </w:r>
      <w:r>
        <w:rPr>
          <w:sz w:val="21"/>
          <w:szCs w:val="21"/>
          <w:spacing w:val="-5"/>
        </w:rPr>
        <w:t>GIB</w:t>
      </w:r>
      <w:r>
        <w:rPr>
          <w:rFonts w:ascii="SimSun" w:hAnsi="SimSun" w:eastAsia="SimSun" w:cs="SimSun"/>
          <w:sz w:val="21"/>
          <w:szCs w:val="21"/>
          <w:spacing w:val="-5"/>
        </w:rPr>
        <w:t>患者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进行成功管理[9899]。准确识别低风险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sz w:val="21"/>
          <w:szCs w:val="21"/>
          <w:spacing w:val="-3"/>
        </w:rPr>
        <w:t>UGIB</w:t>
      </w:r>
      <w:r>
        <w:rPr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患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者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后，可对其进行门诊随访。常用的内镜检查前风险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评分包括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sz w:val="21"/>
          <w:szCs w:val="21"/>
          <w:spacing w:val="-3"/>
        </w:rPr>
        <w:t>GBS</w:t>
      </w:r>
      <w:r>
        <w:rPr>
          <w:rFonts w:ascii="SimSun" w:hAnsi="SimSun" w:eastAsia="SimSun" w:cs="SimSun"/>
          <w:sz w:val="21"/>
          <w:szCs w:val="21"/>
          <w:spacing w:val="-3"/>
        </w:rPr>
        <w:t>、入院-</w:t>
      </w:r>
      <w:r>
        <w:rPr>
          <w:sz w:val="21"/>
          <w:szCs w:val="21"/>
          <w:spacing w:val="-3"/>
        </w:rPr>
        <w:t>Rockall</w:t>
      </w:r>
      <w:r>
        <w:rPr>
          <w:sz w:val="21"/>
          <w:szCs w:val="21"/>
          <w:spacing w:val="1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评分和</w:t>
      </w:r>
      <w:r>
        <w:rPr>
          <w:rFonts w:ascii="SimSun" w:hAnsi="SimSun" w:eastAsia="SimSun" w:cs="SimSun"/>
          <w:sz w:val="21"/>
          <w:szCs w:val="21"/>
          <w:spacing w:val="-22"/>
        </w:rPr>
        <w:t xml:space="preserve"> </w:t>
      </w:r>
      <w:r>
        <w:rPr>
          <w:sz w:val="21"/>
          <w:szCs w:val="21"/>
          <w:spacing w:val="-3"/>
        </w:rPr>
        <w:t>AIMS65 </w:t>
      </w:r>
      <w:r>
        <w:rPr>
          <w:rFonts w:ascii="SimSun" w:hAnsi="SimSun" w:eastAsia="SimSun" w:cs="SimSun"/>
          <w:sz w:val="21"/>
          <w:szCs w:val="21"/>
          <w:spacing w:val="-3"/>
        </w:rPr>
        <w:t>评分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0"/>
        </w:rPr>
        <w:t>等，这些评分综合了临床、血液动力学和初始的实验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室检查等变量，可指导临床进行患者分流[10</w:t>
      </w:r>
      <w:r>
        <w:rPr>
          <w:rFonts w:ascii="SimSun" w:hAnsi="SimSun" w:eastAsia="SimSun" w:cs="SimSun"/>
          <w:sz w:val="21"/>
          <w:szCs w:val="21"/>
          <w:spacing w:val="-9"/>
        </w:rPr>
        <w:t>0-102]。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</w:rPr>
        <w:t>GBS</w:t>
      </w:r>
      <w:r>
        <w:rPr>
          <w:sz w:val="21"/>
          <w:szCs w:val="21"/>
          <w:spacing w:val="10"/>
        </w:rPr>
        <w:t>≤1</w:t>
      </w:r>
      <w:r>
        <w:rPr>
          <w:sz w:val="21"/>
          <w:szCs w:val="21"/>
          <w:spacing w:val="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分是预测无干预生存的最佳阈值(灵敏度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6"/>
        </w:rPr>
        <w:t>为98.6%,特异度为34.6%),</w:t>
      </w:r>
      <w:r>
        <w:rPr>
          <w:rFonts w:ascii="SimSun" w:hAnsi="SimSun" w:eastAsia="SimSun" w:cs="SimSun"/>
          <w:sz w:val="21"/>
          <w:szCs w:val="21"/>
        </w:rPr>
        <w:t>GBS</w:t>
      </w:r>
      <w:r>
        <w:rPr>
          <w:rFonts w:ascii="SimSun" w:hAnsi="SimSun" w:eastAsia="SimSun" w:cs="SimSun"/>
          <w:sz w:val="21"/>
          <w:szCs w:val="21"/>
          <w:spacing w:val="16"/>
        </w:rPr>
        <w:t>≥7 分是预测内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4"/>
        </w:rPr>
        <w:t>镜治疗的最佳阈值(灵敏度为80%,特异度为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1"/>
        </w:rPr>
        <w:t>57%),入院-</w:t>
      </w:r>
      <w:r>
        <w:rPr>
          <w:sz w:val="21"/>
          <w:szCs w:val="21"/>
        </w:rPr>
        <w:t>Rockall</w:t>
      </w:r>
      <w:r>
        <w:rPr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评分≥5分是预测死亡的最佳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阈值[102]。2021年发布的《美国胃肠病学会上消化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道及溃疡出血临床指南》[103](以下简称2021年美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国胃肠病学会指南)建议，对于急诊就诊的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sz w:val="21"/>
          <w:szCs w:val="21"/>
          <w:spacing w:val="-4"/>
        </w:rPr>
        <w:t>UGIB</w:t>
      </w:r>
      <w:r>
        <w:rPr>
          <w:rFonts w:ascii="SimSun" w:hAnsi="SimSun" w:eastAsia="SimSun" w:cs="SimSun"/>
          <w:sz w:val="21"/>
          <w:szCs w:val="21"/>
          <w:spacing w:val="-4"/>
        </w:rPr>
        <w:t>患</w:t>
      </w:r>
    </w:p>
    <w:p>
      <w:pPr>
        <w:spacing w:line="272" w:lineRule="auto"/>
        <w:sectPr>
          <w:type w:val="continuous"/>
          <w:pgSz w:w="10720" w:h="15880"/>
          <w:pgMar w:top="400" w:right="474" w:bottom="0" w:left="499" w:header="0" w:footer="0" w:gutter="0"/>
          <w:cols w:equalWidth="0" w:num="2">
            <w:col w:w="4941" w:space="100"/>
            <w:col w:w="470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109"/>
        <w:spacing w:before="115" w:line="222" w:lineRule="auto"/>
        <w:tabs>
          <w:tab w:val="left" w:pos="312"/>
        </w:tabs>
        <w:rPr>
          <w:sz w:val="20"/>
          <w:szCs w:val="20"/>
        </w:rPr>
      </w:pPr>
      <w:r>
        <w:rPr>
          <w:sz w:val="20"/>
          <w:szCs w:val="20"/>
          <w:u w:val="dotted" w:color="auto"/>
          <w:position w:val="-6"/>
        </w:rPr>
        <w:tab/>
      </w:r>
      <w:r>
        <w:rPr>
          <w:sz w:val="20"/>
          <w:szCs w:val="20"/>
          <w:spacing w:val="-28"/>
          <w:position w:val="-6"/>
        </w:rPr>
        <w:t xml:space="preserve"> </w:t>
      </w:r>
      <w:r>
        <w:rPr>
          <w:sz w:val="20"/>
          <w:szCs w:val="20"/>
          <w:spacing w:val="-8"/>
          <w:position w:val="-6"/>
        </w:rPr>
        <w:t>182</w:t>
      </w:r>
      <w:r>
        <w:rPr>
          <w:sz w:val="20"/>
          <w:szCs w:val="20"/>
          <w:u w:val="dotted" w:color="auto"/>
          <w:spacing w:val="-8"/>
          <w:position w:val="-6"/>
        </w:rPr>
        <w:t xml:space="preserve">    </w:t>
      </w:r>
      <w:r>
        <w:rPr>
          <w:sz w:val="20"/>
          <w:szCs w:val="20"/>
          <w:spacing w:val="1"/>
          <w:position w:val="-6"/>
        </w:rPr>
        <w:t xml:space="preserve">                     </w:t>
      </w:r>
      <w:r>
        <w:rPr>
          <w:sz w:val="20"/>
          <w:szCs w:val="20"/>
          <w:position w:val="-6"/>
        </w:rPr>
        <w:t xml:space="preserve">                                           </w:t>
      </w:r>
      <w:r>
        <w:rPr>
          <w:rFonts w:ascii="SimSun" w:hAnsi="SimSun" w:eastAsia="SimSun" w:cs="SimSun"/>
          <w:sz w:val="20"/>
          <w:szCs w:val="20"/>
          <w:u w:val="single" w:color="auto"/>
          <w:spacing w:val="-74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  <w:spacing w:val="-8"/>
        </w:rPr>
        <w:t>中华消化杂志</w:t>
      </w:r>
      <w:r>
        <w:rPr>
          <w:sz w:val="20"/>
          <w:szCs w:val="20"/>
          <w:u w:val="single" w:color="auto"/>
          <w:spacing w:val="-8"/>
        </w:rPr>
        <w:t>2023</w:t>
      </w:r>
      <w:r>
        <w:rPr>
          <w:rFonts w:ascii="SimSun" w:hAnsi="SimSun" w:eastAsia="SimSun" w:cs="SimSun"/>
          <w:sz w:val="20"/>
          <w:szCs w:val="20"/>
          <w:u w:val="single" w:color="auto"/>
          <w:spacing w:val="-8"/>
        </w:rPr>
        <w:t>年</w:t>
      </w:r>
      <w:r>
        <w:rPr>
          <w:sz w:val="20"/>
          <w:szCs w:val="20"/>
          <w:u w:val="single" w:color="auto"/>
          <w:spacing w:val="-8"/>
        </w:rPr>
        <w:t>3</w:t>
      </w:r>
      <w:r>
        <w:rPr>
          <w:rFonts w:ascii="SimSun" w:hAnsi="SimSun" w:eastAsia="SimSun" w:cs="SimSun"/>
          <w:sz w:val="20"/>
          <w:szCs w:val="20"/>
          <w:u w:val="single" w:color="auto"/>
          <w:spacing w:val="-8"/>
        </w:rPr>
        <w:t>月第</w:t>
      </w:r>
      <w:r>
        <w:rPr>
          <w:sz w:val="20"/>
          <w:szCs w:val="20"/>
          <w:u w:val="single" w:color="auto"/>
          <w:spacing w:val="-8"/>
        </w:rPr>
        <w:t>43</w:t>
      </w:r>
      <w:r>
        <w:rPr>
          <w:rFonts w:ascii="SimSun" w:hAnsi="SimSun" w:eastAsia="SimSun" w:cs="SimSun"/>
          <w:sz w:val="20"/>
          <w:szCs w:val="20"/>
          <w:u w:val="single" w:color="auto"/>
          <w:spacing w:val="-8"/>
        </w:rPr>
        <w:t>卷第</w:t>
      </w:r>
      <w:r>
        <w:rPr>
          <w:sz w:val="20"/>
          <w:szCs w:val="20"/>
          <w:u w:val="single" w:color="auto"/>
          <w:spacing w:val="-8"/>
        </w:rPr>
        <w:t>3</w:t>
      </w:r>
      <w:r>
        <w:rPr>
          <w:rFonts w:ascii="SimSun" w:hAnsi="SimSun" w:eastAsia="SimSun" w:cs="SimSun"/>
          <w:sz w:val="20"/>
          <w:szCs w:val="20"/>
          <w:u w:val="single" w:color="auto"/>
          <w:spacing w:val="-8"/>
        </w:rPr>
        <w:t>期</w:t>
      </w:r>
      <w:r>
        <w:rPr>
          <w:sz w:val="20"/>
          <w:szCs w:val="20"/>
          <w:u w:val="single" w:color="auto"/>
          <w:spacing w:val="-8"/>
        </w:rPr>
        <w:t>Chin JDig,March 2023</w:t>
      </w:r>
      <w:r>
        <w:rPr>
          <w:sz w:val="20"/>
          <w:szCs w:val="20"/>
          <w:u w:val="single" w:color="auto"/>
          <w:spacing w:val="-9"/>
        </w:rPr>
        <w:t>,Vol.43,No.3</w:t>
      </w:r>
    </w:p>
    <w:p>
      <w:pPr>
        <w:spacing w:before="40"/>
        <w:rPr/>
      </w:pPr>
      <w:r/>
    </w:p>
    <w:p>
      <w:pPr>
        <w:sectPr>
          <w:pgSz w:w="10720" w:h="15880"/>
          <w:pgMar w:top="400" w:right="509" w:bottom="0" w:left="490" w:header="0" w:footer="0" w:gutter="0"/>
          <w:cols w:equalWidth="0" w:num="1">
            <w:col w:w="9721" w:space="0"/>
          </w:cols>
        </w:sectPr>
        <w:rPr/>
      </w:pPr>
    </w:p>
    <w:p>
      <w:pPr>
        <w:pStyle w:val="BodyText"/>
        <w:ind w:right="330"/>
        <w:spacing w:before="43" w:line="26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者，若风险评估需住院干预或发生死亡的假阴性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率≤1%(如</w:t>
      </w:r>
      <w:r>
        <w:rPr>
          <w:sz w:val="22"/>
          <w:szCs w:val="22"/>
        </w:rPr>
        <w:t>GBS</w:t>
      </w:r>
      <w:r>
        <w:rPr>
          <w:rFonts w:ascii="SimSun" w:hAnsi="SimSun" w:eastAsia="SimSun" w:cs="SimSun"/>
          <w:sz w:val="22"/>
          <w:szCs w:val="22"/>
          <w:spacing w:val="4"/>
        </w:rPr>
        <w:t>为0～1分),则可门诊随访，无需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入院治疗(有条件的推荐，证据质量非常低)。</w:t>
      </w:r>
    </w:p>
    <w:p>
      <w:pPr>
        <w:pStyle w:val="BodyText"/>
        <w:ind w:right="328" w:firstLine="450"/>
        <w:spacing w:before="2" w:line="291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陈述8.2:建议对血红蛋白&lt;70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10"/>
        </w:rPr>
        <w:t>g/L   </w:t>
      </w:r>
      <w:r>
        <w:rPr>
          <w:rFonts w:ascii="SimHei" w:hAnsi="SimHei" w:eastAsia="SimHei" w:cs="SimHei"/>
          <w:sz w:val="20"/>
          <w:szCs w:val="20"/>
          <w:spacing w:val="10"/>
        </w:rPr>
        <w:t>的</w:t>
      </w:r>
      <w:r>
        <w:rPr>
          <w:rFonts w:ascii="SimHei" w:hAnsi="SimHei" w:eastAsia="SimHei" w:cs="SimHei"/>
          <w:sz w:val="20"/>
          <w:szCs w:val="20"/>
          <w:spacing w:val="-6"/>
        </w:rPr>
        <w:t xml:space="preserve"> </w:t>
      </w:r>
      <w:r>
        <w:rPr>
          <w:sz w:val="20"/>
          <w:szCs w:val="20"/>
        </w:rPr>
        <w:t>PU</w:t>
      </w:r>
      <w:r>
        <w:rPr>
          <w:sz w:val="20"/>
          <w:szCs w:val="20"/>
          <w:spacing w:val="10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10"/>
        </w:rPr>
        <w:t>出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血患者在内镜检查和治疗前输注红细胞悬液；对于</w:t>
      </w:r>
      <w:r>
        <w:rPr>
          <w:rFonts w:ascii="SimHei" w:hAnsi="SimHei" w:eastAsia="SimHei" w:cs="SimHei"/>
          <w:sz w:val="20"/>
          <w:szCs w:val="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9"/>
        </w:rPr>
        <w:t>有活动性心血管疾病或既往有心脑血管疾病的患</w:t>
      </w:r>
      <w:r>
        <w:rPr>
          <w:rFonts w:ascii="SimHei" w:hAnsi="SimHei" w:eastAsia="SimHei" w:cs="SimHei"/>
          <w:sz w:val="20"/>
          <w:szCs w:val="20"/>
          <w:spacing w:val="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者，输血的策略需根据对失血量和心血管疾病的评</w:t>
      </w:r>
      <w:r>
        <w:rPr>
          <w:rFonts w:ascii="SimHei" w:hAnsi="SimHei" w:eastAsia="SimHei" w:cs="SimHei"/>
          <w:sz w:val="20"/>
          <w:szCs w:val="20"/>
          <w:spacing w:val="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8"/>
        </w:rPr>
        <w:t>估来决定。</w:t>
      </w:r>
    </w:p>
    <w:p>
      <w:pPr>
        <w:pStyle w:val="BodyText"/>
        <w:ind w:right="289" w:firstLine="450"/>
        <w:spacing w:before="3" w:line="27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  <w:spacing w:val="8"/>
        </w:rPr>
        <w:t>证据质量：</w:t>
      </w:r>
      <w:r>
        <w:rPr>
          <w:sz w:val="22"/>
          <w:szCs w:val="22"/>
          <w:spacing w:val="8"/>
        </w:rPr>
        <w:t>A;</w:t>
      </w:r>
      <w:r>
        <w:rPr>
          <w:sz w:val="22"/>
          <w:szCs w:val="22"/>
          <w:spacing w:val="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推荐强度：强推荐；共识水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平：100.00%</w:t>
      </w:r>
    </w:p>
    <w:p>
      <w:pPr>
        <w:pStyle w:val="BodyText"/>
        <w:ind w:right="219" w:firstLine="450"/>
        <w:spacing w:before="26" w:line="286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1600168</wp:posOffset>
            </wp:positionH>
            <wp:positionV relativeFrom="paragraph">
              <wp:posOffset>407012</wp:posOffset>
            </wp:positionV>
            <wp:extent cx="2889247" cy="277496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9247" cy="277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15"/>
        </w:rPr>
        <w:t>限制性输血策略(血红蛋白&lt;70</w:t>
      </w:r>
      <w:r>
        <w:rPr>
          <w:rFonts w:ascii="SimSun" w:hAnsi="SimSun" w:eastAsia="SimSun" w:cs="SimSun"/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15"/>
        </w:rPr>
        <w:t>g/L  </w:t>
      </w:r>
      <w:r>
        <w:rPr>
          <w:rFonts w:ascii="SimSun" w:hAnsi="SimSun" w:eastAsia="SimSun" w:cs="SimSun"/>
          <w:sz w:val="20"/>
          <w:szCs w:val="20"/>
          <w:spacing w:val="15"/>
        </w:rPr>
        <w:t>时输血)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可使43%的患者避免红细胞输注[104]。相比自由输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血策略(血红蛋白&lt;90 </w:t>
      </w:r>
      <w:r>
        <w:rPr>
          <w:sz w:val="20"/>
          <w:szCs w:val="20"/>
          <w:spacing w:val="12"/>
        </w:rPr>
        <w:t>g/L  </w:t>
      </w:r>
      <w:r>
        <w:rPr>
          <w:rFonts w:ascii="SimSun" w:hAnsi="SimSun" w:eastAsia="SimSun" w:cs="SimSun"/>
          <w:sz w:val="20"/>
          <w:szCs w:val="20"/>
          <w:spacing w:val="12"/>
        </w:rPr>
        <w:t>即输血)</w:t>
      </w:r>
      <w:r>
        <w:rPr>
          <w:rFonts w:ascii="SimSun" w:hAnsi="SimSun" w:eastAsia="SimSun" w:cs="SimSun"/>
          <w:sz w:val="20"/>
          <w:szCs w:val="20"/>
          <w:spacing w:val="11"/>
        </w:rPr>
        <w:t>,限制性输血策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略与较高的生存率(自由输血策略和限制性输血策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1"/>
        </w:rPr>
        <w:t>略的生存率分别为91%、95%;限制性策略的死亡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风险比为0.55,</w:t>
      </w:r>
      <w:r>
        <w:rPr>
          <w:sz w:val="20"/>
          <w:szCs w:val="20"/>
          <w:spacing w:val="12"/>
        </w:rPr>
        <w:t>P=0.02)    </w:t>
      </w:r>
      <w:r>
        <w:rPr>
          <w:rFonts w:ascii="SimSun" w:hAnsi="SimSun" w:eastAsia="SimSun" w:cs="SimSun"/>
          <w:sz w:val="20"/>
          <w:szCs w:val="20"/>
          <w:spacing w:val="12"/>
        </w:rPr>
        <w:t>和较低的再出血率(自由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0"/>
        </w:rPr>
        <w:t>输血策略和限制性输血策略的再出血率分别为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16%、10%)相关[105-106]。2021年美国胃肠病学会指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南[103建议，患者血红蛋白&lt;70 </w:t>
      </w:r>
      <w:r>
        <w:rPr>
          <w:sz w:val="20"/>
          <w:szCs w:val="20"/>
          <w:spacing w:val="8"/>
        </w:rPr>
        <w:t>g/L  </w:t>
      </w:r>
      <w:r>
        <w:rPr>
          <w:rFonts w:ascii="SimSun" w:hAnsi="SimSun" w:eastAsia="SimSun" w:cs="SimSun"/>
          <w:sz w:val="20"/>
          <w:szCs w:val="20"/>
          <w:spacing w:val="8"/>
        </w:rPr>
        <w:t>时应输注红细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胞悬液。对于正在发生消化道出血的急性冠状动脉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0"/>
        </w:rPr>
        <w:t>综合征或慢性心血管疾病患者，采用血红蛋白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8"/>
        </w:rPr>
        <w:t>80</w:t>
      </w:r>
      <w:r>
        <w:rPr>
          <w:sz w:val="20"/>
          <w:szCs w:val="20"/>
          <w:spacing w:val="2"/>
        </w:rPr>
        <w:t xml:space="preserve">   </w:t>
      </w:r>
      <w:r>
        <w:rPr>
          <w:sz w:val="20"/>
          <w:szCs w:val="20"/>
          <w:spacing w:val="8"/>
        </w:rPr>
        <w:t>g/L</w:t>
      </w:r>
      <w:r>
        <w:rPr>
          <w:rFonts w:ascii="SimSun" w:hAnsi="SimSun" w:eastAsia="SimSun" w:cs="SimSun"/>
          <w:sz w:val="20"/>
          <w:szCs w:val="20"/>
          <w:spacing w:val="8"/>
        </w:rPr>
        <w:t>的阈值进行红细胞悬液输注，可能会使患者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发生急性冠状动脉综合征的风险明显增高[107-10,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但目前缺乏充分的、高质量的随机对照试验证据。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因此，美国胃肠病学会认为，对于既往有心血管疾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病的低血压患者，当其血红蛋白&lt;80 </w:t>
      </w:r>
      <w:r>
        <w:rPr>
          <w:sz w:val="20"/>
          <w:szCs w:val="20"/>
          <w:spacing w:val="8"/>
        </w:rPr>
        <w:t>g/L  </w:t>
      </w:r>
      <w:r>
        <w:rPr>
          <w:rFonts w:ascii="SimSun" w:hAnsi="SimSun" w:eastAsia="SimSun" w:cs="SimSun"/>
          <w:sz w:val="20"/>
          <w:szCs w:val="20"/>
          <w:spacing w:val="8"/>
        </w:rPr>
        <w:t>时进行输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血相对合理[103]。《非静脉曲张性上消化道出血的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内镜诊断和管理：欧洲胃肠道内镜学会</w:t>
      </w:r>
      <w:r>
        <w:rPr>
          <w:sz w:val="20"/>
          <w:szCs w:val="20"/>
          <w:spacing w:val="13"/>
        </w:rPr>
        <w:t>(</w:t>
      </w:r>
      <w:r>
        <w:rPr>
          <w:sz w:val="20"/>
          <w:szCs w:val="20"/>
        </w:rPr>
        <w:t>European</w:t>
      </w:r>
      <w:r>
        <w:rPr>
          <w:sz w:val="20"/>
          <w:szCs w:val="20"/>
          <w:spacing w:val="2"/>
        </w:rPr>
        <w:t xml:space="preserve">      </w:t>
      </w:r>
      <w:r>
        <w:rPr>
          <w:sz w:val="20"/>
          <w:szCs w:val="20"/>
        </w:rPr>
        <w:t>Society   of   Gastroin</w:t>
      </w:r>
      <w:r>
        <w:rPr>
          <w:sz w:val="20"/>
          <w:szCs w:val="20"/>
          <w:spacing w:val="-1"/>
        </w:rPr>
        <w:t>testinal</w:t>
      </w:r>
      <w:r>
        <w:rPr>
          <w:sz w:val="20"/>
          <w:szCs w:val="20"/>
          <w:spacing w:val="6"/>
        </w:rPr>
        <w:t xml:space="preserve">   </w:t>
      </w:r>
      <w:r>
        <w:rPr>
          <w:sz w:val="20"/>
          <w:szCs w:val="20"/>
          <w:spacing w:val="-1"/>
        </w:rPr>
        <w:t>Endoscopy,ESGE)</w:t>
      </w:r>
      <w:r>
        <w:rPr>
          <w:rFonts w:ascii="SimSun" w:hAnsi="SimSun" w:eastAsia="SimSun" w:cs="SimSun"/>
          <w:sz w:val="20"/>
          <w:szCs w:val="20"/>
          <w:spacing w:val="-1"/>
        </w:rPr>
        <w:t>指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南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2021年更新》[110(以下简称2021年</w:t>
      </w:r>
      <w:r>
        <w:rPr>
          <w:sz w:val="20"/>
          <w:szCs w:val="20"/>
        </w:rPr>
        <w:t>ESGE</w:t>
      </w:r>
      <w:r>
        <w:rPr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指南)也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强烈推荐，对于血流动力学稳定但有急慢性心脑血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管疾病史的</w:t>
      </w:r>
      <w:r>
        <w:rPr>
          <w:sz w:val="20"/>
          <w:szCs w:val="20"/>
        </w:rPr>
        <w:t>UGIB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患者，输血后的目标血红蛋白浓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度应&gt;100 </w:t>
      </w:r>
      <w:r>
        <w:rPr>
          <w:sz w:val="20"/>
          <w:szCs w:val="20"/>
          <w:spacing w:val="9"/>
        </w:rPr>
        <w:t>g/L</w:t>
      </w:r>
      <w:r>
        <w:rPr>
          <w:rFonts w:ascii="SimSun" w:hAnsi="SimSun" w:eastAsia="SimSun" w:cs="SimSun"/>
          <w:sz w:val="20"/>
          <w:szCs w:val="20"/>
          <w:spacing w:val="9"/>
        </w:rPr>
        <w:t>。《亚太工作组关于非静</w:t>
      </w:r>
      <w:r>
        <w:rPr>
          <w:rFonts w:ascii="SimSun" w:hAnsi="SimSun" w:eastAsia="SimSun" w:cs="SimSun"/>
          <w:sz w:val="20"/>
          <w:szCs w:val="20"/>
          <w:spacing w:val="8"/>
        </w:rPr>
        <w:t>脉曲张性上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消化道出血的共识：2018年更新》[II( 以 下 简 称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2018年亚太共识)建议，采取限制性输血策略虽未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明确规定阈值是设定为70 </w:t>
      </w:r>
      <w:r>
        <w:rPr>
          <w:sz w:val="20"/>
          <w:szCs w:val="20"/>
          <w:spacing w:val="6"/>
        </w:rPr>
        <w:t>g/L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还是80 </w:t>
      </w:r>
      <w:r>
        <w:rPr>
          <w:sz w:val="20"/>
          <w:szCs w:val="20"/>
          <w:spacing w:val="6"/>
        </w:rPr>
        <w:t>g/L,  </w:t>
      </w:r>
      <w:r>
        <w:rPr>
          <w:rFonts w:ascii="SimSun" w:hAnsi="SimSun" w:eastAsia="SimSun" w:cs="SimSun"/>
          <w:sz w:val="20"/>
          <w:szCs w:val="20"/>
          <w:spacing w:val="6"/>
        </w:rPr>
        <w:t>但建议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在进行输血时应进行灵活的临床判断，对于有活动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性心脑血管疾病的患者，要根据失血量和心血管状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况来决定输血量；对于有大量活动性出血且合并血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压下降的患者，可能需要采取更宽松的输血策略。</w:t>
      </w:r>
    </w:p>
    <w:p>
      <w:pPr>
        <w:pStyle w:val="BodyText"/>
        <w:ind w:right="220" w:firstLine="450"/>
        <w:spacing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陈述8.3:内镜检查前可以考虑使用</w:t>
      </w:r>
      <w:r>
        <w:rPr>
          <w:sz w:val="20"/>
          <w:szCs w:val="20"/>
        </w:rPr>
        <w:t>PPI</w:t>
      </w:r>
      <w:r>
        <w:rPr>
          <w:sz w:val="20"/>
          <w:szCs w:val="20"/>
          <w:spacing w:val="1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治疗，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以降低内镜下病变等级，减少内镜治疗需要。</w:t>
      </w:r>
    </w:p>
    <w:p>
      <w:pPr>
        <w:pStyle w:val="BodyText"/>
        <w:ind w:right="309" w:firstLine="450"/>
        <w:spacing w:before="232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  <w:spacing w:val="6"/>
        </w:rPr>
        <w:t>证据质量：</w:t>
      </w:r>
      <w:r>
        <w:rPr>
          <w:sz w:val="22"/>
          <w:szCs w:val="22"/>
          <w:spacing w:val="6"/>
        </w:rPr>
        <w:t>C;</w:t>
      </w:r>
      <w:r>
        <w:rPr>
          <w:sz w:val="22"/>
          <w:szCs w:val="22"/>
          <w:spacing w:val="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推荐强度：强推荐：共识水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平：95.65%</w:t>
      </w:r>
    </w:p>
    <w:p>
      <w:pPr>
        <w:pStyle w:val="BodyText"/>
        <w:ind w:left="450"/>
        <w:spacing w:before="1" w:line="199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内镜检查前静脉输注大剂量(总剂量&gt;80 </w:t>
      </w:r>
      <w:r>
        <w:rPr>
          <w:sz w:val="20"/>
          <w:szCs w:val="20"/>
        </w:rPr>
        <w:t>mg</w:t>
      </w:r>
      <w:r>
        <w:rPr>
          <w:sz w:val="20"/>
          <w:szCs w:val="20"/>
          <w:spacing w:val="5"/>
        </w:rPr>
        <w:t>/d)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84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</w:rPr>
        <w:t>PPI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可改善患者溃疡出血的临床症状，并减少内镜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治疗的需要，但对进一步降低再出血率和相关死亡 </w:t>
      </w:r>
      <w:r>
        <w:rPr>
          <w:rFonts w:ascii="SimSun" w:hAnsi="SimSun" w:eastAsia="SimSun" w:cs="SimSun"/>
          <w:sz w:val="20"/>
          <w:szCs w:val="20"/>
          <w:spacing w:val="3"/>
        </w:rPr>
        <w:t>率并无益处[112]。2015年《非静脉曲张性上消化道  </w:t>
      </w:r>
      <w:r>
        <w:rPr>
          <w:rFonts w:ascii="SimSun" w:hAnsi="SimSun" w:eastAsia="SimSun" w:cs="SimSun"/>
          <w:sz w:val="20"/>
          <w:szCs w:val="20"/>
          <w:spacing w:val="-3"/>
        </w:rPr>
        <w:t>出血的诊断和管理：欧洲胃肠道内镜协会指南》[</w:t>
      </w:r>
      <w:r>
        <w:rPr>
          <w:rFonts w:ascii="SimSun" w:hAnsi="SimSun" w:eastAsia="SimSun" w:cs="SimSun"/>
          <w:sz w:val="20"/>
          <w:szCs w:val="20"/>
          <w:spacing w:val="-4"/>
        </w:rPr>
        <w:t>113]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强烈建议，对出现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UGIB</w:t>
      </w:r>
      <w:r>
        <w:rPr>
          <w:rFonts w:ascii="SimSun" w:hAnsi="SimSun" w:eastAsia="SimSun" w:cs="SimSun"/>
          <w:sz w:val="20"/>
          <w:szCs w:val="20"/>
          <w:spacing w:val="13"/>
        </w:rPr>
        <w:t>后等待上消化道内镜检查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的患者，需立即启动大剂量</w:t>
      </w:r>
      <w:r>
        <w:rPr>
          <w:sz w:val="20"/>
          <w:szCs w:val="20"/>
        </w:rPr>
        <w:t>PPI</w:t>
      </w:r>
      <w:r>
        <w:rPr>
          <w:sz w:val="20"/>
          <w:szCs w:val="20"/>
          <w:spacing w:val="5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静脉注射治疗，但不  </w:t>
      </w:r>
      <w:r>
        <w:rPr>
          <w:rFonts w:ascii="SimSun" w:hAnsi="SimSun" w:eastAsia="SimSun" w:cs="SimSun"/>
          <w:sz w:val="20"/>
          <w:szCs w:val="20"/>
          <w:spacing w:val="16"/>
        </w:rPr>
        <w:t>应延误早期(出血后24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16"/>
        </w:rPr>
        <w:t>h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内)内镜检查。关于这方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面的系统综述、</w:t>
      </w:r>
      <w:r>
        <w:rPr>
          <w:sz w:val="20"/>
          <w:szCs w:val="20"/>
        </w:rPr>
        <w:t>meta</w:t>
      </w:r>
      <w:r>
        <w:rPr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分析、随机对照试验或观察性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研究有限。2018年亚太共识Ⅲ反对在内镜检查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前，对病情稳定、有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sz w:val="20"/>
          <w:szCs w:val="20"/>
        </w:rPr>
        <w:t>UGIB</w:t>
      </w:r>
      <w:r>
        <w:rPr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症状的患者不加区分地进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行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</w:rPr>
        <w:t>PPI</w:t>
      </w:r>
      <w:r>
        <w:rPr>
          <w:sz w:val="20"/>
          <w:szCs w:val="20"/>
          <w:spacing w:val="2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3"/>
        </w:rPr>
        <w:t>静脉注射治疗；但也认为当出血后24</w:t>
      </w:r>
      <w:r>
        <w:rPr>
          <w:rFonts w:ascii="SimSun" w:hAnsi="SimSun" w:eastAsia="SimSun" w:cs="SimSun"/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23"/>
        </w:rPr>
        <w:t>h</w:t>
      </w:r>
      <w:r>
        <w:rPr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9"/>
        </w:rPr>
        <w:t>内无法接受内镜检查或专科治疗时，可通过静脉注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射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</w:rPr>
        <w:t>PPI</w:t>
      </w:r>
      <w:r>
        <w:rPr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降低再出血可能，减少紧急内镜检查的需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2"/>
        </w:rPr>
        <w:t>求。我国《急性非静脉曲张性上消化道出血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诊治指南(2018年，杭州)》99也指出，内镜检查前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进行</w:t>
      </w:r>
      <w:r>
        <w:rPr>
          <w:sz w:val="20"/>
          <w:szCs w:val="20"/>
        </w:rPr>
        <w:t>PPI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治疗，可降低溃疡病变活动性出血的等级，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减少内镜治疗的需要；但国外指南指出，不应该推迟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0"/>
        </w:rPr>
        <w:t>内镜检查[110,114]。</w:t>
      </w:r>
    </w:p>
    <w:p>
      <w:pPr>
        <w:pStyle w:val="BodyText"/>
        <w:ind w:left="3" w:right="49" w:firstLine="440"/>
        <w:spacing w:before="106" w:line="262" w:lineRule="auto"/>
        <w:jc w:val="both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"/>
        </w:rPr>
        <w:t>陈述8.4:建议</w:t>
      </w:r>
      <w:r>
        <w:rPr>
          <w:sz w:val="22"/>
          <w:szCs w:val="22"/>
          <w:b/>
          <w:bCs/>
          <w:spacing w:val="-1"/>
        </w:rPr>
        <w:t>PU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"/>
        </w:rPr>
        <w:t>患者出血后24</w:t>
      </w:r>
      <w:r>
        <w:rPr>
          <w:rFonts w:ascii="SimHei" w:hAnsi="SimHei" w:eastAsia="SimHei" w:cs="SimHei"/>
          <w:sz w:val="22"/>
          <w:szCs w:val="22"/>
          <w:spacing w:val="-42"/>
        </w:rPr>
        <w:t xml:space="preserve"> </w:t>
      </w:r>
      <w:r>
        <w:rPr>
          <w:sz w:val="22"/>
          <w:szCs w:val="22"/>
          <w:b/>
          <w:bCs/>
          <w:spacing w:val="-1"/>
        </w:rPr>
        <w:t>h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"/>
        </w:rPr>
        <w:t>内在血流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3"/>
        </w:rPr>
        <w:t>动力学稳定的情况下进行内镜检查和治疗，不强调</w:t>
      </w:r>
      <w:r>
        <w:rPr>
          <w:rFonts w:ascii="SimHei" w:hAnsi="SimHei" w:eastAsia="SimHei" w:cs="SimHei"/>
          <w:sz w:val="22"/>
          <w:szCs w:val="22"/>
          <w:spacing w:val="1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"/>
        </w:rPr>
        <w:t>出血后6或12</w:t>
      </w:r>
      <w:r>
        <w:rPr>
          <w:rFonts w:ascii="SimHei" w:hAnsi="SimHei" w:eastAsia="SimHei" w:cs="SimHei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h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"/>
        </w:rPr>
        <w:t>内行内镜检查。</w:t>
      </w:r>
    </w:p>
    <w:p>
      <w:pPr>
        <w:pStyle w:val="BodyText"/>
        <w:ind w:right="69" w:firstLine="439"/>
        <w:spacing w:before="4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  <w:spacing w:val="7"/>
        </w:rPr>
        <w:t>证据质量：</w:t>
      </w:r>
      <w:r>
        <w:rPr>
          <w:sz w:val="22"/>
          <w:szCs w:val="22"/>
          <w:spacing w:val="7"/>
        </w:rPr>
        <w:t>A;</w:t>
      </w:r>
      <w:r>
        <w:rPr>
          <w:sz w:val="22"/>
          <w:szCs w:val="22"/>
          <w:spacing w:val="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推荐强度：强推荐；共识水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平：91.30%</w:t>
      </w:r>
    </w:p>
    <w:p>
      <w:pPr>
        <w:pStyle w:val="BodyText"/>
        <w:ind w:right="45" w:firstLine="339"/>
        <w:spacing w:before="1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“早期”和“延迟”内镜检查分别定义为患者发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病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2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4</w:t>
      </w:r>
      <w:r>
        <w:rPr>
          <w:sz w:val="20"/>
          <w:szCs w:val="20"/>
          <w:spacing w:val="-6"/>
        </w:rPr>
        <w:t>h</w:t>
      </w:r>
      <w:r>
        <w:rPr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内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和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2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4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6"/>
        </w:rPr>
        <w:t>h</w:t>
      </w:r>
      <w:r>
        <w:rPr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后进行的内镜检查[115-116]。紧急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上消化道内镜检查定义为在患者出现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</w:rPr>
        <w:t>UGIB</w:t>
      </w:r>
      <w:r>
        <w:rPr>
          <w:rFonts w:ascii="SimSun" w:hAnsi="SimSun" w:eastAsia="SimSun" w:cs="SimSun"/>
          <w:sz w:val="20"/>
          <w:szCs w:val="20"/>
          <w:spacing w:val="13"/>
        </w:rPr>
        <w:t>症状后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6</w:t>
      </w:r>
      <w:r>
        <w:rPr>
          <w:rFonts w:ascii="SimSun" w:hAnsi="SimSun" w:eastAsia="SimSun" w:cs="SimSun"/>
          <w:sz w:val="20"/>
          <w:szCs w:val="20"/>
          <w:spacing w:val="12"/>
        </w:rPr>
        <w:t>～</w:t>
      </w:r>
      <w:r>
        <w:rPr>
          <w:sz w:val="20"/>
          <w:szCs w:val="20"/>
          <w:spacing w:val="12"/>
        </w:rPr>
        <w:t>&lt;12      h </w:t>
      </w:r>
      <w:r>
        <w:rPr>
          <w:rFonts w:ascii="SimSun" w:hAnsi="SimSun" w:eastAsia="SimSun" w:cs="SimSun"/>
          <w:sz w:val="20"/>
          <w:szCs w:val="20"/>
          <w:spacing w:val="12"/>
        </w:rPr>
        <w:t>进行的内镜检查117]。事实上，</w:t>
      </w:r>
      <w:r>
        <w:rPr>
          <w:rFonts w:ascii="SimSun" w:hAnsi="SimSun" w:eastAsia="SimSun" w:cs="SimSun"/>
          <w:sz w:val="20"/>
          <w:szCs w:val="20"/>
          <w:spacing w:val="11"/>
        </w:rPr>
        <w:t>紧急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(12h</w:t>
      </w:r>
      <w:r>
        <w:rPr>
          <w:rFonts w:ascii="SimSun" w:hAnsi="SimSun" w:eastAsia="SimSun" w:cs="SimSun"/>
          <w:sz w:val="20"/>
          <w:szCs w:val="20"/>
          <w:spacing w:val="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内)内镜检查相比延迟(24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h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后)内镜检查并未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降低病死率或手术需求[118]。国内一项随机对照试验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研究证实，因</w:t>
      </w:r>
      <w:r>
        <w:rPr>
          <w:sz w:val="20"/>
          <w:szCs w:val="20"/>
        </w:rPr>
        <w:t>UGIB</w:t>
      </w:r>
      <w:r>
        <w:rPr>
          <w:rFonts w:ascii="SimSun" w:hAnsi="SimSun" w:eastAsia="SimSun" w:cs="SimSun"/>
          <w:sz w:val="20"/>
          <w:szCs w:val="20"/>
          <w:spacing w:val="6"/>
        </w:rPr>
        <w:t>住院并被评估为进一步出血和死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亡风险高但病情稳定的患者，在消化科会诊后6h 内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进行内镜检查并未降低病死率[119]。因此，不建议对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具有高风险临床特征的患者在发病后12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h 内进行内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镜检查[103,110]。当患者出现休克或</w:t>
      </w:r>
      <w:r>
        <w:rPr>
          <w:rFonts w:ascii="SimSun" w:hAnsi="SimSun" w:eastAsia="SimSun" w:cs="SimSun"/>
          <w:sz w:val="20"/>
          <w:szCs w:val="20"/>
          <w:spacing w:val="-4"/>
        </w:rPr>
        <w:t>血流动力学不稳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定时，可在初步复苏后、入院后12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内对其进行紧急 </w:t>
      </w:r>
      <w:r>
        <w:rPr>
          <w:rFonts w:ascii="SimSun" w:hAnsi="SimSun" w:eastAsia="SimSun" w:cs="SimSun"/>
          <w:sz w:val="20"/>
          <w:szCs w:val="20"/>
        </w:rPr>
        <w:t>内镜检查，这可能会使患者受益，但没有必要对所有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出现</w:t>
      </w:r>
      <w:r>
        <w:rPr>
          <w:sz w:val="20"/>
          <w:szCs w:val="20"/>
        </w:rPr>
        <w:t>UGIB</w:t>
      </w:r>
      <w:r>
        <w:rPr>
          <w:rFonts w:ascii="SimSun" w:hAnsi="SimSun" w:eastAsia="SimSun" w:cs="SimSun"/>
          <w:sz w:val="20"/>
          <w:szCs w:val="20"/>
          <w:spacing w:val="16"/>
        </w:rPr>
        <w:t>的患者进行紧急内镜检查[]。入院24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16"/>
        </w:rPr>
        <w:t>h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内接受内镜检查的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UGIB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患者的住院时间较不接受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内镜检查者更短[120]。因此，无论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3"/>
        </w:rPr>
        <w:t>UGIB </w:t>
      </w:r>
      <w:r>
        <w:rPr>
          <w:rFonts w:ascii="SimSun" w:hAnsi="SimSun" w:eastAsia="SimSun" w:cs="SimSun"/>
          <w:sz w:val="20"/>
          <w:szCs w:val="20"/>
          <w:spacing w:val="-3"/>
        </w:rPr>
        <w:t>患者进一步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出血和死亡的预测风险如何，都应当在发病后24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h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内接受上消化道内镜检查[103,10]。</w:t>
      </w:r>
    </w:p>
    <w:p>
      <w:pPr>
        <w:pStyle w:val="BodyText"/>
        <w:ind w:left="2" w:right="52" w:firstLine="439"/>
        <w:spacing w:before="128" w:line="29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4"/>
        </w:rPr>
        <w:t>陈述8.5:内镜止血后应给予患者</w:t>
      </w:r>
      <w:r>
        <w:rPr>
          <w:rFonts w:ascii="SimHei" w:hAnsi="SimHei" w:eastAsia="SimHei" w:cs="SimHei"/>
          <w:sz w:val="20"/>
          <w:szCs w:val="20"/>
          <w:spacing w:val="-37"/>
        </w:rPr>
        <w:t xml:space="preserve"> </w:t>
      </w:r>
      <w:r>
        <w:rPr>
          <w:sz w:val="20"/>
          <w:szCs w:val="20"/>
          <w:b/>
          <w:bCs/>
        </w:rPr>
        <w:t>PPI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4"/>
        </w:rPr>
        <w:t>治疗，预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</w:rPr>
        <w:t>防再出血。</w:t>
      </w:r>
    </w:p>
    <w:p>
      <w:pPr>
        <w:pStyle w:val="BodyText"/>
        <w:ind w:right="70" w:firstLine="439"/>
        <w:spacing w:before="2" w:line="24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证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据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质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量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；</w:t>
      </w:r>
      <w:r>
        <w:rPr>
          <w:sz w:val="20"/>
          <w:szCs w:val="20"/>
          <w:spacing w:val="9"/>
        </w:rPr>
        <w:t>A;   </w:t>
      </w:r>
      <w:r>
        <w:rPr>
          <w:rFonts w:ascii="SimSun" w:hAnsi="SimSun" w:eastAsia="SimSun" w:cs="SimSun"/>
          <w:sz w:val="20"/>
          <w:szCs w:val="20"/>
          <w:spacing w:val="9"/>
        </w:rPr>
        <w:t>推荐强度：强推荐；共识水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平：100.00%</w:t>
      </w:r>
    </w:p>
    <w:p>
      <w:pPr>
        <w:spacing w:line="247" w:lineRule="auto"/>
        <w:sectPr>
          <w:type w:val="continuous"/>
          <w:pgSz w:w="10720" w:h="15880"/>
          <w:pgMar w:top="400" w:right="509" w:bottom="0" w:left="490" w:header="0" w:footer="0" w:gutter="0"/>
          <w:cols w:equalWidth="0" w:num="2">
            <w:col w:w="4941" w:space="100"/>
            <w:col w:w="468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before="131" w:line="216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-15"/>
        </w:rPr>
        <w:t>中华消化杂志2023年3月第43卷第3期Chin J Dig,March</w:t>
      </w:r>
      <w:r>
        <w:rPr>
          <w:rFonts w:ascii="SimSun" w:hAnsi="SimSun" w:eastAsia="SimSun" w:cs="SimSun"/>
          <w:sz w:val="20"/>
          <w:szCs w:val="20"/>
          <w:u w:val="single" w:color="auto"/>
          <w:spacing w:val="-16"/>
        </w:rPr>
        <w:t xml:space="preserve"> 2023,Vol.43,No.3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                          </w:t>
      </w:r>
      <w:r>
        <w:rPr>
          <w:rFonts w:ascii="SimSun" w:hAnsi="SimSun" w:eastAsia="SimSun" w:cs="SimSu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6"/>
          <w:position w:val="-5"/>
        </w:rPr>
        <w:t>— </w:t>
      </w:r>
      <w:r>
        <w:rPr>
          <w:sz w:val="20"/>
          <w:szCs w:val="20"/>
          <w:spacing w:val="-16"/>
          <w:position w:val="-5"/>
        </w:rPr>
        <w:t>183</w:t>
      </w:r>
      <w:r>
        <w:rPr>
          <w:sz w:val="20"/>
          <w:szCs w:val="20"/>
          <w:u w:val="dotted" w:color="auto"/>
          <w:spacing w:val="-16"/>
          <w:position w:val="-5"/>
        </w:rPr>
        <w:t xml:space="preserve">     </w:t>
      </w:r>
    </w:p>
    <w:p>
      <w:pPr>
        <w:spacing w:before="15"/>
        <w:rPr/>
      </w:pPr>
      <w:r/>
    </w:p>
    <w:p>
      <w:pPr>
        <w:sectPr>
          <w:pgSz w:w="10720" w:h="15880"/>
          <w:pgMar w:top="400" w:right="480" w:bottom="0" w:left="499" w:header="0" w:footer="0" w:gutter="0"/>
          <w:cols w:equalWidth="0" w:num="1">
            <w:col w:w="9740" w:space="0"/>
          </w:cols>
        </w:sectPr>
        <w:rPr/>
      </w:pPr>
    </w:p>
    <w:p>
      <w:pPr>
        <w:pStyle w:val="BodyText"/>
        <w:ind w:right="300" w:firstLine="440"/>
        <w:spacing w:before="45" w:line="26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3"/>
        </w:rPr>
        <w:t>内镜检查后静脉注射大剂量</w:t>
      </w:r>
      <w:r>
        <w:rPr>
          <w:sz w:val="23"/>
          <w:szCs w:val="23"/>
          <w:spacing w:val="-3"/>
        </w:rPr>
        <w:t>PPI</w:t>
      </w:r>
      <w:r>
        <w:rPr>
          <w:rFonts w:ascii="SimSun" w:hAnsi="SimSun" w:eastAsia="SimSun" w:cs="SimSun"/>
          <w:sz w:val="23"/>
          <w:szCs w:val="23"/>
          <w:spacing w:val="-3"/>
        </w:rPr>
        <w:t>已成为处理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UGIB</w:t>
      </w:r>
      <w:r>
        <w:rPr>
          <w:rFonts w:ascii="SimSun" w:hAnsi="SimSun" w:eastAsia="SimSun" w:cs="SimSun"/>
          <w:sz w:val="23"/>
          <w:szCs w:val="23"/>
          <w:spacing w:val="-5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患者的标准疗法。内镜止血后间歇性PPI治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0"/>
        </w:rPr>
        <w:t>疗的疗效与静脉注射+持续输注</w:t>
      </w:r>
      <w:r>
        <w:rPr>
          <w:sz w:val="23"/>
          <w:szCs w:val="23"/>
          <w:spacing w:val="-10"/>
        </w:rPr>
        <w:t>PPI</w:t>
      </w:r>
      <w:r>
        <w:rPr>
          <w:sz w:val="23"/>
          <w:szCs w:val="23"/>
          <w:spacing w:val="-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0"/>
        </w:rPr>
        <w:t>相当[1²]。大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剂量静脉注射</w:t>
      </w:r>
      <w:r>
        <w:rPr>
          <w:sz w:val="20"/>
          <w:szCs w:val="20"/>
        </w:rPr>
        <w:t>PPI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在预防内镜止血后复发出血的疗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效与口服</w:t>
      </w:r>
      <w:r>
        <w:rPr>
          <w:sz w:val="23"/>
          <w:szCs w:val="23"/>
          <w:spacing w:val="-14"/>
        </w:rPr>
        <w:t>PPI</w:t>
      </w:r>
      <w:r>
        <w:rPr>
          <w:sz w:val="23"/>
          <w:szCs w:val="23"/>
          <w:spacing w:val="-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相当¹22,在输血要求、重复内镜治疗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和住院时间方面的差异均无统计学意义，对于不适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0"/>
        </w:rPr>
        <w:t>合大剂量静脉输注PPI的患者，大剂量口服PPI可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作为有效替代方案[123]。</w:t>
      </w:r>
    </w:p>
    <w:p>
      <w:pPr>
        <w:pStyle w:val="BodyText"/>
        <w:ind w:right="300" w:firstLine="440"/>
        <w:spacing w:before="2" w:line="284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1619228</wp:posOffset>
            </wp:positionH>
            <wp:positionV relativeFrom="paragraph">
              <wp:posOffset>790532</wp:posOffset>
            </wp:positionV>
            <wp:extent cx="2857526" cy="277496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26" cy="277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8"/>
        </w:rPr>
        <w:t>2021年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</w:rPr>
        <w:t>ESGE</w:t>
      </w:r>
      <w:r>
        <w:rPr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指南[110强烈建议，对接受内镜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止血和未行内镜下治疗的</w:t>
      </w:r>
      <w:r>
        <w:rPr>
          <w:rFonts w:ascii="SimSun" w:hAnsi="SimSun" w:eastAsia="SimSun" w:cs="SimSun"/>
          <w:sz w:val="20"/>
          <w:szCs w:val="20"/>
        </w:rPr>
        <w:t>Forrest</w:t>
      </w:r>
      <w:r>
        <w:rPr>
          <w:rFonts w:ascii="SimSun" w:hAnsi="SimSun" w:eastAsia="SimSun" w:cs="SimSun"/>
          <w:sz w:val="20"/>
          <w:szCs w:val="20"/>
          <w:spacing w:val="16"/>
        </w:rPr>
        <w:t>分级Ⅱb 型溃疡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(有血凝块附着)患者内镜检查后进行大剂量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PPI </w:t>
      </w:r>
      <w:r>
        <w:rPr>
          <w:rFonts w:ascii="SimSun" w:hAnsi="SimSun" w:eastAsia="SimSun" w:cs="SimSun"/>
          <w:sz w:val="20"/>
          <w:szCs w:val="20"/>
          <w:spacing w:val="2"/>
        </w:rPr>
        <w:t>静脉输注治疗，首剂输注80 </w:t>
      </w:r>
      <w:r>
        <w:rPr>
          <w:rFonts w:ascii="SimSun" w:hAnsi="SimSun" w:eastAsia="SimSun" w:cs="SimSun"/>
          <w:sz w:val="20"/>
          <w:szCs w:val="20"/>
        </w:rPr>
        <w:t>mg</w:t>
      </w:r>
      <w:r>
        <w:rPr>
          <w:rFonts w:ascii="SimSun" w:hAnsi="SimSun" w:eastAsia="SimSun" w:cs="SimSun"/>
          <w:sz w:val="20"/>
          <w:szCs w:val="20"/>
          <w:spacing w:val="2"/>
        </w:rPr>
        <w:t>,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后以8 </w:t>
      </w:r>
      <w:r>
        <w:rPr>
          <w:rFonts w:ascii="SimSun" w:hAnsi="SimSun" w:eastAsia="SimSun" w:cs="SimSun"/>
          <w:sz w:val="20"/>
          <w:szCs w:val="20"/>
        </w:rPr>
        <w:t>mg</w:t>
      </w:r>
      <w:r>
        <w:rPr>
          <w:rFonts w:ascii="SimSun" w:hAnsi="SimSun" w:eastAsia="SimSun" w:cs="SimSun"/>
          <w:sz w:val="20"/>
          <w:szCs w:val="20"/>
          <w:spacing w:val="2"/>
        </w:rPr>
        <w:t>/h 的滴速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维持72</w:t>
      </w:r>
      <w:r>
        <w:rPr>
          <w:sz w:val="20"/>
          <w:szCs w:val="20"/>
          <w:spacing w:val="10"/>
        </w:rPr>
        <w:t>h; </w:t>
      </w:r>
      <w:r>
        <w:rPr>
          <w:rFonts w:ascii="SimSun" w:hAnsi="SimSun" w:eastAsia="SimSun" w:cs="SimSun"/>
          <w:sz w:val="20"/>
          <w:szCs w:val="20"/>
          <w:spacing w:val="10"/>
        </w:rPr>
        <w:t>建议将静脉输注或口服较大剂量(2次/</w:t>
      </w:r>
      <w:r>
        <w:rPr>
          <w:sz w:val="20"/>
          <w:szCs w:val="20"/>
          <w:spacing w:val="10"/>
        </w:rPr>
        <w:t>d,</w:t>
      </w:r>
      <w:r>
        <w:rPr>
          <w:sz w:val="20"/>
          <w:szCs w:val="20"/>
          <w:spacing w:val="5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5"/>
        </w:rPr>
        <w:t>总剂量≥80 </w:t>
      </w:r>
      <w:r>
        <w:rPr>
          <w:sz w:val="20"/>
          <w:szCs w:val="20"/>
        </w:rPr>
        <w:t>mg</w:t>
      </w:r>
      <w:r>
        <w:rPr>
          <w:sz w:val="20"/>
          <w:szCs w:val="20"/>
          <w:spacing w:val="5"/>
        </w:rPr>
        <w:t>/d)</w:t>
      </w:r>
      <w:r>
        <w:rPr>
          <w:sz w:val="20"/>
          <w:szCs w:val="20"/>
        </w:rPr>
        <w:t>PPI</w:t>
      </w:r>
      <w:r>
        <w:rPr>
          <w:sz w:val="20"/>
          <w:szCs w:val="20"/>
          <w:spacing w:val="5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的治疗方案作为备选。有学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者发现，在接受内镜治疗后的第4～14天，相比静脉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输注或口服较小剂量(1次/d,总剂量&lt;80</w:t>
      </w:r>
      <w:r>
        <w:rPr>
          <w:rFonts w:ascii="SimSun" w:hAnsi="SimSun" w:eastAsia="SimSun" w:cs="SimSun"/>
          <w:sz w:val="20"/>
          <w:szCs w:val="20"/>
          <w:spacing w:val="6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mg</w:t>
      </w:r>
      <w:r>
        <w:rPr>
          <w:rFonts w:ascii="SimSun" w:hAnsi="SimSun" w:eastAsia="SimSun" w:cs="SimSun"/>
          <w:sz w:val="20"/>
          <w:szCs w:val="20"/>
          <w:spacing w:val="19"/>
        </w:rPr>
        <w:t>/d)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9"/>
        </w:rPr>
        <w:t>的</w:t>
      </w:r>
      <w:r>
        <w:rPr>
          <w:rFonts w:ascii="SimSun" w:hAnsi="SimSun" w:eastAsia="SimSun" w:cs="SimSu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PPI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治疗方案，使用静脉输注或口服较大剂量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PPI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治疗方案的高危患者的再出血发生率明显降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低[124]。我国《急性非静脉曲张性上消化道出血诊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治指南(2018年，杭州)》[99]、2</w:t>
      </w:r>
      <w:r>
        <w:rPr>
          <w:rFonts w:ascii="SimSun" w:hAnsi="SimSun" w:eastAsia="SimSun" w:cs="SimSun"/>
          <w:sz w:val="20"/>
          <w:szCs w:val="20"/>
          <w:spacing w:val="-4"/>
        </w:rPr>
        <w:t>018年亚太共识</w:t>
      </w:r>
      <w:r>
        <w:rPr>
          <w:sz w:val="20"/>
          <w:szCs w:val="20"/>
          <w:spacing w:val="-4"/>
        </w:rPr>
        <w:t>[II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</w:p>
    <w:p>
      <w:pPr>
        <w:pStyle w:val="BodyText"/>
        <w:ind w:right="229"/>
        <w:spacing w:before="2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2021年</w:t>
      </w:r>
      <w:r>
        <w:rPr>
          <w:sz w:val="20"/>
          <w:szCs w:val="20"/>
        </w:rPr>
        <w:t>ESGE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指南[110和2021年美国胃肠病学会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指南[103]均强烈建议，溃疡出血患者在接受内镜止  </w:t>
      </w:r>
      <w:r>
        <w:rPr>
          <w:rFonts w:ascii="SimSun" w:hAnsi="SimSun" w:eastAsia="SimSun" w:cs="SimSun"/>
          <w:sz w:val="20"/>
          <w:szCs w:val="20"/>
          <w:spacing w:val="13"/>
        </w:rPr>
        <w:t>血治疗成功后，需连续或间歇性地进行大剂量</w:t>
      </w:r>
      <w:r>
        <w:rPr>
          <w:sz w:val="20"/>
          <w:szCs w:val="20"/>
        </w:rPr>
        <w:t>PPI</w:t>
      </w:r>
      <w:r>
        <w:rPr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9"/>
        </w:rPr>
        <w:t>静脉输注治疗；高危患者在医院接受内镜止血治疗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后，应继续接受静脉输注或口服较大剂量</w:t>
      </w:r>
      <w:r>
        <w:rPr>
          <w:sz w:val="20"/>
          <w:szCs w:val="20"/>
        </w:rPr>
        <w:t>PPI</w:t>
      </w:r>
      <w:r>
        <w:rPr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治疗，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直至内镜检查后2周[60,98]</w:t>
      </w:r>
    </w:p>
    <w:p>
      <w:pPr>
        <w:pStyle w:val="BodyText"/>
        <w:ind w:left="2" w:right="323" w:firstLine="440"/>
        <w:spacing w:before="164" w:line="286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4"/>
        </w:rPr>
        <w:t>陈述8.6:对于正在服用低剂量阿司匹林</w:t>
      </w:r>
      <w:r>
        <w:rPr>
          <w:sz w:val="20"/>
          <w:szCs w:val="20"/>
          <w:b/>
          <w:bCs/>
          <w:spacing w:val="14"/>
        </w:rPr>
        <w:t>(</w:t>
      </w:r>
      <w:r>
        <w:rPr>
          <w:sz w:val="20"/>
          <w:szCs w:val="20"/>
          <w:b/>
          <w:bCs/>
        </w:rPr>
        <w:t>low</w:t>
      </w:r>
      <w:r>
        <w:rPr>
          <w:sz w:val="20"/>
          <w:szCs w:val="20"/>
          <w:b/>
          <w:bCs/>
          <w:spacing w:val="2"/>
        </w:rPr>
        <w:t xml:space="preserve">   </w:t>
      </w:r>
      <w:r>
        <w:rPr>
          <w:rFonts w:ascii="SimSun" w:hAnsi="SimSun" w:eastAsia="SimSun" w:cs="SimSun"/>
          <w:sz w:val="20"/>
          <w:szCs w:val="20"/>
          <w:b/>
          <w:bCs/>
        </w:rPr>
        <w:t>dose</w:t>
      </w:r>
      <w:r>
        <w:rPr>
          <w:rFonts w:ascii="SimSun" w:hAnsi="SimSun" w:eastAsia="SimSun" w:cs="SimSun"/>
          <w:sz w:val="20"/>
          <w:szCs w:val="20"/>
          <w:spacing w:val="9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aspirin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,</w:t>
      </w:r>
      <w:r>
        <w:rPr>
          <w:rFonts w:ascii="SimSun" w:hAnsi="SimSun" w:eastAsia="SimSun" w:cs="SimSun"/>
          <w:sz w:val="20"/>
          <w:szCs w:val="20"/>
          <w:b/>
          <w:bCs/>
        </w:rPr>
        <w:t>LDA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)</w:t>
      </w: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作为一级心血管事件预防措施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3"/>
        </w:rPr>
        <w:t>的</w:t>
      </w:r>
      <w:r>
        <w:rPr>
          <w:rFonts w:ascii="SimHei" w:hAnsi="SimHei" w:eastAsia="SimHei" w:cs="SimHei"/>
          <w:sz w:val="20"/>
          <w:szCs w:val="20"/>
          <w:spacing w:val="-23"/>
        </w:rPr>
        <w:t xml:space="preserve"> </w:t>
      </w:r>
      <w:r>
        <w:rPr>
          <w:sz w:val="20"/>
          <w:szCs w:val="20"/>
          <w:b/>
          <w:bCs/>
          <w:spacing w:val="-3"/>
        </w:rPr>
        <w:t>PU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3"/>
        </w:rPr>
        <w:t>出血患者，应暂时中断阿司匹林治疗，待出血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停止后，应仔细重新评估阿司匹林的获益与风险。</w:t>
      </w:r>
    </w:p>
    <w:p>
      <w:pPr>
        <w:pStyle w:val="BodyText"/>
        <w:ind w:right="299" w:firstLine="440"/>
        <w:spacing w:before="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2"/>
        </w:rPr>
        <w:t>证据质量：</w:t>
      </w:r>
      <w:r>
        <w:rPr>
          <w:sz w:val="23"/>
          <w:szCs w:val="23"/>
          <w:spacing w:val="-2"/>
        </w:rPr>
        <w:t>A;</w:t>
      </w:r>
      <w:r>
        <w:rPr>
          <w:sz w:val="23"/>
          <w:szCs w:val="23"/>
          <w:spacing w:val="3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推荐强度：强推荐；共识水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平：95.65%</w:t>
      </w:r>
    </w:p>
    <w:p>
      <w:pPr>
        <w:pStyle w:val="BodyText"/>
        <w:ind w:left="2" w:right="324" w:firstLine="440"/>
        <w:spacing w:before="2" w:line="281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8"/>
        </w:rPr>
        <w:t>陈述8.7:对于心血管事件高危的</w:t>
      </w:r>
      <w:r>
        <w:rPr>
          <w:sz w:val="20"/>
          <w:szCs w:val="20"/>
          <w:b/>
          <w:bCs/>
        </w:rPr>
        <w:t>PU</w:t>
      </w:r>
      <w:r>
        <w:rPr>
          <w:sz w:val="20"/>
          <w:szCs w:val="20"/>
          <w:b/>
          <w:bCs/>
          <w:spacing w:val="6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18"/>
        </w:rPr>
        <w:t>出血患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3"/>
        </w:rPr>
        <w:t>者，如果内镜检查显示溃疡基底洁净，可以在当天重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新开始使用抗血小板药物；接受内镜治疗的出血患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"/>
        </w:rPr>
        <w:t>者，在治疗后72</w:t>
      </w:r>
      <w:r>
        <w:rPr>
          <w:rFonts w:ascii="SimHei" w:hAnsi="SimHei" w:eastAsia="SimHei" w:cs="SimHei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h</w:t>
      </w:r>
      <w:r>
        <w:rPr>
          <w:rFonts w:ascii="SimSun" w:hAnsi="SimSun" w:eastAsia="SimSun" w:cs="SimSun"/>
          <w:sz w:val="20"/>
          <w:szCs w:val="20"/>
          <w:spacing w:val="-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"/>
        </w:rPr>
        <w:t>内恢复使用抗血小板药物。</w:t>
      </w:r>
    </w:p>
    <w:p>
      <w:pPr>
        <w:pStyle w:val="BodyText"/>
        <w:ind w:right="328" w:firstLine="440"/>
        <w:spacing w:before="1" w:line="2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3"/>
          <w:szCs w:val="23"/>
          <w:spacing w:val="-4"/>
        </w:rPr>
        <w:t>证据质量：</w:t>
      </w:r>
      <w:r>
        <w:rPr>
          <w:sz w:val="23"/>
          <w:szCs w:val="23"/>
          <w:spacing w:val="-4"/>
        </w:rPr>
        <w:t>A;</w:t>
      </w:r>
      <w:r>
        <w:rPr>
          <w:sz w:val="23"/>
          <w:szCs w:val="23"/>
          <w:spacing w:val="3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推荐强度：强推荐；共识水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平：91.30%</w:t>
      </w:r>
    </w:p>
    <w:p>
      <w:pPr>
        <w:ind w:right="299" w:firstLine="440"/>
        <w:spacing w:before="5" w:line="27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对服用抗血小板药物的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UGIB</w:t>
      </w:r>
      <w:r>
        <w:rPr>
          <w:rFonts w:ascii="SimSun" w:hAnsi="SimSun" w:eastAsia="SimSun" w:cs="SimSun"/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患者进行临床管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理存在着巨大挑战，需要维持抗血栓事件与出血事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件的平衡。首先需要了解抗血小板治疗的指征是用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于患者的一级心血管事件预防还是二级预防。</w:t>
      </w:r>
      <w:r>
        <w:rPr>
          <w:rFonts w:ascii="SimSun" w:hAnsi="SimSun" w:eastAsia="SimSun" w:cs="SimSun"/>
          <w:sz w:val="20"/>
          <w:szCs w:val="20"/>
          <w:spacing w:val="6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预防指未曾患有心血管疾病但有潜在风险者使用抗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血小板药物；二级预防指使用抗血小板药物预防曾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经有心肌梗死或某些类型的脑血管事件的患者发生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"/>
        <w:spacing w:before="76" w:line="286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二次事件。尽管目前针对一级预防是否使用阿司匹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林仍存争议，但《2019阿司匹林在心血管疾病一级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预防中的应用中国专家共识》[125认为，目前尚不能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0"/>
        </w:rPr>
        <w:t>认定阿司匹林没有一级预防价值，建议对于40~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70岁、初始风险评估时动脉粥样硬化性心血管疾病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的10年预期风险≥10%、经积极治疗干预后仍然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8"/>
        </w:rPr>
        <w:t>有3个以上主要危险因素控制不佳或难于改变(如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早发心血管病家族史)的患者，可以考虑服用阿司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匹林以降低缺血性心血管病的发生风险。相关研究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结果显示，在因接受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</w:rPr>
        <w:t>LDA</w:t>
      </w:r>
      <w:r>
        <w:rPr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治疗出现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sz w:val="20"/>
          <w:szCs w:val="20"/>
        </w:rPr>
        <w:t>PU</w:t>
      </w:r>
      <w:r>
        <w:rPr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并发出血的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患者中，停止使用阿司匹林者发生急性心血管事件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的死亡概率是第1个半年随访周期中仍在继续使用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阿司匹林者死亡概率的7倍[126];因</w:t>
      </w:r>
      <w:r>
        <w:rPr>
          <w:rFonts w:ascii="SimSun" w:hAnsi="SimSun" w:eastAsia="SimSun" w:cs="SimSun"/>
          <w:sz w:val="20"/>
          <w:szCs w:val="20"/>
        </w:rPr>
        <w:t>PU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出</w:t>
      </w:r>
      <w:r>
        <w:rPr>
          <w:rFonts w:ascii="SimSun" w:hAnsi="SimSun" w:eastAsia="SimSun" w:cs="SimSun"/>
          <w:sz w:val="20"/>
          <w:szCs w:val="20"/>
          <w:spacing w:val="7"/>
        </w:rPr>
        <w:t>血停用抗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9"/>
        </w:rPr>
        <w:t>血栓药物的患者血栓事件发生率高于继续服药患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者[127】,且停药患者的整体不良事件发生率</w:t>
      </w:r>
      <w:r>
        <w:rPr>
          <w:rFonts w:ascii="SimSun" w:hAnsi="SimSun" w:eastAsia="SimSun" w:cs="SimSun"/>
          <w:sz w:val="20"/>
          <w:szCs w:val="20"/>
          <w:spacing w:val="3"/>
        </w:rPr>
        <w:t>和死亡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率均增高[128],而继续服药的患者出院后再</w:t>
      </w:r>
      <w:r>
        <w:rPr>
          <w:rFonts w:ascii="SimSun" w:hAnsi="SimSun" w:eastAsia="SimSun" w:cs="SimSun"/>
          <w:sz w:val="20"/>
          <w:szCs w:val="20"/>
          <w:spacing w:val="7"/>
        </w:rPr>
        <w:t>出血发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生率并未明显增高。因此，建议对于正在服用</w:t>
      </w:r>
      <w:r>
        <w:rPr>
          <w:sz w:val="20"/>
          <w:szCs w:val="20"/>
        </w:rPr>
        <w:t>LDA</w:t>
      </w:r>
      <w:r>
        <w:rPr>
          <w:sz w:val="20"/>
          <w:szCs w:val="20"/>
          <w:spacing w:val="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4"/>
        </w:rPr>
        <w:t>作为  级心血管事件预防措施的急性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UGIB</w:t>
      </w:r>
      <w:r>
        <w:rPr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患者，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可暂时中断阿司匹林治疗，待仔细重新评估其临床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适应证后，建议重新开始使用阿司匹林110]。在急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UGIB</w:t>
      </w:r>
      <w:r>
        <w:rPr>
          <w:rFonts w:ascii="SimSun" w:hAnsi="SimSun" w:eastAsia="SimSun" w:cs="SimSun"/>
          <w:sz w:val="20"/>
          <w:szCs w:val="20"/>
          <w:spacing w:val="13"/>
        </w:rPr>
        <w:t>的情况下，恢复使用阿司匹林和(或)其他</w:t>
      </w:r>
    </w:p>
    <w:p>
      <w:pPr>
        <w:pStyle w:val="BodyText"/>
        <w:spacing w:line="28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抗血小板药物的最佳时机尚无充分研究证据。阿司  </w:t>
      </w:r>
      <w:r>
        <w:rPr>
          <w:rFonts w:ascii="SimSun" w:hAnsi="SimSun" w:eastAsia="SimSun" w:cs="SimSun"/>
          <w:sz w:val="20"/>
          <w:szCs w:val="20"/>
          <w:spacing w:val="11"/>
        </w:rPr>
        <w:t>匹林中断治疗5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d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后，50%的循环血小板得以更新，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能够产生在血栓事件中起关键作用的血栓素[129]。 </w:t>
      </w:r>
      <w:r>
        <w:rPr>
          <w:rFonts w:ascii="SimSun" w:hAnsi="SimSun" w:eastAsia="SimSun" w:cs="SimSun"/>
          <w:sz w:val="20"/>
          <w:szCs w:val="20"/>
          <w:spacing w:val="9"/>
        </w:rPr>
        <w:t>既往分析显示，停用抗血栓药物后发生急性冠状动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脉综合征的时间一般在1周内，发生急性脑部事件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一般在2周内[130]。在长期随访中，恢复抗血小板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或抗凝剂治疗与较高的再出血风险有关，但患者发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生缺血事件或死亡的风险较低[¹3¹];相比晚期恢复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抗血小板治疗，出血事件后早期(≤7 d)恢复治疗的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患者在出血相关死亡率方面差异无统计学意义，但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缺血事件发生率较低。建议：内镜检查显示溃疡基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底洁净的心血管事件高危的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PU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出血患者，可在当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天重新开始使用抗血小板药物；接受内镜治疗的出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4"/>
        </w:rPr>
        <w:t>血患者，可在治疗后72 </w:t>
      </w:r>
      <w:r>
        <w:rPr>
          <w:sz w:val="20"/>
          <w:szCs w:val="20"/>
          <w:spacing w:val="14"/>
        </w:rPr>
        <w:t>h </w:t>
      </w:r>
      <w:r>
        <w:rPr>
          <w:rFonts w:ascii="SimSun" w:hAnsi="SimSun" w:eastAsia="SimSun" w:cs="SimSun"/>
          <w:sz w:val="20"/>
          <w:szCs w:val="20"/>
          <w:spacing w:val="14"/>
        </w:rPr>
        <w:t>内恢复使用抗血小板药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物</w:t>
      </w:r>
      <w:r>
        <w:rPr>
          <w:sz w:val="20"/>
          <w:szCs w:val="20"/>
          <w:spacing w:val="1"/>
        </w:rPr>
        <w:t>[I]</w:t>
      </w:r>
      <w:r>
        <w:rPr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。</w:t>
      </w:r>
      <w:r>
        <w:rPr>
          <w:sz w:val="20"/>
          <w:szCs w:val="20"/>
          <w:spacing w:val="1"/>
        </w:rPr>
        <w:t>2021    </w:t>
      </w:r>
      <w:r>
        <w:rPr>
          <w:rFonts w:ascii="SimSun" w:hAnsi="SimSun" w:eastAsia="SimSun" w:cs="SimSun"/>
          <w:sz w:val="20"/>
          <w:szCs w:val="20"/>
          <w:spacing w:val="1"/>
        </w:rPr>
        <w:t>年</w:t>
      </w:r>
      <w:r>
        <w:rPr>
          <w:sz w:val="20"/>
          <w:szCs w:val="20"/>
        </w:rPr>
        <w:t>ESGE</w:t>
      </w:r>
      <w:r>
        <w:rPr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指南110]也</w:t>
      </w:r>
      <w:r>
        <w:rPr>
          <w:rFonts w:ascii="SimSun" w:hAnsi="SimSun" w:eastAsia="SimSun" w:cs="SimSun"/>
          <w:sz w:val="20"/>
          <w:szCs w:val="20"/>
        </w:rPr>
        <w:t>建议，对于正在使  </w:t>
      </w:r>
      <w:r>
        <w:rPr>
          <w:rFonts w:ascii="SimSun" w:hAnsi="SimSun" w:eastAsia="SimSun" w:cs="SimSun"/>
          <w:sz w:val="20"/>
          <w:szCs w:val="20"/>
          <w:spacing w:val="17"/>
        </w:rPr>
        <w:t>用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LDA</w:t>
      </w:r>
      <w:r>
        <w:rPr>
          <w:rFonts w:ascii="SimSun" w:hAnsi="SimSun" w:eastAsia="SimSun" w:cs="SimSun"/>
          <w:sz w:val="20"/>
          <w:szCs w:val="20"/>
          <w:spacing w:val="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作为心血管事件二级预防的急性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UGIB</w:t>
      </w:r>
      <w:r>
        <w:rPr>
          <w:rFonts w:ascii="SimSun" w:hAnsi="SimSun" w:eastAsia="SimSun" w:cs="SimSun"/>
          <w:sz w:val="20"/>
          <w:szCs w:val="20"/>
          <w:spacing w:val="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患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者，不应中断阿司匹林治疗；无论是何原因中断，均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应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在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3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~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5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3"/>
        </w:rPr>
        <w:t>d</w:t>
      </w:r>
      <w:r>
        <w:rPr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内尽快重新开始使用阿司匹林。</w:t>
      </w:r>
    </w:p>
    <w:p>
      <w:pPr>
        <w:pStyle w:val="BodyText"/>
        <w:ind w:right="88" w:firstLine="439"/>
        <w:spacing w:before="7" w:line="283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22"/>
        </w:rPr>
        <w:t>陈述8</w:t>
      </w:r>
      <w:r>
        <w:rPr>
          <w:rFonts w:ascii="SimHei" w:hAnsi="SimHei" w:eastAsia="SimHei" w:cs="SimHei"/>
          <w:sz w:val="20"/>
          <w:szCs w:val="20"/>
          <w:spacing w:val="-5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2"/>
        </w:rPr>
        <w:t>.8:对于接受双重抗血小板治疗</w:t>
      </w:r>
      <w:r>
        <w:rPr>
          <w:sz w:val="20"/>
          <w:szCs w:val="20"/>
          <w:spacing w:val="22"/>
        </w:rPr>
        <w:t>(</w:t>
      </w:r>
      <w:r>
        <w:rPr>
          <w:sz w:val="20"/>
          <w:szCs w:val="20"/>
        </w:rPr>
        <w:t>dual   </w:t>
      </w:r>
      <w:r>
        <w:rPr>
          <w:sz w:val="20"/>
          <w:szCs w:val="20"/>
          <w:spacing w:val="-4"/>
        </w:rPr>
        <w:t>anti-platelet            therapy,DAPT)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  <w:r>
        <w:rPr>
          <w:rFonts w:ascii="SimHei" w:hAnsi="SimHei" w:eastAsia="SimHei" w:cs="SimHei"/>
          <w:sz w:val="20"/>
          <w:szCs w:val="20"/>
          <w:spacing w:val="-4"/>
        </w:rPr>
        <w:t>维</w:t>
      </w:r>
      <w:r>
        <w:rPr>
          <w:rFonts w:ascii="SimHei" w:hAnsi="SimHei" w:eastAsia="SimHei" w:cs="SimHei"/>
          <w:sz w:val="20"/>
          <w:szCs w:val="20"/>
          <w:spacing w:val="-2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生</w:t>
      </w:r>
      <w:r>
        <w:rPr>
          <w:rFonts w:ascii="SimHei" w:hAnsi="SimHei" w:eastAsia="SimHei" w:cs="SimHei"/>
          <w:sz w:val="20"/>
          <w:szCs w:val="20"/>
          <w:spacing w:val="-2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素</w:t>
      </w:r>
      <w:r>
        <w:rPr>
          <w:rFonts w:ascii="SimHei" w:hAnsi="SimHei" w:eastAsia="SimHei" w:cs="SimHei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4"/>
        </w:rPr>
        <w:t>K  </w:t>
      </w:r>
      <w:r>
        <w:rPr>
          <w:rFonts w:ascii="SimHei" w:hAnsi="SimHei" w:eastAsia="SimHei" w:cs="SimHei"/>
          <w:sz w:val="20"/>
          <w:szCs w:val="20"/>
          <w:spacing w:val="-4"/>
        </w:rPr>
        <w:t>拮</w:t>
      </w:r>
      <w:r>
        <w:rPr>
          <w:rFonts w:ascii="SimHei" w:hAnsi="SimHei" w:eastAsia="SimHei" w:cs="SimHei"/>
          <w:sz w:val="20"/>
          <w:szCs w:val="20"/>
          <w:spacing w:val="-3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抗</w:t>
      </w:r>
      <w:r>
        <w:rPr>
          <w:rFonts w:ascii="SimHei" w:hAnsi="SimHei" w:eastAsia="SimHei" w:cs="SimHei"/>
          <w:sz w:val="20"/>
          <w:szCs w:val="20"/>
          <w:spacing w:val="-3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剂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  <w:spacing w:val="2"/>
        </w:rPr>
        <w:t>(</w:t>
      </w:r>
      <w:r>
        <w:rPr>
          <w:rFonts w:ascii="Arial" w:hAnsi="Arial" w:eastAsia="Arial" w:cs="Arial"/>
          <w:sz w:val="20"/>
          <w:szCs w:val="20"/>
        </w:rPr>
        <w:t>vitamin</w:t>
      </w:r>
      <w:r>
        <w:rPr>
          <w:rFonts w:ascii="Arial" w:hAnsi="Arial" w:eastAsia="Arial" w:cs="Arial"/>
          <w:sz w:val="20"/>
          <w:szCs w:val="20"/>
          <w:spacing w:val="2"/>
        </w:rPr>
        <w:t xml:space="preserve">    </w:t>
      </w:r>
      <w:r>
        <w:rPr>
          <w:rFonts w:ascii="Arial" w:hAnsi="Arial" w:eastAsia="Arial" w:cs="Arial"/>
          <w:sz w:val="20"/>
          <w:szCs w:val="20"/>
        </w:rPr>
        <w:t>K</w:t>
      </w:r>
      <w:r>
        <w:rPr>
          <w:rFonts w:ascii="Arial" w:hAnsi="Arial" w:eastAsia="Arial" w:cs="Arial"/>
          <w:sz w:val="20"/>
          <w:szCs w:val="20"/>
          <w:spacing w:val="2"/>
        </w:rPr>
        <w:t xml:space="preserve">    </w:t>
      </w:r>
      <w:r>
        <w:rPr>
          <w:rFonts w:ascii="Arial" w:hAnsi="Arial" w:eastAsia="Arial" w:cs="Arial"/>
          <w:sz w:val="20"/>
          <w:szCs w:val="20"/>
        </w:rPr>
        <w:t>antagonist</w:t>
      </w:r>
      <w:r>
        <w:rPr>
          <w:rFonts w:ascii="Arial" w:hAnsi="Arial" w:eastAsia="Arial" w:cs="Arial"/>
          <w:sz w:val="20"/>
          <w:szCs w:val="20"/>
          <w:spacing w:val="2"/>
        </w:rPr>
        <w:t>,</w:t>
      </w:r>
      <w:r>
        <w:rPr>
          <w:rFonts w:ascii="Arial" w:hAnsi="Arial" w:eastAsia="Arial" w:cs="Arial"/>
          <w:sz w:val="20"/>
          <w:szCs w:val="20"/>
        </w:rPr>
        <w:t>VKA</w:t>
      </w:r>
      <w:r>
        <w:rPr>
          <w:rFonts w:ascii="Arial" w:hAnsi="Arial" w:eastAsia="Arial" w:cs="Arial"/>
          <w:sz w:val="20"/>
          <w:szCs w:val="20"/>
          <w:spacing w:val="2"/>
        </w:rPr>
        <w:t>)</w:t>
      </w:r>
      <w:r>
        <w:rPr>
          <w:rFonts w:ascii="SimHei" w:hAnsi="SimHei" w:eastAsia="SimHei" w:cs="SimHei"/>
          <w:sz w:val="20"/>
          <w:szCs w:val="20"/>
          <w:spacing w:val="2"/>
        </w:rPr>
        <w:t>治疗、直接口服抗凝</w:t>
      </w:r>
      <w:r>
        <w:rPr>
          <w:rFonts w:ascii="SimHei" w:hAnsi="SimHei" w:eastAsia="SimHei" w:cs="SimHei"/>
          <w:sz w:val="20"/>
          <w:szCs w:val="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剂</w:t>
      </w:r>
      <w:r>
        <w:rPr>
          <w:rFonts w:ascii="SimSun" w:hAnsi="SimSun" w:eastAsia="SimSun" w:cs="SimSun"/>
          <w:sz w:val="20"/>
          <w:szCs w:val="20"/>
          <w:spacing w:val="-2"/>
        </w:rPr>
        <w:t>(direct oral anti-coagulant,DOAC)</w:t>
      </w:r>
      <w:r>
        <w:rPr>
          <w:rFonts w:ascii="SimHei" w:hAnsi="SimHei" w:eastAsia="SimHei" w:cs="SimHei"/>
          <w:sz w:val="20"/>
          <w:szCs w:val="20"/>
          <w:spacing w:val="-2"/>
        </w:rPr>
        <w:t>的患者，发生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UGIB</w:t>
      </w:r>
      <w:r>
        <w:rPr>
          <w:rFonts w:ascii="SimSun" w:hAnsi="SimSun" w:eastAsia="SimSun" w:cs="SimSun"/>
          <w:sz w:val="20"/>
          <w:szCs w:val="20"/>
          <w:spacing w:val="8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1"/>
        </w:rPr>
        <w:t>后是否需要停药，以及何时恢复使用抗凝药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"/>
        </w:rPr>
        <w:t>物，应该由包括胃肠病学、心脑血管疾病、重症监护</w:t>
      </w:r>
    </w:p>
    <w:p>
      <w:pPr>
        <w:spacing w:line="283" w:lineRule="auto"/>
        <w:sectPr>
          <w:type w:val="continuous"/>
          <w:pgSz w:w="10720" w:h="15880"/>
          <w:pgMar w:top="400" w:right="480" w:bottom="0" w:left="499" w:header="0" w:footer="0" w:gutter="0"/>
          <w:cols w:equalWidth="0" w:num="2">
            <w:col w:w="4931" w:space="100"/>
            <w:col w:w="4710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pStyle w:val="BodyText"/>
        <w:ind w:left="90"/>
        <w:spacing w:before="104" w:line="215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3"/>
          <w:position w:val="-7"/>
        </w:rPr>
        <w:t>—</w:t>
      </w:r>
      <w:r>
        <w:rPr>
          <w:rFonts w:ascii="SimSun" w:hAnsi="SimSun" w:eastAsia="SimSun" w:cs="SimSun"/>
          <w:sz w:val="21"/>
          <w:szCs w:val="21"/>
          <w:spacing w:val="-29"/>
          <w:position w:val="-7"/>
        </w:rPr>
        <w:t xml:space="preserve"> </w:t>
      </w:r>
      <w:r>
        <w:rPr>
          <w:sz w:val="21"/>
          <w:szCs w:val="21"/>
          <w:spacing w:val="-13"/>
          <w:position w:val="-7"/>
        </w:rPr>
        <w:t>184</w:t>
      </w:r>
      <w:r>
        <w:rPr>
          <w:sz w:val="21"/>
          <w:szCs w:val="21"/>
          <w:u w:val="dotted" w:color="auto"/>
          <w:spacing w:val="-13"/>
          <w:position w:val="-7"/>
        </w:rPr>
        <w:t xml:space="preserve">    </w:t>
      </w:r>
      <w:r>
        <w:rPr>
          <w:sz w:val="21"/>
          <w:szCs w:val="21"/>
          <w:spacing w:val="1"/>
          <w:position w:val="-7"/>
        </w:rPr>
        <w:t xml:space="preserve">                                  </w:t>
      </w:r>
      <w:r>
        <w:rPr>
          <w:sz w:val="21"/>
          <w:szCs w:val="21"/>
          <w:position w:val="-7"/>
        </w:rPr>
        <w:t xml:space="preserve">                         </w:t>
      </w:r>
      <w:r>
        <w:rPr>
          <w:rFonts w:ascii="SimSun" w:hAnsi="SimSun" w:eastAsia="SimSun" w:cs="SimSun"/>
          <w:sz w:val="21"/>
          <w:szCs w:val="21"/>
          <w:u w:val="single" w:color="auto"/>
          <w:spacing w:val="-79"/>
        </w:rPr>
        <w:t xml:space="preserve"> </w:t>
      </w:r>
      <w:r>
        <w:rPr>
          <w:rFonts w:ascii="SimSun" w:hAnsi="SimSun" w:eastAsia="SimSun" w:cs="SimSun"/>
          <w:sz w:val="21"/>
          <w:szCs w:val="21"/>
          <w:u w:val="single" w:color="auto"/>
          <w:spacing w:val="-13"/>
        </w:rPr>
        <w:t>中华消化杂志</w:t>
      </w:r>
      <w:r>
        <w:rPr>
          <w:sz w:val="21"/>
          <w:szCs w:val="21"/>
          <w:u w:val="single" w:color="auto"/>
          <w:spacing w:val="-13"/>
        </w:rPr>
        <w:t>2023</w:t>
      </w:r>
      <w:r>
        <w:rPr>
          <w:rFonts w:ascii="SimSun" w:hAnsi="SimSun" w:eastAsia="SimSun" w:cs="SimSun"/>
          <w:sz w:val="21"/>
          <w:szCs w:val="21"/>
          <w:u w:val="single" w:color="auto"/>
          <w:spacing w:val="-13"/>
        </w:rPr>
        <w:t>年</w:t>
      </w:r>
      <w:r>
        <w:rPr>
          <w:sz w:val="21"/>
          <w:szCs w:val="21"/>
          <w:u w:val="single" w:color="auto"/>
          <w:spacing w:val="-13"/>
        </w:rPr>
        <w:t>3</w:t>
      </w:r>
      <w:r>
        <w:rPr>
          <w:rFonts w:ascii="SimSun" w:hAnsi="SimSun" w:eastAsia="SimSun" w:cs="SimSun"/>
          <w:sz w:val="21"/>
          <w:szCs w:val="21"/>
          <w:u w:val="single" w:color="auto"/>
          <w:spacing w:val="-13"/>
        </w:rPr>
        <w:t>月第</w:t>
      </w:r>
      <w:r>
        <w:rPr>
          <w:sz w:val="21"/>
          <w:szCs w:val="21"/>
          <w:u w:val="single" w:color="auto"/>
          <w:spacing w:val="-13"/>
        </w:rPr>
        <w:t>43</w:t>
      </w:r>
      <w:r>
        <w:rPr>
          <w:rFonts w:ascii="SimSun" w:hAnsi="SimSun" w:eastAsia="SimSun" w:cs="SimSun"/>
          <w:sz w:val="21"/>
          <w:szCs w:val="21"/>
          <w:u w:val="single" w:color="auto"/>
          <w:spacing w:val="-13"/>
        </w:rPr>
        <w:t>卷第</w:t>
      </w:r>
      <w:r>
        <w:rPr>
          <w:sz w:val="21"/>
          <w:szCs w:val="21"/>
          <w:u w:val="single" w:color="auto"/>
          <w:spacing w:val="-13"/>
        </w:rPr>
        <w:t>3</w:t>
      </w:r>
      <w:r>
        <w:rPr>
          <w:rFonts w:ascii="SimSun" w:hAnsi="SimSun" w:eastAsia="SimSun" w:cs="SimSun"/>
          <w:sz w:val="21"/>
          <w:szCs w:val="21"/>
          <w:u w:val="single" w:color="auto"/>
          <w:spacing w:val="-13"/>
        </w:rPr>
        <w:t>期</w:t>
      </w:r>
      <w:r>
        <w:rPr>
          <w:sz w:val="21"/>
          <w:szCs w:val="21"/>
          <w:u w:val="single" w:color="auto"/>
          <w:spacing w:val="-13"/>
        </w:rPr>
        <w:t>Chin JDig,March 2023,Vol.43,No.3</w:t>
      </w:r>
    </w:p>
    <w:p>
      <w:pPr>
        <w:spacing w:before="19"/>
        <w:rPr/>
      </w:pPr>
      <w:r/>
    </w:p>
    <w:p>
      <w:pPr>
        <w:sectPr>
          <w:pgSz w:w="10720" w:h="15880"/>
          <w:pgMar w:top="400" w:right="504" w:bottom="0" w:left="509" w:header="0" w:footer="0" w:gutter="0"/>
          <w:cols w:equalWidth="0" w:num="1">
            <w:col w:w="9706" w:space="0"/>
          </w:cols>
        </w:sectPr>
        <w:rPr/>
      </w:pPr>
    </w:p>
    <w:p>
      <w:pPr>
        <w:ind w:left="3"/>
        <w:spacing w:before="63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专家等在内的多学科团队做出决定。</w:t>
      </w:r>
    </w:p>
    <w:p>
      <w:pPr>
        <w:pStyle w:val="BodyText"/>
        <w:ind w:right="309" w:firstLine="430"/>
        <w:spacing w:before="19" w:line="2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4"/>
          <w:szCs w:val="24"/>
          <w:spacing w:val="-12"/>
        </w:rPr>
        <w:t>证据质量：</w:t>
      </w:r>
      <w:r>
        <w:rPr>
          <w:sz w:val="24"/>
          <w:szCs w:val="24"/>
          <w:spacing w:val="-12"/>
        </w:rPr>
        <w:t>A;</w:t>
      </w:r>
      <w:r>
        <w:rPr>
          <w:sz w:val="24"/>
          <w:szCs w:val="24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推荐强度：强推荐；共识水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平：100.00%</w:t>
      </w:r>
    </w:p>
    <w:p>
      <w:pPr>
        <w:pStyle w:val="BodyText"/>
        <w:ind w:right="289" w:firstLine="430"/>
        <w:spacing w:before="11" w:line="272" w:lineRule="auto"/>
        <w:jc w:val="both"/>
        <w:rPr>
          <w:rFonts w:ascii="SimSun" w:hAnsi="SimSun" w:eastAsia="SimSun" w:cs="SimSun"/>
          <w:sz w:val="21"/>
          <w:szCs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1587506</wp:posOffset>
            </wp:positionH>
            <wp:positionV relativeFrom="paragraph">
              <wp:posOffset>1786170</wp:posOffset>
            </wp:positionV>
            <wp:extent cx="2901977" cy="2781313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1977" cy="2781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</w:rPr>
        <w:t>DAPT</w:t>
      </w:r>
      <w:r>
        <w:rPr>
          <w:rFonts w:ascii="SimSun" w:hAnsi="SimSun" w:eastAsia="SimSun" w:cs="SimSun"/>
          <w:sz w:val="21"/>
          <w:szCs w:val="21"/>
          <w:spacing w:val="10"/>
        </w:rPr>
        <w:t>结合了</w:t>
      </w:r>
      <w:r>
        <w:rPr>
          <w:sz w:val="21"/>
          <w:szCs w:val="21"/>
        </w:rPr>
        <w:t>LDA</w:t>
      </w:r>
      <w:r>
        <w:rPr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与噻吩类</w:t>
      </w:r>
      <w:r>
        <w:rPr>
          <w:sz w:val="21"/>
          <w:szCs w:val="21"/>
          <w:spacing w:val="10"/>
        </w:rPr>
        <w:t>P2Y12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血小板受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体抑制剂(如氯吡格雷)治疗，是急性冠状动脉综合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征患者和冠状动脉支架植入后治疗的基础。与单药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抗血栓治疗相比，使用</w:t>
      </w:r>
      <w:r>
        <w:rPr>
          <w:rFonts w:ascii="SimSun" w:hAnsi="SimSun" w:eastAsia="SimSun" w:cs="SimSun"/>
          <w:sz w:val="21"/>
          <w:szCs w:val="21"/>
        </w:rPr>
        <w:t>DAPT</w:t>
      </w:r>
      <w:r>
        <w:rPr>
          <w:rFonts w:ascii="SimSun" w:hAnsi="SimSun" w:eastAsia="SimSun" w:cs="SimSun"/>
          <w:sz w:val="21"/>
          <w:szCs w:val="21"/>
          <w:spacing w:val="7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的患者发生</w:t>
      </w:r>
      <w:r>
        <w:rPr>
          <w:rFonts w:ascii="SimSun" w:hAnsi="SimSun" w:eastAsia="SimSun" w:cs="SimSun"/>
          <w:sz w:val="21"/>
          <w:szCs w:val="21"/>
        </w:rPr>
        <w:t>UGIB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风险会增加3倍[132]。如果患者同时停用2种抗血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小板药物，其冠状动脉支架血栓形成的中位时间可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缩短至7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sz w:val="21"/>
          <w:szCs w:val="21"/>
          <w:spacing w:val="1"/>
        </w:rPr>
        <w:t>d;</w:t>
      </w:r>
      <w:r>
        <w:rPr>
          <w:sz w:val="21"/>
          <w:szCs w:val="21"/>
          <w:spacing w:val="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若仅停用氯吡格雷，则其冠状动脉支架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血栓形成的中位时间为122 </w:t>
      </w:r>
      <w:r>
        <w:rPr>
          <w:sz w:val="21"/>
          <w:szCs w:val="21"/>
          <w:spacing w:val="-3"/>
        </w:rPr>
        <w:t>d¹33]</w:t>
      </w:r>
      <w:r>
        <w:rPr>
          <w:sz w:val="21"/>
          <w:szCs w:val="21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。因此，在平衡停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用抗血小板药物的风险和益处后，接受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DAPT</w:t>
      </w:r>
      <w:r>
        <w:rPr>
          <w:rFonts w:ascii="SimSun" w:hAnsi="SimSun" w:eastAsia="SimSun" w:cs="SimSun"/>
          <w:sz w:val="21"/>
          <w:szCs w:val="21"/>
          <w:spacing w:val="4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且出 </w:t>
      </w:r>
      <w:r>
        <w:rPr>
          <w:rFonts w:ascii="SimSun" w:hAnsi="SimSun" w:eastAsia="SimSun" w:cs="SimSun"/>
          <w:sz w:val="21"/>
          <w:szCs w:val="21"/>
          <w:spacing w:val="7"/>
        </w:rPr>
        <w:t>现</w:t>
      </w:r>
      <w:r>
        <w:rPr>
          <w:rFonts w:ascii="SimSun" w:hAnsi="SimSun" w:eastAsia="SimSun" w:cs="SimSun"/>
          <w:sz w:val="21"/>
          <w:szCs w:val="21"/>
          <w:spacing w:val="-21"/>
        </w:rPr>
        <w:t xml:space="preserve"> </w:t>
      </w:r>
      <w:r>
        <w:rPr>
          <w:sz w:val="21"/>
          <w:szCs w:val="21"/>
        </w:rPr>
        <w:t>UGIB</w:t>
      </w:r>
      <w:r>
        <w:rPr>
          <w:rFonts w:ascii="SimSun" w:hAnsi="SimSun" w:eastAsia="SimSun" w:cs="SimSun"/>
          <w:sz w:val="21"/>
          <w:szCs w:val="21"/>
          <w:spacing w:val="7"/>
        </w:rPr>
        <w:t>的患者，应尽快恢复使用至少1种抗血小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板药物</w:t>
      </w:r>
      <w:r>
        <w:rPr>
          <w:rFonts w:ascii="SimSun" w:hAnsi="SimSun" w:eastAsia="SimSun" w:cs="SimSun"/>
          <w:sz w:val="21"/>
          <w:szCs w:val="21"/>
          <w:spacing w:val="3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4"/>
        </w:rPr>
        <w:t>]。2020年日本</w:t>
      </w:r>
      <w:r>
        <w:rPr>
          <w:sz w:val="21"/>
          <w:szCs w:val="21"/>
        </w:rPr>
        <w:t>PU</w:t>
      </w:r>
      <w:r>
        <w:rPr>
          <w:sz w:val="21"/>
          <w:szCs w:val="21"/>
          <w:spacing w:val="3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指南[0和2021年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7"/>
        </w:rPr>
        <w:t>ESGE</w:t>
      </w:r>
      <w:r>
        <w:rPr>
          <w:rFonts w:ascii="SimSun" w:hAnsi="SimSun" w:eastAsia="SimSun" w:cs="SimSun"/>
          <w:sz w:val="21"/>
          <w:szCs w:val="21"/>
          <w:spacing w:val="-7"/>
        </w:rPr>
        <w:t>指南[110]也强烈推荐，对于正在接受</w:t>
      </w:r>
      <w:r>
        <w:rPr>
          <w:sz w:val="21"/>
          <w:szCs w:val="21"/>
          <w:spacing w:val="-7"/>
        </w:rPr>
        <w:t>DAPT</w:t>
      </w:r>
      <w:r>
        <w:rPr>
          <w:rFonts w:ascii="SimSun" w:hAnsi="SimSun" w:eastAsia="SimSun" w:cs="SimSun"/>
          <w:sz w:val="21"/>
          <w:szCs w:val="21"/>
          <w:spacing w:val="-7"/>
        </w:rPr>
        <w:t>以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预防心血管疾病的</w:t>
      </w:r>
      <w:r>
        <w:rPr>
          <w:sz w:val="21"/>
          <w:szCs w:val="21"/>
        </w:rPr>
        <w:t>UGIB</w:t>
      </w:r>
      <w:r>
        <w:rPr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患者，不应中断阿司匹林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治疗。</w:t>
      </w:r>
      <w:r>
        <w:rPr>
          <w:sz w:val="21"/>
          <w:szCs w:val="21"/>
        </w:rPr>
        <w:t>ESGE</w:t>
      </w:r>
      <w:r>
        <w:rPr>
          <w:rFonts w:ascii="SimSun" w:hAnsi="SimSun" w:eastAsia="SimSun" w:cs="SimSun"/>
          <w:sz w:val="21"/>
          <w:szCs w:val="21"/>
          <w:spacing w:val="10"/>
        </w:rPr>
        <w:t>同时建议，应停止使用第2种抗血小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板药物，但最好在5</w:t>
      </w:r>
      <w:r>
        <w:rPr>
          <w:sz w:val="21"/>
          <w:szCs w:val="21"/>
          <w:spacing w:val="-1"/>
        </w:rPr>
        <w:t>d</w:t>
      </w:r>
      <w:r>
        <w:rPr>
          <w:rFonts w:ascii="SimSun" w:hAnsi="SimSun" w:eastAsia="SimSun" w:cs="SimSun"/>
          <w:sz w:val="21"/>
          <w:szCs w:val="21"/>
          <w:spacing w:val="-1"/>
        </w:rPr>
        <w:t>内尽快重新使用，同时建议咨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询心脏病学专家[110]。我国2021</w:t>
      </w:r>
      <w:r>
        <w:rPr>
          <w:rFonts w:ascii="SimSun" w:hAnsi="SimSun" w:eastAsia="SimSun" w:cs="SimSun"/>
          <w:sz w:val="21"/>
          <w:szCs w:val="21"/>
          <w:spacing w:val="-5"/>
        </w:rPr>
        <w:t>年《口服抗栓药物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相关消化道损伤防治专家共识》[134]建议，</w:t>
      </w:r>
    </w:p>
    <w:p>
      <w:pPr>
        <w:pStyle w:val="BodyText"/>
        <w:ind w:right="295"/>
        <w:spacing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道症状或微小出血时，应严密观察出血情况，可继续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服用抗栓药物，并予</w:t>
      </w:r>
      <w:r>
        <w:rPr>
          <w:sz w:val="21"/>
          <w:szCs w:val="21"/>
          <w:spacing w:val="-7"/>
        </w:rPr>
        <w:t>PPI</w:t>
      </w:r>
      <w:r>
        <w:rPr>
          <w:sz w:val="21"/>
          <w:szCs w:val="21"/>
          <w:spacing w:val="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等药物治疗；对于消</w:t>
      </w:r>
      <w:r>
        <w:rPr>
          <w:rFonts w:ascii="SimSun" w:hAnsi="SimSun" w:eastAsia="SimSun" w:cs="SimSun"/>
          <w:sz w:val="21"/>
          <w:szCs w:val="21"/>
          <w:spacing w:val="-8"/>
        </w:rPr>
        <w:t>化道出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血导致血红蛋白下降&gt;20 g/L 和(或)需</w:t>
      </w:r>
      <w:r>
        <w:rPr>
          <w:rFonts w:ascii="SimSun" w:hAnsi="SimSun" w:eastAsia="SimSun" w:cs="SimSun"/>
          <w:sz w:val="21"/>
          <w:szCs w:val="21"/>
          <w:spacing w:val="6"/>
        </w:rPr>
        <w:t>住院治疗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的患者，若无血流动力学异常，可将</w:t>
      </w:r>
      <w:r>
        <w:rPr>
          <w:sz w:val="21"/>
          <w:szCs w:val="21"/>
          <w:spacing w:val="-6"/>
        </w:rPr>
        <w:t>DAPT</w:t>
      </w:r>
      <w:r>
        <w:rPr>
          <w:rFonts w:ascii="SimSun" w:hAnsi="SimSun" w:eastAsia="SimSun" w:cs="SimSun"/>
          <w:sz w:val="21"/>
          <w:szCs w:val="21"/>
          <w:spacing w:val="-6"/>
        </w:rPr>
        <w:t>改为抗血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小板单药治疗。</w:t>
      </w:r>
    </w:p>
    <w:p>
      <w:pPr>
        <w:pStyle w:val="BodyText"/>
        <w:ind w:right="197" w:firstLine="430"/>
        <w:spacing w:before="169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目前缺乏关于接受</w:t>
      </w:r>
      <w:r>
        <w:rPr>
          <w:rFonts w:ascii="SimSun" w:hAnsi="SimSun" w:eastAsia="SimSun" w:cs="SimSun"/>
          <w:sz w:val="21"/>
          <w:szCs w:val="21"/>
        </w:rPr>
        <w:t>VKA</w:t>
      </w:r>
      <w:r>
        <w:rPr>
          <w:rFonts w:ascii="SimSun" w:hAnsi="SimSun" w:eastAsia="SimSun" w:cs="SimSun"/>
          <w:sz w:val="21"/>
          <w:szCs w:val="21"/>
          <w:spacing w:val="8"/>
        </w:rPr>
        <w:t>、</w:t>
      </w:r>
      <w:r>
        <w:rPr>
          <w:rFonts w:ascii="SimSun" w:hAnsi="SimSun" w:eastAsia="SimSun" w:cs="SimSun"/>
          <w:sz w:val="21"/>
          <w:szCs w:val="21"/>
        </w:rPr>
        <w:t>DOAC</w:t>
      </w:r>
      <w:r>
        <w:rPr>
          <w:rFonts w:ascii="SimSun" w:hAnsi="SimSun" w:eastAsia="SimSun" w:cs="SimSun"/>
          <w:sz w:val="21"/>
          <w:szCs w:val="21"/>
          <w:spacing w:val="8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的患者进行内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镜检查最佳时机的研究。</w:t>
      </w:r>
      <w:r>
        <w:rPr>
          <w:sz w:val="21"/>
          <w:szCs w:val="21"/>
          <w:spacing w:val="-1"/>
        </w:rPr>
        <w:t>DOAC(Xa</w:t>
      </w:r>
      <w:r>
        <w:rPr>
          <w:sz w:val="21"/>
          <w:szCs w:val="21"/>
          <w:spacing w:val="2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因子和凝血酶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抑制剂)起效迅速，相比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sz w:val="21"/>
          <w:szCs w:val="21"/>
          <w:spacing w:val="-2"/>
        </w:rPr>
        <w:t>VKA </w:t>
      </w:r>
      <w:r>
        <w:rPr>
          <w:rFonts w:ascii="SimSun" w:hAnsi="SimSun" w:eastAsia="SimSun" w:cs="SimSun"/>
          <w:sz w:val="21"/>
          <w:szCs w:val="21"/>
          <w:spacing w:val="-2"/>
        </w:rPr>
        <w:t>半衰期更短，无需实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6"/>
        </w:rPr>
        <w:t>验室监测。</w:t>
      </w:r>
      <w:r>
        <w:rPr>
          <w:sz w:val="21"/>
          <w:szCs w:val="21"/>
        </w:rPr>
        <w:t>VKA</w:t>
      </w:r>
      <w:r>
        <w:rPr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的抗凝血作用可使用国际标准化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比值</w:t>
      </w:r>
      <w:r>
        <w:rPr>
          <w:sz w:val="21"/>
          <w:szCs w:val="21"/>
          <w:spacing w:val="5"/>
        </w:rPr>
        <w:t>(</w:t>
      </w:r>
      <w:r>
        <w:rPr>
          <w:sz w:val="21"/>
          <w:szCs w:val="21"/>
        </w:rPr>
        <w:t>international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normalized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ratio</w:t>
      </w:r>
      <w:r>
        <w:rPr>
          <w:sz w:val="21"/>
          <w:szCs w:val="21"/>
          <w:spacing w:val="5"/>
        </w:rPr>
        <w:t>,</w:t>
      </w:r>
      <w:r>
        <w:rPr>
          <w:sz w:val="21"/>
          <w:szCs w:val="21"/>
        </w:rPr>
        <w:t>INR</w:t>
      </w:r>
      <w:r>
        <w:rPr>
          <w:sz w:val="21"/>
          <w:szCs w:val="21"/>
          <w:spacing w:val="5"/>
        </w:rPr>
        <w:t>)</w:t>
      </w:r>
      <w:r>
        <w:rPr>
          <w:rFonts w:ascii="SimSun" w:hAnsi="SimSun" w:eastAsia="SimSun" w:cs="SimSun"/>
          <w:sz w:val="21"/>
          <w:szCs w:val="21"/>
          <w:spacing w:val="5"/>
        </w:rPr>
        <w:t>进行评估。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与入院时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sz w:val="21"/>
          <w:szCs w:val="21"/>
          <w:spacing w:val="-2"/>
        </w:rPr>
        <w:t>INR</w:t>
      </w:r>
      <w:r>
        <w:rPr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升高的患者相比，</w:t>
      </w:r>
      <w:r>
        <w:rPr>
          <w:sz w:val="21"/>
          <w:szCs w:val="21"/>
          <w:spacing w:val="-2"/>
        </w:rPr>
        <w:t>INR </w:t>
      </w:r>
      <w:r>
        <w:rPr>
          <w:rFonts w:ascii="SimSun" w:hAnsi="SimSun" w:eastAsia="SimSun" w:cs="SimSun"/>
          <w:sz w:val="21"/>
          <w:szCs w:val="21"/>
          <w:spacing w:val="-2"/>
        </w:rPr>
        <w:t>在正常参考值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范围内的患者的内镜检查结果与在内镜检查前</w:t>
      </w:r>
      <w:r>
        <w:rPr>
          <w:sz w:val="21"/>
          <w:szCs w:val="21"/>
        </w:rPr>
        <w:t>INR</w:t>
      </w:r>
      <w:r>
        <w:rPr>
          <w:sz w:val="21"/>
          <w:szCs w:val="21"/>
          <w:spacing w:val="5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9"/>
        </w:rPr>
        <w:t>被矫正至2.5以下的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sz w:val="21"/>
          <w:szCs w:val="21"/>
        </w:rPr>
        <w:t>VKA</w:t>
      </w:r>
      <w:r>
        <w:rPr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抗凝治疗患者相似。快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速矫正</w:t>
      </w:r>
      <w:r>
        <w:rPr>
          <w:sz w:val="21"/>
          <w:szCs w:val="21"/>
        </w:rPr>
        <w:t>INR </w:t>
      </w:r>
      <w:r>
        <w:rPr>
          <w:rFonts w:ascii="SimSun" w:hAnsi="SimSun" w:eastAsia="SimSun" w:cs="SimSun"/>
          <w:sz w:val="21"/>
          <w:szCs w:val="21"/>
        </w:rPr>
        <w:t>与患者血栓栓塞的风险增加有关[135]。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我国2021年《口服抗栓药物相关消化道损伤防治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3"/>
        </w:rPr>
        <w:t>专家共识》[134]推荐：①服用抗凝药物的患者，除血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4"/>
        </w:rPr>
        <w:t>栓风险较高者(如植入机械瓣膜或心脏辅助装置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等)外，应减少剂量或停用抗凝药物；②当存</w:t>
      </w:r>
      <w:r>
        <w:rPr>
          <w:rFonts w:ascii="SimSun" w:hAnsi="SimSun" w:eastAsia="SimSun" w:cs="SimSun"/>
          <w:sz w:val="21"/>
          <w:szCs w:val="21"/>
          <w:spacing w:val="-6"/>
        </w:rPr>
        <w:t>在血流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动力学异常或经积极治疗后仍持续出血时，停用所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有抗栓药物；③若出现抗凝药物导致威胁生命的出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0"/>
        </w:rPr>
        <w:t>血，应给予拮抗剂，服用华法林的患者应使用维</w:t>
      </w:r>
      <w:r>
        <w:rPr>
          <w:rFonts w:ascii="SimSun" w:hAnsi="SimSun" w:eastAsia="SimSun" w:cs="SimSun"/>
          <w:sz w:val="21"/>
          <w:szCs w:val="21"/>
          <w:spacing w:val="-11"/>
        </w:rPr>
        <w:t>生素</w:t>
      </w:r>
    </w:p>
    <w:p>
      <w:pPr>
        <w:pStyle w:val="BodyText"/>
        <w:ind w:right="294"/>
        <w:spacing w:before="117" w:line="25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K、IV因子凝血酶原复合体浓缩物逆转，若无IV因子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凝血酶原复合体浓缩物，可使用新鲜冷冻血浆；④如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需行内镜诊治，应将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sz w:val="21"/>
          <w:szCs w:val="21"/>
        </w:rPr>
        <w:t>INR</w:t>
      </w:r>
      <w:r>
        <w:rPr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矫正至2.5以下15],服用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达比加群的患者可静脉注射达比加群特异性逆转剂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2"/>
        <w:spacing w:before="44" w:line="27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依达赛珠单抗</w:t>
      </w:r>
      <w:r>
        <w:rPr>
          <w:sz w:val="21"/>
          <w:szCs w:val="21"/>
          <w:spacing w:val="-1"/>
        </w:rPr>
        <w:t>(idarucizumab),</w:t>
      </w:r>
      <w:r>
        <w:rPr>
          <w:sz w:val="21"/>
          <w:szCs w:val="21"/>
          <w:spacing w:val="6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服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用</w:t>
      </w:r>
      <w:r>
        <w:rPr>
          <w:sz w:val="21"/>
          <w:szCs w:val="21"/>
          <w:spacing w:val="-1"/>
        </w:rPr>
        <w:t>Xa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因子抑制剂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的患者可静脉注射</w:t>
      </w:r>
      <w:r>
        <w:rPr>
          <w:sz w:val="21"/>
          <w:szCs w:val="21"/>
        </w:rPr>
        <w:t>X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竞争性拮抗剂安得塞奈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(</w:t>
      </w:r>
      <w:r>
        <w:rPr>
          <w:sz w:val="21"/>
          <w:szCs w:val="21"/>
        </w:rPr>
        <w:t>andexanet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alpha</w:t>
      </w:r>
      <w:r>
        <w:rPr>
          <w:sz w:val="21"/>
          <w:szCs w:val="21"/>
          <w:spacing w:val="1"/>
        </w:rPr>
        <w:t>),  </w:t>
      </w:r>
      <w:r>
        <w:rPr>
          <w:rFonts w:ascii="SimSun" w:hAnsi="SimSun" w:eastAsia="SimSun" w:cs="SimSun"/>
          <w:sz w:val="21"/>
          <w:szCs w:val="21"/>
          <w:spacing w:val="1"/>
        </w:rPr>
        <w:t>其为重构无活性凝血因子</w:t>
      </w:r>
      <w:r>
        <w:rPr>
          <w:sz w:val="21"/>
          <w:szCs w:val="21"/>
        </w:rPr>
        <w:t>Xa</w:t>
      </w:r>
      <w:r>
        <w:rPr>
          <w:rFonts w:ascii="SimSun" w:hAnsi="SimSun" w:eastAsia="SimSun" w:cs="SimSun"/>
          <w:sz w:val="21"/>
          <w:szCs w:val="21"/>
          <w:spacing w:val="1"/>
        </w:rPr>
        <w:t>。</w:t>
      </w:r>
    </w:p>
    <w:p>
      <w:pPr>
        <w:ind w:right="76" w:firstLine="429"/>
        <w:spacing w:before="12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因口服抗凝药物导致的消化道出血停止后，是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否需要重启抗凝治疗，需评估患者的血栓和再出血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风险，应该由包括胃肠病学、心脑血管疾病、重症监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护专家等在内的多学科团队作出决定[134]。</w:t>
      </w:r>
    </w:p>
    <w:p>
      <w:pPr>
        <w:ind w:left="3" w:right="66" w:firstLine="429"/>
        <w:spacing w:before="1" w:line="269" w:lineRule="auto"/>
        <w:jc w:val="both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陈述8.9:当内镜止血失败时，可考虑选择肠系</w:t>
      </w:r>
      <w:r>
        <w:rPr>
          <w:rFonts w:ascii="SimHei" w:hAnsi="SimHei" w:eastAsia="SimHei" w:cs="SimHei"/>
          <w:sz w:val="21"/>
          <w:szCs w:val="21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膜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动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脉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导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管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栓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塞</w:t>
      </w:r>
      <w:r>
        <w:rPr>
          <w:rFonts w:ascii="SimHei" w:hAnsi="SimHei" w:eastAsia="SimHei" w:cs="SimHei"/>
          <w:sz w:val="21"/>
          <w:szCs w:val="21"/>
          <w:spacing w:val="-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0"/>
        </w:rPr>
        <w:t>术</w:t>
      </w:r>
      <w:r>
        <w:rPr>
          <w:rFonts w:ascii="SimHei" w:hAnsi="SimHei" w:eastAsia="SimHei" w:cs="SimHei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(transcatheter</w:t>
      </w:r>
      <w:r>
        <w:rPr>
          <w:rFonts w:ascii="SimSun" w:hAnsi="SimSun" w:eastAsia="SimSun" w:cs="SimSu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arterial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embolization,TAE)</w:t>
      </w:r>
      <w:r>
        <w:rPr>
          <w:rFonts w:ascii="SimSun" w:hAnsi="SimSun" w:eastAsia="SimSun" w:cs="SimSun"/>
          <w:sz w:val="21"/>
          <w:szCs w:val="21"/>
          <w:spacing w:val="-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或手术治疗。</w:t>
      </w:r>
    </w:p>
    <w:p>
      <w:pPr>
        <w:pStyle w:val="BodyText"/>
        <w:ind w:right="54" w:firstLine="429"/>
        <w:spacing w:before="1" w:line="2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4"/>
          <w:szCs w:val="24"/>
          <w:spacing w:val="-11"/>
        </w:rPr>
        <w:t>证据质量：</w:t>
      </w:r>
      <w:r>
        <w:rPr>
          <w:sz w:val="24"/>
          <w:szCs w:val="24"/>
          <w:spacing w:val="-11"/>
        </w:rPr>
        <w:t>C;  </w:t>
      </w:r>
      <w:r>
        <w:rPr>
          <w:rFonts w:ascii="SimSun" w:hAnsi="SimSun" w:eastAsia="SimSun" w:cs="SimSun"/>
          <w:sz w:val="24"/>
          <w:szCs w:val="24"/>
          <w:spacing w:val="-11"/>
        </w:rPr>
        <w:t>推荐强度：强推荐；共识水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平：100.00%</w:t>
      </w:r>
    </w:p>
    <w:p>
      <w:pPr>
        <w:pStyle w:val="BodyText"/>
        <w:ind w:right="55" w:firstLine="429"/>
        <w:spacing w:before="11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当内镜止血失败时，可选择重复内镜检查、</w:t>
      </w:r>
      <w:r>
        <w:rPr>
          <w:sz w:val="21"/>
          <w:szCs w:val="21"/>
          <w:spacing w:val="-10"/>
        </w:rPr>
        <w:t>TAE</w:t>
      </w:r>
      <w:r>
        <w:rPr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或手术治疗。既往</w:t>
      </w:r>
      <w:r>
        <w:rPr>
          <w:sz w:val="21"/>
          <w:szCs w:val="21"/>
        </w:rPr>
        <w:t>meta</w:t>
      </w:r>
      <w:r>
        <w:rPr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分析显示，与手术治疗比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较，内镜治疗失败的</w:t>
      </w:r>
      <w:r>
        <w:rPr>
          <w:sz w:val="21"/>
          <w:szCs w:val="21"/>
        </w:rPr>
        <w:t>UGIB</w:t>
      </w:r>
      <w:r>
        <w:rPr>
          <w:rFonts w:ascii="SimSun" w:hAnsi="SimSun" w:eastAsia="SimSun" w:cs="SimSun"/>
          <w:sz w:val="21"/>
          <w:szCs w:val="21"/>
          <w:spacing w:val="2"/>
        </w:rPr>
        <w:t>患者行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sz w:val="21"/>
          <w:szCs w:val="21"/>
        </w:rPr>
        <w:t>TAE</w:t>
      </w:r>
      <w:r>
        <w:rPr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后患者的相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关死亡率有改善趋势(无统计学意义),虽然再出血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率较高，但并发症发生率显著降低，需手术</w:t>
      </w:r>
      <w:r>
        <w:rPr>
          <w:rFonts w:ascii="SimSun" w:hAnsi="SimSun" w:eastAsia="SimSun" w:cs="SimSun"/>
          <w:sz w:val="21"/>
          <w:szCs w:val="21"/>
          <w:spacing w:val="-10"/>
        </w:rPr>
        <w:t>干预的患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者比例也明显降低，住院时间明显缩短[136],说明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TAE</w:t>
      </w:r>
      <w:r>
        <w:rPr>
          <w:rFonts w:ascii="SimSun" w:hAnsi="SimSun" w:eastAsia="SimSun" w:cs="SimSun"/>
          <w:sz w:val="21"/>
          <w:szCs w:val="21"/>
          <w:spacing w:val="1"/>
        </w:rPr>
        <w:t>是一种安全、有效的治疗方式。因此，20</w:t>
      </w:r>
      <w:r>
        <w:rPr>
          <w:rFonts w:ascii="SimSun" w:hAnsi="SimSun" w:eastAsia="SimSun" w:cs="SimSun"/>
          <w:sz w:val="21"/>
          <w:szCs w:val="21"/>
        </w:rPr>
        <w:t>20年 </w:t>
      </w:r>
      <w:r>
        <w:rPr>
          <w:rFonts w:ascii="SimSun" w:hAnsi="SimSun" w:eastAsia="SimSun" w:cs="SimSun"/>
          <w:sz w:val="21"/>
          <w:szCs w:val="21"/>
          <w:spacing w:val="-5"/>
        </w:rPr>
        <w:t>日本</w:t>
      </w:r>
      <w:r>
        <w:rPr>
          <w:sz w:val="21"/>
          <w:szCs w:val="21"/>
          <w:spacing w:val="-5"/>
        </w:rPr>
        <w:t>PU </w:t>
      </w:r>
      <w:r>
        <w:rPr>
          <w:rFonts w:ascii="SimSun" w:hAnsi="SimSun" w:eastAsia="SimSun" w:cs="SimSun"/>
          <w:sz w:val="21"/>
          <w:szCs w:val="21"/>
          <w:spacing w:val="-5"/>
        </w:rPr>
        <w:t>指南[60]建议，特别对于已</w:t>
      </w:r>
      <w:r>
        <w:rPr>
          <w:rFonts w:ascii="SimSun" w:hAnsi="SimSun" w:eastAsia="SimSun" w:cs="SimSun"/>
          <w:sz w:val="21"/>
          <w:szCs w:val="21"/>
          <w:spacing w:val="-6"/>
        </w:rPr>
        <w:t>接受内镜治疗的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难治性</w:t>
      </w:r>
      <w:r>
        <w:rPr>
          <w:sz w:val="21"/>
          <w:szCs w:val="21"/>
        </w:rPr>
        <w:t>UGIB</w:t>
      </w:r>
      <w:r>
        <w:rPr>
          <w:rFonts w:ascii="SimSun" w:hAnsi="SimSun" w:eastAsia="SimSun" w:cs="SimSun"/>
          <w:sz w:val="21"/>
          <w:szCs w:val="21"/>
          <w:spacing w:val="4"/>
        </w:rPr>
        <w:t>患者，可建议其使用</w:t>
      </w:r>
      <w:r>
        <w:rPr>
          <w:sz w:val="21"/>
          <w:szCs w:val="21"/>
        </w:rPr>
        <w:t>TAE</w:t>
      </w:r>
      <w:r>
        <w:rPr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进行止血治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疗；2021年美国胃肠病学会指南[103建议，内镜治疗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失败的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sz w:val="21"/>
          <w:szCs w:val="21"/>
        </w:rPr>
        <w:t>UGIB</w:t>
      </w:r>
      <w:r>
        <w:rPr>
          <w:sz w:val="21"/>
          <w:szCs w:val="21"/>
          <w:spacing w:val="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患者首先接受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sz w:val="21"/>
          <w:szCs w:val="21"/>
        </w:rPr>
        <w:t>TAE</w:t>
      </w:r>
      <w:r>
        <w:rPr>
          <w:sz w:val="21"/>
          <w:szCs w:val="21"/>
          <w:spacing w:val="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治疗；2021年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ESGE</w:t>
      </w:r>
      <w:r>
        <w:rPr>
          <w:rFonts w:ascii="SimSun" w:hAnsi="SimSun" w:eastAsia="SimSun" w:cs="SimSun"/>
          <w:sz w:val="21"/>
          <w:szCs w:val="21"/>
          <w:spacing w:val="-1"/>
        </w:rPr>
        <w:t>指南[110则建议，在第2次尝试内镜止血失败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的情况下考虑</w:t>
      </w:r>
      <w:r>
        <w:rPr>
          <w:sz w:val="21"/>
          <w:szCs w:val="21"/>
        </w:rPr>
        <w:t>TAE</w:t>
      </w:r>
      <w:r>
        <w:rPr>
          <w:sz w:val="21"/>
          <w:szCs w:val="21"/>
          <w:spacing w:val="11"/>
        </w:rPr>
        <w:t>, </w:t>
      </w:r>
      <w:r>
        <w:rPr>
          <w:rFonts w:ascii="SimSun" w:hAnsi="SimSun" w:eastAsia="SimSun" w:cs="SimSun"/>
          <w:sz w:val="21"/>
          <w:szCs w:val="21"/>
          <w:spacing w:val="11"/>
        </w:rPr>
        <w:t>当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sz w:val="21"/>
          <w:szCs w:val="21"/>
        </w:rPr>
        <w:t>TAE</w:t>
      </w:r>
      <w:r>
        <w:rPr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在当地不可用或</w:t>
      </w:r>
      <w:r>
        <w:rPr>
          <w:sz w:val="21"/>
          <w:szCs w:val="21"/>
        </w:rPr>
        <w:t>TAE  </w:t>
      </w:r>
      <w:r>
        <w:rPr>
          <w:rFonts w:ascii="SimSun" w:hAnsi="SimSun" w:eastAsia="SimSun" w:cs="SimSun"/>
          <w:sz w:val="21"/>
          <w:szCs w:val="21"/>
          <w:spacing w:val="-10"/>
        </w:rPr>
        <w:t>失败时，才考虑手术治疗。</w:t>
      </w:r>
    </w:p>
    <w:p>
      <w:pPr>
        <w:pStyle w:val="BodyText"/>
        <w:ind w:left="2" w:right="60" w:firstLine="430"/>
        <w:spacing w:before="102" w:line="255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陈述8.10:</w:t>
      </w:r>
      <w:r>
        <w:rPr>
          <w:sz w:val="21"/>
          <w:szCs w:val="21"/>
          <w:b/>
          <w:bCs/>
          <w:spacing w:val="-12"/>
        </w:rPr>
        <w:t>PU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患者穿孔后需快速评估疾病严重程</w:t>
      </w:r>
      <w:r>
        <w:rPr>
          <w:rFonts w:ascii="SimHei" w:hAnsi="SimHei" w:eastAsia="SimHei" w:cs="SimHei"/>
          <w:sz w:val="21"/>
          <w:szCs w:val="21"/>
          <w:spacing w:val="1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3"/>
        </w:rPr>
        <w:t>度，进行多学科会诊，建议采取手术等积极</w:t>
      </w:r>
      <w:r>
        <w:rPr>
          <w:rFonts w:ascii="SimHei" w:hAnsi="SimHei" w:eastAsia="SimHei" w:cs="SimHei"/>
          <w:sz w:val="21"/>
          <w:szCs w:val="21"/>
          <w:b/>
          <w:bCs/>
          <w:spacing w:val="-24"/>
        </w:rPr>
        <w:t>治疗。</w:t>
      </w:r>
    </w:p>
    <w:p>
      <w:pPr>
        <w:pStyle w:val="BodyText"/>
        <w:ind w:right="54" w:firstLine="429"/>
        <w:spacing w:before="3" w:line="2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4"/>
          <w:szCs w:val="24"/>
          <w:spacing w:val="-13"/>
        </w:rPr>
        <w:t>证据质量：</w:t>
      </w:r>
      <w:r>
        <w:rPr>
          <w:sz w:val="24"/>
          <w:szCs w:val="24"/>
          <w:spacing w:val="-13"/>
        </w:rPr>
        <w:t>C;   </w:t>
      </w:r>
      <w:r>
        <w:rPr>
          <w:rFonts w:ascii="SimSun" w:hAnsi="SimSun" w:eastAsia="SimSun" w:cs="SimSun"/>
          <w:sz w:val="24"/>
          <w:szCs w:val="24"/>
          <w:spacing w:val="-13"/>
        </w:rPr>
        <w:t>推荐强度：强推荐；共</w:t>
      </w:r>
      <w:r>
        <w:rPr>
          <w:rFonts w:ascii="SimSun" w:hAnsi="SimSun" w:eastAsia="SimSun" w:cs="SimSun"/>
          <w:sz w:val="24"/>
          <w:szCs w:val="24"/>
          <w:spacing w:val="-14"/>
        </w:rPr>
        <w:t>识水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平：95.65%</w:t>
      </w:r>
    </w:p>
    <w:p>
      <w:pPr>
        <w:pStyle w:val="BodyText"/>
        <w:ind w:firstLine="429"/>
        <w:spacing w:before="5" w:line="27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腹膜炎是</w:t>
      </w:r>
      <w:r>
        <w:rPr>
          <w:sz w:val="21"/>
          <w:szCs w:val="21"/>
        </w:rPr>
        <w:t>PU</w:t>
      </w:r>
      <w:r>
        <w:rPr>
          <w:sz w:val="21"/>
          <w:szCs w:val="21"/>
          <w:spacing w:val="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穿孔的典型表现，但仅见于2/3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的患者[1³7]。可首先对此类患者进行腹部和</w:t>
      </w:r>
      <w:r>
        <w:rPr>
          <w:rFonts w:ascii="SimSun" w:hAnsi="SimSun" w:eastAsia="SimSun" w:cs="SimSun"/>
          <w:sz w:val="21"/>
          <w:szCs w:val="21"/>
          <w:spacing w:val="-4"/>
        </w:rPr>
        <w:t>胸部</w:t>
      </w:r>
      <w:r>
        <w:rPr>
          <w:sz w:val="21"/>
          <w:szCs w:val="21"/>
          <w:spacing w:val="-4"/>
        </w:rPr>
        <w:t>X</w:t>
      </w:r>
      <w:r>
        <w:rPr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7"/>
        </w:rPr>
        <w:t>线摄片检查，判断是否存在腹部游离气体。直立位</w:t>
      </w:r>
      <w:r>
        <w:rPr>
          <w:sz w:val="21"/>
          <w:szCs w:val="21"/>
          <w:spacing w:val="-7"/>
        </w:rPr>
        <w:t>X</w:t>
      </w:r>
      <w:r>
        <w:rPr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线摄片检查的诊断准确性与左侧卧位相当，出现明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显腹膜炎体征患者对左侧卧位的耐受性更好。由于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7"/>
        </w:rPr>
        <w:t>X</w:t>
      </w:r>
      <w:r>
        <w:rPr>
          <w:rFonts w:ascii="SimSun" w:hAnsi="SimSun" w:eastAsia="SimSun" w:cs="SimSun"/>
          <w:sz w:val="21"/>
          <w:szCs w:val="21"/>
          <w:spacing w:val="-7"/>
        </w:rPr>
        <w:t>线摄片检查结果差异较大，即便结果呈阴</w:t>
      </w:r>
      <w:r>
        <w:rPr>
          <w:rFonts w:ascii="SimSun" w:hAnsi="SimSun" w:eastAsia="SimSun" w:cs="SimSun"/>
          <w:sz w:val="21"/>
          <w:szCs w:val="21"/>
          <w:spacing w:val="-8"/>
        </w:rPr>
        <w:t>性，也无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法完全排除穿孔可能，因此，在患者有明确腹膜炎征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象时，建议首先进行腹部计算机断层扫描。计算机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断层扫描对游离气体的显示具有更高的灵敏度，并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可明确穿孔的部位和大小，可排除其他可能的原因，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其在穿孔诊断中发挥着越来越重要的作用[13</w:t>
      </w:r>
      <w:r>
        <w:rPr>
          <w:rFonts w:ascii="SimSun" w:hAnsi="SimSun" w:eastAsia="SimSun" w:cs="SimSun"/>
          <w:sz w:val="21"/>
          <w:szCs w:val="21"/>
          <w:spacing w:val="-5"/>
        </w:rPr>
        <w:t>8]。明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确穿孔后，需要识别患者是否合并脓毒血症，并通过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其症状、体征和实验室检查结果等对其疾病严重程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度进行快速评估。对于生命体征不稳定的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sz w:val="21"/>
          <w:szCs w:val="21"/>
        </w:rPr>
        <w:t>PU</w:t>
      </w:r>
      <w:r>
        <w:rPr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合并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9"/>
        </w:rPr>
        <w:t>化脓性穿孔患者，建议首先恢复生理参数，如平均动</w:t>
      </w:r>
    </w:p>
    <w:p>
      <w:pPr>
        <w:spacing w:line="271" w:lineRule="auto"/>
        <w:sectPr>
          <w:type w:val="continuous"/>
          <w:pgSz w:w="10720" w:h="15880"/>
          <w:pgMar w:top="400" w:right="504" w:bottom="0" w:left="509" w:header="0" w:footer="0" w:gutter="0"/>
          <w:cols w:equalWidth="0" w:num="2">
            <w:col w:w="4921" w:space="100"/>
            <w:col w:w="468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before="53"/>
        <w:rPr/>
      </w:pPr>
      <w:r/>
    </w:p>
    <w:p>
      <w:pPr>
        <w:sectPr>
          <w:headerReference w:type="default" r:id="rId11"/>
          <w:pgSz w:w="10720" w:h="15880"/>
          <w:pgMar w:top="791" w:right="459" w:bottom="0" w:left="490" w:header="483" w:footer="0" w:gutter="0"/>
          <w:cols w:equalWidth="0" w:num="1">
            <w:col w:w="9771" w:space="0"/>
          </w:cols>
        </w:sectPr>
        <w:rPr/>
      </w:pPr>
    </w:p>
    <w:p>
      <w:pPr>
        <w:pStyle w:val="BodyText"/>
        <w:ind w:right="331"/>
        <w:spacing w:before="40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1619228</wp:posOffset>
            </wp:positionH>
            <wp:positionV relativeFrom="paragraph">
              <wp:posOffset>2417150</wp:posOffset>
            </wp:positionV>
            <wp:extent cx="2876586" cy="2736843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586" cy="2736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2"/>
          <w:szCs w:val="22"/>
          <w:spacing w:val="1"/>
        </w:rPr>
        <w:t>脉压≥65 </w:t>
      </w:r>
      <w:r>
        <w:rPr>
          <w:sz w:val="22"/>
          <w:szCs w:val="22"/>
        </w:rPr>
        <w:t>mmHg</w:t>
      </w:r>
      <w:r>
        <w:rPr>
          <w:sz w:val="22"/>
          <w:szCs w:val="22"/>
          <w:spacing w:val="1"/>
        </w:rPr>
        <w:t>(1    </w:t>
      </w:r>
      <w:r>
        <w:rPr>
          <w:sz w:val="22"/>
          <w:szCs w:val="22"/>
        </w:rPr>
        <w:t>mmHg</w:t>
      </w:r>
      <w:r>
        <w:rPr>
          <w:sz w:val="22"/>
          <w:szCs w:val="22"/>
          <w:spacing w:val="1"/>
        </w:rPr>
        <w:t>=0.133    </w:t>
      </w:r>
      <w:r>
        <w:rPr>
          <w:sz w:val="22"/>
          <w:szCs w:val="22"/>
        </w:rPr>
        <w:t>kPa</w:t>
      </w:r>
      <w:r>
        <w:rPr>
          <w:sz w:val="22"/>
          <w:szCs w:val="22"/>
          <w:spacing w:val="1"/>
        </w:rPr>
        <w:t>),</w:t>
      </w:r>
      <w:r>
        <w:rPr>
          <w:rFonts w:ascii="SimSun" w:hAnsi="SimSun" w:eastAsia="SimSun" w:cs="SimSun"/>
          <w:sz w:val="22"/>
          <w:szCs w:val="22"/>
          <w:spacing w:val="1"/>
        </w:rPr>
        <w:t>尿量≥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sz w:val="20"/>
          <w:szCs w:val="20"/>
          <w:spacing w:val="4"/>
        </w:rPr>
        <w:t>0.5</w:t>
      </w:r>
      <w:r>
        <w:rPr>
          <w:sz w:val="20"/>
          <w:szCs w:val="20"/>
        </w:rPr>
        <w:t>mL</w:t>
      </w:r>
      <w:r>
        <w:rPr>
          <w:sz w:val="20"/>
          <w:szCs w:val="20"/>
          <w:spacing w:val="4"/>
        </w:rPr>
        <w:t>·</w:t>
      </w:r>
      <w:r>
        <w:rPr>
          <w:sz w:val="20"/>
          <w:szCs w:val="20"/>
        </w:rPr>
        <w:t>kg</w:t>
      </w:r>
      <w:r>
        <w:rPr>
          <w:sz w:val="20"/>
          <w:szCs w:val="20"/>
          <w:spacing w:val="4"/>
        </w:rPr>
        <w:t>-¹·h-¹,            </w:t>
      </w:r>
      <w:r>
        <w:rPr>
          <w:rFonts w:ascii="SimSun" w:hAnsi="SimSun" w:eastAsia="SimSun" w:cs="SimSun"/>
          <w:sz w:val="20"/>
          <w:szCs w:val="20"/>
          <w:spacing w:val="4"/>
        </w:rPr>
        <w:t>乳酸盐水平在正常参考值范围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等[98</w:t>
      </w:r>
      <w:r>
        <w:rPr>
          <w:sz w:val="20"/>
          <w:szCs w:val="20"/>
          <w:spacing w:val="8"/>
        </w:rPr>
        <w:t>J,</w:t>
      </w:r>
      <w:r>
        <w:rPr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且需要在1</w:t>
      </w:r>
      <w:r>
        <w:rPr>
          <w:sz w:val="20"/>
          <w:szCs w:val="20"/>
          <w:spacing w:val="8"/>
        </w:rPr>
        <w:t>h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内快速复苏，以降低患者相关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死亡率[139-140</w:t>
      </w:r>
      <w:r>
        <w:rPr>
          <w:sz w:val="20"/>
          <w:szCs w:val="20"/>
          <w:spacing w:val="-6"/>
        </w:rPr>
        <w:t>J;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同时进行外科会诊、微生物培养和抗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生素治疗。非手术治疗包括禁食、静脉补液、胃肠置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管减压、抑酸治疗、抗生素使用，以及4～6周后的内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镜检查。需要注意的是，手术每延迟1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10"/>
        </w:rPr>
        <w:t>h,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相关死亡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率就会增高2.4%;特别对于老年患者，如</w:t>
      </w:r>
      <w:r>
        <w:rPr>
          <w:rFonts w:ascii="SimSun" w:hAnsi="SimSun" w:eastAsia="SimSun" w:cs="SimSun"/>
          <w:sz w:val="20"/>
          <w:szCs w:val="20"/>
          <w:spacing w:val="12"/>
        </w:rPr>
        <w:t>果非手术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治疗失败，可能导致高死亡率，因此，必须谨慎选择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非手术治疗[41]。应当尽量避免使用止血夹、纤维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蛋白凝胶封闭或支架置入等内镜下治疗。对于合并 </w:t>
      </w:r>
      <w:r>
        <w:rPr>
          <w:rFonts w:ascii="SimSun" w:hAnsi="SimSun" w:eastAsia="SimSun" w:cs="SimSun"/>
          <w:sz w:val="20"/>
          <w:szCs w:val="20"/>
          <w:spacing w:val="9"/>
        </w:rPr>
        <w:t>严重疾病或诊断延迟的患者，应进行内镜检查和支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架放置[142],或在放射学引导下放置引流管等作为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标准治疗的替代，但其有效性仍需进一步验证。对 </w:t>
      </w:r>
      <w:r>
        <w:rPr>
          <w:rFonts w:ascii="SimSun" w:hAnsi="SimSun" w:eastAsia="SimSun" w:cs="SimSun"/>
          <w:sz w:val="20"/>
          <w:szCs w:val="20"/>
          <w:spacing w:val="6"/>
        </w:rPr>
        <w:t>于有明显腹腔积气、造影剂外渗或腹膜炎迹象的</w:t>
      </w:r>
      <w:r>
        <w:rPr>
          <w:sz w:val="20"/>
          <w:szCs w:val="20"/>
        </w:rPr>
        <w:t>PU  </w:t>
      </w:r>
      <w:r>
        <w:rPr>
          <w:rFonts w:ascii="SimSun" w:hAnsi="SimSun" w:eastAsia="SimSun" w:cs="SimSun"/>
          <w:sz w:val="20"/>
          <w:szCs w:val="20"/>
          <w:spacing w:val="9"/>
        </w:rPr>
        <w:t>穿孔患者，建议在排除禁忌证的情况下进行手术治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疗[98]。女性、高龄、穿孔与手术间隔&gt;36h、穿孔面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积 &gt; 1</w:t>
      </w:r>
      <w:r>
        <w:rPr>
          <w:rFonts w:ascii="SimSun" w:hAnsi="SimSun" w:eastAsia="SimSun" w:cs="SimSun"/>
          <w:sz w:val="20"/>
          <w:szCs w:val="20"/>
          <w:spacing w:val="8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cm²</w:t>
      </w:r>
      <w:r>
        <w:rPr>
          <w:rFonts w:ascii="SimSun" w:hAnsi="SimSun" w:eastAsia="SimSun" w:cs="SimSun"/>
          <w:sz w:val="20"/>
          <w:szCs w:val="20"/>
          <w:spacing w:val="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均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为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影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响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术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后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相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关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死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亡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率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的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重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因素[143]。</w:t>
      </w:r>
    </w:p>
    <w:p>
      <w:pPr>
        <w:pStyle w:val="BodyText"/>
        <w:ind w:left="450"/>
        <w:spacing w:before="16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九、</w:t>
      </w:r>
      <w:r>
        <w:rPr>
          <w:sz w:val="20"/>
          <w:szCs w:val="20"/>
          <w:spacing w:val="-9"/>
        </w:rPr>
        <w:t>PU </w:t>
      </w:r>
      <w:r>
        <w:rPr>
          <w:rFonts w:ascii="SimSun" w:hAnsi="SimSun" w:eastAsia="SimSun" w:cs="SimSun"/>
          <w:sz w:val="20"/>
          <w:szCs w:val="20"/>
          <w:spacing w:val="-9"/>
        </w:rPr>
        <w:t>的复发、监测和预防</w:t>
      </w:r>
    </w:p>
    <w:p>
      <w:pPr>
        <w:pStyle w:val="BodyText"/>
        <w:ind w:left="2" w:right="315" w:firstLine="450"/>
        <w:spacing w:before="67" w:line="27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陈述9</w:t>
      </w:r>
      <w:r>
        <w:rPr>
          <w:rFonts w:ascii="SimHei" w:hAnsi="SimHei" w:eastAsia="SimHei" w:cs="SimHei"/>
          <w:sz w:val="20"/>
          <w:szCs w:val="20"/>
          <w:spacing w:val="-5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.</w:t>
      </w:r>
      <w:r>
        <w:rPr>
          <w:rFonts w:ascii="SimHei" w:hAnsi="SimHei" w:eastAsia="SimHei" w:cs="SimHei"/>
          <w:sz w:val="20"/>
          <w:szCs w:val="20"/>
          <w:spacing w:val="-5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1:</w:t>
      </w:r>
      <w:r>
        <w:rPr>
          <w:sz w:val="20"/>
          <w:szCs w:val="20"/>
          <w:b/>
          <w:bCs/>
          <w:spacing w:val="3"/>
        </w:rPr>
        <w:t>H.</w:t>
      </w:r>
      <w:r>
        <w:rPr>
          <w:sz w:val="20"/>
          <w:szCs w:val="20"/>
          <w:b/>
          <w:bCs/>
        </w:rPr>
        <w:t>pylori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感染、</w:t>
      </w:r>
      <w:r>
        <w:rPr>
          <w:sz w:val="20"/>
          <w:szCs w:val="20"/>
          <w:b/>
          <w:bCs/>
        </w:rPr>
        <w:t>NSAID</w:t>
      </w:r>
      <w:r>
        <w:rPr>
          <w:rFonts w:ascii="SimHei" w:hAnsi="SimHei" w:eastAsia="SimHei" w:cs="SimHei"/>
          <w:sz w:val="20"/>
          <w:szCs w:val="20"/>
          <w:b/>
          <w:bCs/>
          <w:spacing w:val="3"/>
        </w:rPr>
        <w:t>(含阿司匹林)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的使用和</w:t>
      </w:r>
      <w:r>
        <w:rPr>
          <w:sz w:val="20"/>
          <w:szCs w:val="20"/>
          <w:b/>
          <w:bCs/>
        </w:rPr>
        <w:t>IPU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是溃疡复发的主要原因。</w:t>
      </w:r>
    </w:p>
    <w:p>
      <w:pPr>
        <w:pStyle w:val="BodyText"/>
        <w:ind w:right="329" w:firstLine="450"/>
        <w:spacing w:before="1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  <w:spacing w:val="6"/>
        </w:rPr>
        <w:t>证据质量：</w:t>
      </w:r>
      <w:r>
        <w:rPr>
          <w:sz w:val="22"/>
          <w:szCs w:val="22"/>
          <w:spacing w:val="6"/>
        </w:rPr>
        <w:t>B;</w:t>
      </w:r>
      <w:r>
        <w:rPr>
          <w:sz w:val="22"/>
          <w:szCs w:val="22"/>
          <w:spacing w:val="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推荐强度：强推荐；共识水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平：95.65%</w:t>
      </w:r>
    </w:p>
    <w:p>
      <w:pPr>
        <w:pStyle w:val="BodyText"/>
        <w:ind w:right="259" w:firstLine="450"/>
        <w:spacing w:before="9" w:line="27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  <w:spacing w:val="-2"/>
        </w:rPr>
        <w:t>预防溃疡复发是降低</w:t>
      </w:r>
      <w:r>
        <w:rPr>
          <w:sz w:val="22"/>
          <w:szCs w:val="22"/>
          <w:spacing w:val="-2"/>
        </w:rPr>
        <w:t>PU</w:t>
      </w:r>
      <w:r>
        <w:rPr>
          <w:rFonts w:ascii="SimSun" w:hAnsi="SimSun" w:eastAsia="SimSun" w:cs="SimSun"/>
          <w:sz w:val="22"/>
          <w:szCs w:val="22"/>
          <w:spacing w:val="-2"/>
        </w:rPr>
        <w:t>发病率和相关死亡率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最重要的长期目标。成功根除</w:t>
      </w:r>
      <w:r>
        <w:rPr>
          <w:sz w:val="20"/>
          <w:szCs w:val="20"/>
          <w:spacing w:val="4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后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1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～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2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年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患者的溃疡复发率将降至20%以下。经抗</w:t>
      </w:r>
      <w:r>
        <w:rPr>
          <w:rFonts w:ascii="SimSun" w:hAnsi="SimSun" w:eastAsia="SimSun" w:cs="SimSun"/>
          <w:sz w:val="22"/>
          <w:szCs w:val="22"/>
          <w:spacing w:val="4"/>
        </w:rPr>
        <w:t>生素治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疗的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sz w:val="22"/>
          <w:szCs w:val="22"/>
        </w:rPr>
        <w:t>PU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7"/>
        </w:rPr>
        <w:t>复发的最常见原因是未能成功根除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0"/>
          <w:szCs w:val="20"/>
          <w:spacing w:val="16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。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一旦成功根除</w:t>
      </w:r>
      <w:r>
        <w:rPr>
          <w:sz w:val="20"/>
          <w:szCs w:val="20"/>
          <w:spacing w:val="16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16"/>
        </w:rPr>
        <w:t>,  </w:t>
      </w:r>
      <w:r>
        <w:rPr>
          <w:rFonts w:ascii="SimSun" w:hAnsi="SimSun" w:eastAsia="SimSun" w:cs="SimSun"/>
          <w:sz w:val="20"/>
          <w:szCs w:val="20"/>
          <w:spacing w:val="16"/>
        </w:rPr>
        <w:t>每年再感染率&lt;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0.5%。导致</w:t>
      </w:r>
      <w:r>
        <w:rPr>
          <w:sz w:val="22"/>
          <w:szCs w:val="22"/>
        </w:rPr>
        <w:t>H.pylori</w:t>
      </w:r>
      <w:r>
        <w:rPr>
          <w:rFonts w:ascii="SimSun" w:hAnsi="SimSun" w:eastAsia="SimSun" w:cs="SimSun"/>
          <w:sz w:val="22"/>
          <w:szCs w:val="22"/>
        </w:rPr>
        <w:t>阴性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sz w:val="22"/>
          <w:szCs w:val="22"/>
        </w:rPr>
        <w:t>PU</w:t>
      </w:r>
      <w:r>
        <w:rPr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患者复发的主要因素 </w:t>
      </w:r>
      <w:r>
        <w:rPr>
          <w:rFonts w:ascii="SimSun" w:hAnsi="SimSun" w:eastAsia="SimSun" w:cs="SimSun"/>
          <w:sz w:val="20"/>
          <w:szCs w:val="20"/>
          <w:spacing w:val="8"/>
        </w:rPr>
        <w:t>是高龄、男性和合并慢性肾脏疾病14。H.</w:t>
      </w:r>
      <w:r>
        <w:rPr>
          <w:rFonts w:ascii="SimSun" w:hAnsi="SimSun" w:eastAsia="SimSun" w:cs="SimSun"/>
          <w:sz w:val="20"/>
          <w:szCs w:val="20"/>
        </w:rPr>
        <w:t>pylori</w:t>
      </w:r>
      <w:r>
        <w:rPr>
          <w:rFonts w:ascii="SimSun" w:hAnsi="SimSun" w:eastAsia="SimSun" w:cs="SimSun"/>
          <w:sz w:val="20"/>
          <w:szCs w:val="20"/>
          <w:spacing w:val="8"/>
        </w:rPr>
        <w:t>根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除延迟会增加复杂</w:t>
      </w:r>
      <w:r>
        <w:rPr>
          <w:sz w:val="22"/>
          <w:szCs w:val="22"/>
          <w:spacing w:val="-8"/>
        </w:rPr>
        <w:t>PU</w:t>
      </w:r>
      <w:r>
        <w:rPr>
          <w:sz w:val="22"/>
          <w:szCs w:val="22"/>
          <w:spacing w:val="-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发生风险和</w:t>
      </w:r>
      <w:r>
        <w:rPr>
          <w:sz w:val="22"/>
          <w:szCs w:val="22"/>
          <w:spacing w:val="-8"/>
        </w:rPr>
        <w:t>PU</w:t>
      </w:r>
      <w:r>
        <w:rPr>
          <w:rFonts w:ascii="SimSun" w:hAnsi="SimSun" w:eastAsia="SimSun" w:cs="SimSun"/>
          <w:sz w:val="22"/>
          <w:szCs w:val="22"/>
          <w:spacing w:val="-8"/>
        </w:rPr>
        <w:t>复发风险，故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"/>
        </w:rPr>
        <w:t>建议对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sz w:val="22"/>
          <w:szCs w:val="22"/>
        </w:rPr>
        <w:t>PU</w:t>
      </w:r>
      <w:r>
        <w:rPr>
          <w:rFonts w:ascii="SimSun" w:hAnsi="SimSun" w:eastAsia="SimSun" w:cs="SimSun"/>
          <w:sz w:val="22"/>
          <w:szCs w:val="22"/>
          <w:spacing w:val="1"/>
        </w:rPr>
        <w:t>患者早期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PU</w:t>
      </w:r>
      <w:r>
        <w:rPr>
          <w:sz w:val="22"/>
          <w:szCs w:val="22"/>
          <w:spacing w:val="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诊断120 </w:t>
      </w:r>
      <w:r>
        <w:rPr>
          <w:sz w:val="22"/>
          <w:szCs w:val="22"/>
          <w:spacing w:val="1"/>
        </w:rPr>
        <w:t>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内)检测</w:t>
      </w:r>
      <w:r>
        <w:rPr>
          <w:rFonts w:ascii="SimSun" w:hAnsi="SimSun" w:eastAsia="SimSun" w:cs="SimSun"/>
          <w:sz w:val="22"/>
          <w:szCs w:val="22"/>
        </w:rPr>
        <w:t>和根  </w:t>
      </w:r>
      <w:r>
        <w:rPr>
          <w:rFonts w:ascii="SimSun" w:hAnsi="SimSun" w:eastAsia="SimSun" w:cs="SimSun"/>
          <w:sz w:val="20"/>
          <w:szCs w:val="20"/>
          <w:spacing w:val="-7"/>
        </w:rPr>
        <w:t>除</w:t>
      </w:r>
      <w:r>
        <w:rPr>
          <w:sz w:val="20"/>
          <w:szCs w:val="20"/>
          <w:spacing w:val="-7"/>
        </w:rPr>
        <w:t>H.pylori[145146</w:t>
      </w:r>
      <w:r>
        <w:rPr>
          <w:rFonts w:ascii="SimSun" w:hAnsi="SimSun" w:eastAsia="SimSun" w:cs="SimSun"/>
          <w:sz w:val="20"/>
          <w:szCs w:val="20"/>
          <w:spacing w:val="-7"/>
        </w:rPr>
        <w:t>】。需要注意的是</w:t>
      </w:r>
      <w:r>
        <w:rPr>
          <w:rFonts w:ascii="SimSun" w:hAnsi="SimSun" w:eastAsia="SimSun" w:cs="SimSun"/>
          <w:sz w:val="20"/>
          <w:szCs w:val="20"/>
          <w:spacing w:val="-8"/>
        </w:rPr>
        <w:t>，仍有一部分患者，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包括对反复尝试根除却未成功的</w:t>
      </w:r>
      <w:r>
        <w:rPr>
          <w:sz w:val="22"/>
          <w:szCs w:val="22"/>
          <w:spacing w:val="-1"/>
        </w:rPr>
        <w:t>H.pylori</w:t>
      </w:r>
      <w:r>
        <w:rPr>
          <w:rFonts w:ascii="SimSun" w:hAnsi="SimSun" w:eastAsia="SimSun" w:cs="SimSun"/>
          <w:sz w:val="22"/>
          <w:szCs w:val="22"/>
          <w:spacing w:val="-1"/>
        </w:rPr>
        <w:t>阳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性</w:t>
      </w:r>
      <w:r>
        <w:rPr>
          <w:sz w:val="22"/>
          <w:szCs w:val="22"/>
          <w:spacing w:val="-1"/>
        </w:rPr>
        <w:t>PU</w:t>
      </w:r>
      <w:r>
        <w:rPr>
          <w:sz w:val="22"/>
          <w:szCs w:val="2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患者，有</w:t>
      </w:r>
      <w:r>
        <w:rPr>
          <w:sz w:val="20"/>
          <w:szCs w:val="20"/>
          <w:spacing w:val="4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阳性病史但在成功根除后仍复发的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sz w:val="22"/>
          <w:szCs w:val="22"/>
          <w:spacing w:val="-7"/>
        </w:rPr>
        <w:t>PU</w:t>
      </w:r>
      <w:r>
        <w:rPr>
          <w:rFonts w:ascii="SimSun" w:hAnsi="SimSun" w:eastAsia="SimSun" w:cs="SimSun"/>
          <w:sz w:val="22"/>
          <w:szCs w:val="22"/>
          <w:spacing w:val="-7"/>
        </w:rPr>
        <w:t>患者，以及</w:t>
      </w:r>
      <w:r>
        <w:rPr>
          <w:sz w:val="22"/>
          <w:szCs w:val="22"/>
          <w:spacing w:val="-7"/>
        </w:rPr>
        <w:t>IPU</w:t>
      </w:r>
      <w:r>
        <w:rPr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患者，均需长期使用</w:t>
      </w:r>
      <w:r>
        <w:rPr>
          <w:sz w:val="22"/>
          <w:szCs w:val="22"/>
          <w:spacing w:val="-7"/>
        </w:rPr>
        <w:t>PPI </w:t>
      </w:r>
      <w:r>
        <w:rPr>
          <w:rFonts w:ascii="SimSun" w:hAnsi="SimSun" w:eastAsia="SimSun" w:cs="SimSun"/>
          <w:sz w:val="22"/>
          <w:szCs w:val="22"/>
          <w:spacing w:val="-7"/>
        </w:rPr>
        <w:t>以防止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溃疡复发。此外，在所有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sz w:val="22"/>
          <w:szCs w:val="22"/>
          <w:spacing w:val="-8"/>
        </w:rPr>
        <w:t>PU </w:t>
      </w:r>
      <w:r>
        <w:rPr>
          <w:rFonts w:ascii="SimSun" w:hAnsi="SimSun" w:eastAsia="SimSun" w:cs="SimSun"/>
          <w:sz w:val="22"/>
          <w:szCs w:val="22"/>
          <w:spacing w:val="-8"/>
        </w:rPr>
        <w:t>复发患者中，应</w:t>
      </w:r>
      <w:r>
        <w:rPr>
          <w:rFonts w:ascii="SimSun" w:hAnsi="SimSun" w:eastAsia="SimSun" w:cs="SimSun"/>
          <w:sz w:val="22"/>
          <w:szCs w:val="22"/>
          <w:spacing w:val="-9"/>
        </w:rPr>
        <w:t>排除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20"/>
          <w:szCs w:val="20"/>
        </w:rPr>
        <w:t>NSAID</w:t>
      </w:r>
      <w:r>
        <w:rPr>
          <w:rFonts w:ascii="SimSun" w:hAnsi="SimSun" w:eastAsia="SimSun" w:cs="SimSun"/>
          <w:sz w:val="20"/>
          <w:szCs w:val="20"/>
          <w:spacing w:val="11"/>
        </w:rPr>
        <w:t>的使用和胃酸高分泌状态(包括胃泌素瘤)。</w:t>
      </w:r>
    </w:p>
    <w:p>
      <w:pPr>
        <w:pStyle w:val="BodyText"/>
        <w:ind w:right="328" w:firstLine="450"/>
        <w:spacing w:before="67" w:line="262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2"/>
          <w:szCs w:val="22"/>
          <w:spacing w:val="4"/>
        </w:rPr>
        <w:t>陈述9.2:对于使用</w:t>
      </w:r>
      <w:r>
        <w:rPr>
          <w:sz w:val="22"/>
          <w:szCs w:val="22"/>
        </w:rPr>
        <w:t>NSAID</w:t>
      </w:r>
      <w:r>
        <w:rPr>
          <w:rFonts w:ascii="SimHei" w:hAnsi="SimHei" w:eastAsia="SimHei" w:cs="SimHei"/>
          <w:sz w:val="22"/>
          <w:szCs w:val="22"/>
          <w:spacing w:val="4"/>
        </w:rPr>
        <w:t>的</w:t>
      </w:r>
      <w:r>
        <w:rPr>
          <w:sz w:val="22"/>
          <w:szCs w:val="22"/>
        </w:rPr>
        <w:t>PU</w:t>
      </w:r>
      <w:r>
        <w:rPr>
          <w:sz w:val="22"/>
          <w:szCs w:val="22"/>
          <w:spacing w:val="4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4"/>
        </w:rPr>
        <w:t>中度风险患</w:t>
      </w:r>
      <w:r>
        <w:rPr>
          <w:rFonts w:ascii="SimHei" w:hAnsi="SimHei" w:eastAsia="SimHei" w:cs="SimHei"/>
          <w:sz w:val="22"/>
          <w:szCs w:val="22"/>
          <w:spacing w:val="6"/>
        </w:rPr>
        <w:t xml:space="preserve"> </w:t>
      </w:r>
      <w:r>
        <w:rPr>
          <w:rFonts w:ascii="SimHei" w:hAnsi="SimHei" w:eastAsia="SimHei" w:cs="SimHei"/>
          <w:sz w:val="22"/>
          <w:szCs w:val="22"/>
        </w:rPr>
        <w:t>者，应换用选择性环氧合酶-2抑制剂或联合使用</w:t>
      </w:r>
      <w:r>
        <w:rPr>
          <w:rFonts w:ascii="SimHei" w:hAnsi="SimHei" w:eastAsia="SimHei" w:cs="SimHei"/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4"/>
        </w:rPr>
        <w:t>PPI </w:t>
      </w:r>
      <w:r>
        <w:rPr>
          <w:rFonts w:ascii="SimHei" w:hAnsi="SimHei" w:eastAsia="SimHei" w:cs="SimHei"/>
          <w:sz w:val="22"/>
          <w:szCs w:val="22"/>
          <w:spacing w:val="-4"/>
        </w:rPr>
        <w:t>或</w:t>
      </w:r>
      <w:r>
        <w:rPr>
          <w:sz w:val="22"/>
          <w:szCs w:val="22"/>
          <w:spacing w:val="-4"/>
        </w:rPr>
        <w:t>P-CAB </w:t>
      </w:r>
      <w:r>
        <w:rPr>
          <w:rFonts w:ascii="SimHei" w:hAnsi="SimHei" w:eastAsia="SimHei" w:cs="SimHei"/>
          <w:sz w:val="22"/>
          <w:szCs w:val="22"/>
          <w:spacing w:val="-4"/>
        </w:rPr>
        <w:t>等抑酸剂；对于</w:t>
      </w:r>
      <w:r>
        <w:rPr>
          <w:sz w:val="22"/>
          <w:szCs w:val="22"/>
          <w:spacing w:val="-4"/>
        </w:rPr>
        <w:t>P</w:t>
      </w:r>
      <w:r>
        <w:rPr>
          <w:sz w:val="22"/>
          <w:szCs w:val="22"/>
          <w:spacing w:val="-5"/>
        </w:rPr>
        <w:t>U</w:t>
      </w:r>
      <w:r>
        <w:rPr>
          <w:sz w:val="22"/>
          <w:szCs w:val="22"/>
          <w:spacing w:val="1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5"/>
        </w:rPr>
        <w:t>高风险患者，应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10"/>
        </w:rPr>
        <w:t>换用选择性环氧合酶-2</w:t>
      </w:r>
      <w:r>
        <w:rPr>
          <w:rFonts w:ascii="SimHei" w:hAnsi="SimHei" w:eastAsia="SimHei" w:cs="SimHei"/>
          <w:sz w:val="22"/>
          <w:szCs w:val="22"/>
          <w:spacing w:val="1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10"/>
        </w:rPr>
        <w:t>抑制剂并联合</w:t>
      </w:r>
      <w:r>
        <w:rPr>
          <w:rFonts w:ascii="SimHei" w:hAnsi="SimHei" w:eastAsia="SimHei" w:cs="SimHei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PPI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10"/>
        </w:rPr>
        <w:t>或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sz w:val="20"/>
          <w:szCs w:val="20"/>
          <w:spacing w:val="-3"/>
        </w:rPr>
        <w:t>P-CAB</w:t>
      </w:r>
      <w:r>
        <w:rPr>
          <w:sz w:val="20"/>
          <w:szCs w:val="20"/>
          <w:spacing w:val="3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等抑酸剂，以预防</w:t>
      </w:r>
      <w:r>
        <w:rPr>
          <w:rFonts w:ascii="SimHei" w:hAnsi="SimHei" w:eastAsia="SimHei" w:cs="SimHei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3"/>
        </w:rPr>
        <w:t>PU</w:t>
      </w:r>
      <w:r>
        <w:rPr>
          <w:sz w:val="20"/>
          <w:szCs w:val="20"/>
          <w:spacing w:val="3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复发。</w:t>
      </w:r>
    </w:p>
    <w:p>
      <w:pPr>
        <w:pStyle w:val="BodyText"/>
        <w:ind w:left="450"/>
        <w:spacing w:before="35" w:line="18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证据质量：</w:t>
      </w:r>
      <w:r>
        <w:rPr>
          <w:sz w:val="22"/>
          <w:szCs w:val="22"/>
          <w:spacing w:val="8"/>
        </w:rPr>
        <w:t>A;</w:t>
      </w:r>
      <w:r>
        <w:rPr>
          <w:sz w:val="22"/>
          <w:szCs w:val="22"/>
          <w:spacing w:val="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推荐强度：强推荐；共识水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4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平：91.30%</w:t>
      </w:r>
    </w:p>
    <w:p>
      <w:pPr>
        <w:pStyle w:val="BodyText"/>
        <w:ind w:firstLine="420"/>
        <w:spacing w:before="52" w:line="27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</w:rPr>
        <w:t>临床医师应仔细权衡NSAID 治疗的益处与心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血管和胃肠道并发症的发生风险，同时选择合适类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6"/>
        </w:rPr>
        <w:t>型的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NSAID</w:t>
      </w:r>
      <w:r>
        <w:rPr>
          <w:sz w:val="22"/>
          <w:szCs w:val="22"/>
          <w:spacing w:val="16"/>
        </w:rPr>
        <w:t>,</w:t>
      </w:r>
      <w:r>
        <w:rPr>
          <w:rFonts w:ascii="SimSun" w:hAnsi="SimSun" w:eastAsia="SimSun" w:cs="SimSun"/>
          <w:sz w:val="22"/>
          <w:szCs w:val="22"/>
          <w:spacing w:val="16"/>
        </w:rPr>
        <w:t>降低并发症发生风险；无论何种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sz w:val="22"/>
          <w:szCs w:val="22"/>
          <w:spacing w:val="-3"/>
        </w:rPr>
        <w:t>NSAID,</w:t>
      </w:r>
      <w:r>
        <w:rPr>
          <w:rFonts w:ascii="SimSun" w:hAnsi="SimSun" w:eastAsia="SimSun" w:cs="SimSun"/>
          <w:sz w:val="22"/>
          <w:szCs w:val="22"/>
          <w:spacing w:val="-3"/>
        </w:rPr>
        <w:t>建议均应以最低有效剂量和最短必要时间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使用。</w:t>
      </w:r>
      <w:r>
        <w:rPr>
          <w:sz w:val="22"/>
          <w:szCs w:val="22"/>
          <w:spacing w:val="-7"/>
        </w:rPr>
        <w:t>NSAID </w:t>
      </w:r>
      <w:r>
        <w:rPr>
          <w:rFonts w:ascii="SimSun" w:hAnsi="SimSun" w:eastAsia="SimSun" w:cs="SimSun"/>
          <w:sz w:val="22"/>
          <w:szCs w:val="22"/>
          <w:spacing w:val="-7"/>
        </w:rPr>
        <w:t>主要通过抑制环氧合酶引起</w:t>
      </w:r>
      <w:r>
        <w:rPr>
          <w:sz w:val="22"/>
          <w:szCs w:val="22"/>
          <w:spacing w:val="-7"/>
        </w:rPr>
        <w:t>PU </w:t>
      </w:r>
      <w:r>
        <w:rPr>
          <w:rFonts w:ascii="SimSun" w:hAnsi="SimSun" w:eastAsia="SimSun" w:cs="SimSun"/>
          <w:sz w:val="22"/>
          <w:szCs w:val="22"/>
          <w:spacing w:val="-7"/>
        </w:rPr>
        <w:t>和消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化道并发症。选择性环氧合酶-2抑制剂不增加药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物诱发</w:t>
      </w:r>
      <w:r>
        <w:rPr>
          <w:sz w:val="20"/>
          <w:szCs w:val="20"/>
          <w:spacing w:val="-1"/>
        </w:rPr>
        <w:t>PU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的风险[147-149]。同时使用选择性环氧合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酶-2抑制剂和</w:t>
      </w:r>
      <w:r>
        <w:rPr>
          <w:sz w:val="22"/>
          <w:szCs w:val="22"/>
        </w:rPr>
        <w:t>PPI</w:t>
      </w:r>
      <w:r>
        <w:rPr>
          <w:rFonts w:ascii="SimSun" w:hAnsi="SimSun" w:eastAsia="SimSun" w:cs="SimSun"/>
          <w:sz w:val="22"/>
          <w:szCs w:val="22"/>
        </w:rPr>
        <w:t>亦能有效预防药物所</w:t>
      </w:r>
      <w:r>
        <w:rPr>
          <w:rFonts w:ascii="SimSun" w:hAnsi="SimSun" w:eastAsia="SimSun" w:cs="SimSun"/>
          <w:sz w:val="22"/>
          <w:szCs w:val="22"/>
          <w:spacing w:val="-1"/>
        </w:rPr>
        <w:t>致</w:t>
      </w:r>
      <w:r>
        <w:rPr>
          <w:sz w:val="22"/>
          <w:szCs w:val="22"/>
          <w:spacing w:val="-1"/>
        </w:rPr>
        <w:t>PU </w:t>
      </w:r>
      <w:r>
        <w:rPr>
          <w:rFonts w:ascii="SimSun" w:hAnsi="SimSun" w:eastAsia="SimSun" w:cs="SimSun"/>
          <w:sz w:val="22"/>
          <w:szCs w:val="22"/>
          <w:spacing w:val="-1"/>
        </w:rPr>
        <w:t>的发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生[150]。根据2020年亚太地区胃肠病</w:t>
      </w:r>
      <w:r>
        <w:rPr>
          <w:rFonts w:ascii="SimSun" w:hAnsi="SimSun" w:eastAsia="SimSun" w:cs="SimSun"/>
          <w:sz w:val="20"/>
          <w:szCs w:val="20"/>
          <w:spacing w:val="11"/>
        </w:rPr>
        <w:t>学协会联合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亚太风湿病学联盟协会、亚太消化内镜学会、亚太肾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脏病学会等多家学会组织共同发布的关于高血压、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心血管、肾脏或胃肠道合并症患者的</w:t>
      </w:r>
      <w:r>
        <w:rPr>
          <w:sz w:val="20"/>
          <w:szCs w:val="20"/>
        </w:rPr>
        <w:t>NSAID</w:t>
      </w:r>
      <w:r>
        <w:rPr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治疗建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议³7定义：</w:t>
      </w:r>
      <w:r>
        <w:rPr>
          <w:sz w:val="22"/>
          <w:szCs w:val="22"/>
          <w:spacing w:val="-8"/>
        </w:rPr>
        <w:t>PU</w:t>
      </w:r>
      <w:r>
        <w:rPr>
          <w:rFonts w:ascii="SimSun" w:hAnsi="SimSun" w:eastAsia="SimSun" w:cs="SimSun"/>
          <w:sz w:val="22"/>
          <w:szCs w:val="22"/>
          <w:spacing w:val="-8"/>
        </w:rPr>
        <w:t>低风险患者指没有</w:t>
      </w:r>
      <w:r>
        <w:rPr>
          <w:sz w:val="22"/>
          <w:szCs w:val="22"/>
          <w:spacing w:val="-8"/>
        </w:rPr>
        <w:t>PU</w:t>
      </w:r>
      <w:r>
        <w:rPr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病史和心血管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疾病的年轻患者；</w:t>
      </w:r>
      <w:r>
        <w:rPr>
          <w:sz w:val="22"/>
          <w:szCs w:val="22"/>
          <w:spacing w:val="-6"/>
        </w:rPr>
        <w:t>PU </w:t>
      </w:r>
      <w:r>
        <w:rPr>
          <w:rFonts w:ascii="SimSun" w:hAnsi="SimSun" w:eastAsia="SimSun" w:cs="SimSun"/>
          <w:sz w:val="22"/>
          <w:szCs w:val="22"/>
          <w:spacing w:val="-6"/>
        </w:rPr>
        <w:t>中度风险患者指具有1或2个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危险因素(年龄&gt;65岁、有不伴并发症的</w:t>
      </w:r>
      <w:r>
        <w:rPr>
          <w:sz w:val="22"/>
          <w:szCs w:val="22"/>
          <w:spacing w:val="-1"/>
        </w:rPr>
        <w:t>PU</w:t>
      </w:r>
      <w:r>
        <w:rPr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病史、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同时使用低剂量和高剂量阿司匹林、使用抗血小板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药物、使用糖皮质激素或抗凝药)的患者；</w:t>
      </w:r>
      <w:r>
        <w:rPr>
          <w:sz w:val="20"/>
          <w:szCs w:val="20"/>
        </w:rPr>
        <w:t>PU</w:t>
      </w:r>
      <w:r>
        <w:rPr>
          <w:rFonts w:ascii="SimSun" w:hAnsi="SimSun" w:eastAsia="SimSun" w:cs="SimSun"/>
          <w:sz w:val="20"/>
          <w:szCs w:val="20"/>
          <w:spacing w:val="7"/>
        </w:rPr>
        <w:t>高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风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险患者指有</w:t>
      </w:r>
      <w:r>
        <w:rPr>
          <w:sz w:val="22"/>
          <w:szCs w:val="22"/>
          <w:spacing w:val="-1"/>
        </w:rPr>
        <w:t>PU </w:t>
      </w:r>
      <w:r>
        <w:rPr>
          <w:rFonts w:ascii="SimSun" w:hAnsi="SimSun" w:eastAsia="SimSun" w:cs="SimSun"/>
          <w:sz w:val="22"/>
          <w:szCs w:val="22"/>
          <w:spacing w:val="-1"/>
        </w:rPr>
        <w:t>并发症病史的患者。对于</w:t>
      </w:r>
      <w:r>
        <w:rPr>
          <w:sz w:val="22"/>
          <w:szCs w:val="22"/>
          <w:spacing w:val="-1"/>
        </w:rPr>
        <w:t>PU </w:t>
      </w:r>
      <w:r>
        <w:rPr>
          <w:rFonts w:ascii="SimSun" w:hAnsi="SimSun" w:eastAsia="SimSun" w:cs="SimSun"/>
          <w:sz w:val="22"/>
          <w:szCs w:val="22"/>
          <w:spacing w:val="-1"/>
        </w:rPr>
        <w:t>中度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风险患者，建议使用非选择性</w:t>
      </w:r>
      <w:r>
        <w:rPr>
          <w:sz w:val="20"/>
          <w:szCs w:val="20"/>
        </w:rPr>
        <w:t>NSAID</w:t>
      </w:r>
      <w:r>
        <w:rPr>
          <w:rFonts w:ascii="SimSun" w:hAnsi="SimSun" w:eastAsia="SimSun" w:cs="SimSun"/>
          <w:sz w:val="20"/>
          <w:szCs w:val="20"/>
          <w:spacing w:val="3"/>
        </w:rPr>
        <w:t>联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合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sz w:val="20"/>
          <w:szCs w:val="20"/>
        </w:rPr>
        <w:t>PPI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或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选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择性环氧合酶-2抑制剂单药治疗；对于</w:t>
      </w:r>
      <w:r>
        <w:rPr>
          <w:sz w:val="22"/>
          <w:szCs w:val="22"/>
          <w:spacing w:val="-6"/>
        </w:rPr>
        <w:t>PU </w:t>
      </w:r>
      <w:r>
        <w:rPr>
          <w:rFonts w:ascii="SimSun" w:hAnsi="SimSun" w:eastAsia="SimSun" w:cs="SimSun"/>
          <w:sz w:val="22"/>
          <w:szCs w:val="22"/>
          <w:spacing w:val="-6"/>
        </w:rPr>
        <w:t>高风险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4"/>
        </w:rPr>
        <w:t>患者，需要使用选择性环氧合酶-2 抑制剂联合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sz w:val="22"/>
          <w:szCs w:val="22"/>
          <w:spacing w:val="-2"/>
        </w:rPr>
        <w:t>PPI³7]</w:t>
      </w:r>
      <w:r>
        <w:rPr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  <w:r>
        <w:rPr>
          <w:sz w:val="22"/>
          <w:szCs w:val="22"/>
          <w:spacing w:val="-2"/>
        </w:rPr>
        <w:t>P-CAB</w:t>
      </w:r>
      <w:r>
        <w:rPr>
          <w:rFonts w:ascii="SimSun" w:hAnsi="SimSun" w:eastAsia="SimSun" w:cs="SimSun"/>
          <w:sz w:val="22"/>
          <w:szCs w:val="22"/>
          <w:spacing w:val="-2"/>
        </w:rPr>
        <w:t>亦可作为</w:t>
      </w:r>
      <w:r>
        <w:rPr>
          <w:sz w:val="22"/>
          <w:szCs w:val="22"/>
          <w:spacing w:val="-2"/>
        </w:rPr>
        <w:t>NSAID</w:t>
      </w:r>
      <w:r>
        <w:rPr>
          <w:rFonts w:ascii="SimSun" w:hAnsi="SimSun" w:eastAsia="SimSun" w:cs="SimSun"/>
          <w:sz w:val="22"/>
          <w:szCs w:val="22"/>
          <w:spacing w:val="-2"/>
        </w:rPr>
        <w:t>导致的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sz w:val="22"/>
          <w:szCs w:val="22"/>
          <w:spacing w:val="-2"/>
        </w:rPr>
        <w:t>PU</w:t>
      </w:r>
      <w:r>
        <w:rPr>
          <w:rFonts w:ascii="SimSun" w:hAnsi="SimSun" w:eastAsia="SimSun" w:cs="SimSun"/>
          <w:sz w:val="22"/>
          <w:szCs w:val="22"/>
          <w:spacing w:val="-2"/>
        </w:rPr>
        <w:t>的二线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9"/>
        </w:rPr>
        <w:t>预防药物[151]。</w:t>
      </w:r>
    </w:p>
    <w:p>
      <w:pPr>
        <w:pStyle w:val="BodyText"/>
        <w:ind w:left="2" w:right="105" w:firstLine="420"/>
        <w:spacing w:before="174" w:line="27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陈述9.3:应用</w:t>
      </w:r>
      <w:r>
        <w:rPr>
          <w:sz w:val="20"/>
          <w:szCs w:val="20"/>
          <w:b/>
          <w:bCs/>
        </w:rPr>
        <w:t>PPI</w:t>
      </w:r>
      <w:r>
        <w:rPr>
          <w:sz w:val="20"/>
          <w:szCs w:val="20"/>
          <w:b/>
          <w:bCs/>
          <w:spacing w:val="48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或</w:t>
      </w:r>
      <w:r>
        <w:rPr>
          <w:rFonts w:ascii="SimHei" w:hAnsi="SimHei" w:eastAsia="SimHei" w:cs="SimHei"/>
          <w:sz w:val="20"/>
          <w:szCs w:val="20"/>
          <w:spacing w:val="-41"/>
        </w:rPr>
        <w:t xml:space="preserve"> </w:t>
      </w:r>
      <w:r>
        <w:rPr>
          <w:sz w:val="20"/>
          <w:szCs w:val="20"/>
          <w:b/>
          <w:bCs/>
          <w:spacing w:val="10"/>
        </w:rPr>
        <w:t>P-</w:t>
      </w:r>
      <w:r>
        <w:rPr>
          <w:sz w:val="20"/>
          <w:szCs w:val="20"/>
          <w:b/>
          <w:bCs/>
        </w:rPr>
        <w:t>CAB</w:t>
      </w:r>
      <w:r>
        <w:rPr>
          <w:sz w:val="20"/>
          <w:szCs w:val="20"/>
          <w:b/>
          <w:bCs/>
          <w:spacing w:val="27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10"/>
        </w:rPr>
        <w:t>等抑酸剂可降低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阿司匹林相关</w:t>
      </w:r>
      <w:r>
        <w:rPr>
          <w:sz w:val="20"/>
          <w:szCs w:val="20"/>
          <w:b/>
          <w:bCs/>
        </w:rPr>
        <w:t>PU</w:t>
      </w:r>
      <w:r>
        <w:rPr>
          <w:sz w:val="20"/>
          <w:szCs w:val="20"/>
          <w:b/>
          <w:bCs/>
          <w:spacing w:val="33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9"/>
        </w:rPr>
        <w:t>和出血风险。</w:t>
      </w:r>
    </w:p>
    <w:p>
      <w:pPr>
        <w:pStyle w:val="BodyText"/>
        <w:ind w:right="99" w:firstLine="420"/>
        <w:spacing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2"/>
          <w:szCs w:val="22"/>
          <w:spacing w:val="8"/>
        </w:rPr>
        <w:t>证据质量：</w:t>
      </w:r>
      <w:r>
        <w:rPr>
          <w:sz w:val="22"/>
          <w:szCs w:val="22"/>
          <w:spacing w:val="8"/>
        </w:rPr>
        <w:t>A; </w:t>
      </w:r>
      <w:r>
        <w:rPr>
          <w:rFonts w:ascii="SimSun" w:hAnsi="SimSun" w:eastAsia="SimSun" w:cs="SimSun"/>
          <w:sz w:val="22"/>
          <w:szCs w:val="22"/>
          <w:spacing w:val="8"/>
        </w:rPr>
        <w:t>推荐强度：强推荐；共识水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平：91.30%</w:t>
      </w:r>
    </w:p>
    <w:p>
      <w:pPr>
        <w:pStyle w:val="BodyText"/>
        <w:ind w:right="9" w:firstLine="420"/>
        <w:spacing w:before="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在临床实践中，</w:t>
      </w:r>
      <w:r>
        <w:rPr>
          <w:sz w:val="20"/>
          <w:szCs w:val="20"/>
        </w:rPr>
        <w:t>LDA</w:t>
      </w:r>
      <w:r>
        <w:rPr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常被用于保护心脑血管。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LDA</w:t>
      </w:r>
      <w:r>
        <w:rPr>
          <w:rFonts w:ascii="SimSun" w:hAnsi="SimSun" w:eastAsia="SimSun" w:cs="SimSun"/>
          <w:sz w:val="20"/>
          <w:szCs w:val="20"/>
          <w:spacing w:val="6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0"/>
        </w:rPr>
        <w:t>缺乏全身抗炎作用，故其不良反应与其他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  <w:spacing w:val="-4"/>
        </w:rPr>
        <w:t>NSAID</w:t>
      </w:r>
      <w:r>
        <w:rPr>
          <w:rFonts w:ascii="SimSun" w:hAnsi="SimSun" w:eastAsia="SimSun" w:cs="SimSun"/>
          <w:sz w:val="20"/>
          <w:szCs w:val="20"/>
          <w:spacing w:val="-4"/>
        </w:rPr>
        <w:t>不同[152-153]。多项研究结果显示，东亚人即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0"/>
        </w:rPr>
        <w:t>使在进行低剂量抗血小板治疗(如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sz w:val="20"/>
          <w:szCs w:val="20"/>
        </w:rPr>
        <w:t>LDA</w:t>
      </w:r>
      <w:r>
        <w:rPr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的初级预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防)时，也会表现出更高的消化道出血倾向[154-1553,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这可能与</w:t>
      </w:r>
      <w:r>
        <w:rPr>
          <w:sz w:val="20"/>
          <w:szCs w:val="20"/>
          <w:spacing w:val="9"/>
        </w:rPr>
        <w:t>H.</w:t>
      </w:r>
      <w:r>
        <w:rPr>
          <w:sz w:val="20"/>
          <w:szCs w:val="20"/>
        </w:rPr>
        <w:t>pylori</w:t>
      </w:r>
      <w:r>
        <w:rPr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高感染率和细胞色素</w:t>
      </w:r>
      <w:r>
        <w:rPr>
          <w:sz w:val="20"/>
          <w:szCs w:val="20"/>
          <w:spacing w:val="9"/>
        </w:rPr>
        <w:t>P450</w:t>
      </w:r>
      <w:r>
        <w:rPr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多态性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的遗传差异有关。有研究发现，在H.pylori根除后重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新开始服用阿司匹林的患者中，</w:t>
      </w:r>
      <w:r>
        <w:rPr>
          <w:sz w:val="20"/>
          <w:szCs w:val="20"/>
        </w:rPr>
        <w:t>PU</w:t>
      </w:r>
      <w:r>
        <w:rPr>
          <w:rFonts w:ascii="SimSun" w:hAnsi="SimSun" w:eastAsia="SimSun" w:cs="SimSun"/>
          <w:sz w:val="20"/>
          <w:szCs w:val="20"/>
          <w:spacing w:val="7"/>
        </w:rPr>
        <w:t>出血复发者的比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例与之前使用</w:t>
      </w:r>
      <w:r>
        <w:rPr>
          <w:sz w:val="20"/>
          <w:szCs w:val="20"/>
        </w:rPr>
        <w:t>LDA</w:t>
      </w:r>
      <w:r>
        <w:rPr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而未出血者近似[156]。因此</w:t>
      </w:r>
      <w:r>
        <w:rPr>
          <w:rFonts w:ascii="SimSun" w:hAnsi="SimSun" w:eastAsia="SimSun" w:cs="SimSun"/>
          <w:sz w:val="20"/>
          <w:szCs w:val="20"/>
          <w:spacing w:val="1"/>
        </w:rPr>
        <w:t>，建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6"/>
        </w:rPr>
        <w:t>议对于阿司匹林相关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sz w:val="20"/>
          <w:szCs w:val="20"/>
        </w:rPr>
        <w:t>PU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出血的患者进行</w:t>
      </w:r>
      <w:r>
        <w:rPr>
          <w:sz w:val="20"/>
          <w:szCs w:val="20"/>
          <w:spacing w:val="16"/>
        </w:rPr>
        <w:t>H.</w:t>
      </w:r>
      <w:r>
        <w:rPr>
          <w:sz w:val="20"/>
          <w:szCs w:val="20"/>
        </w:rPr>
        <w:t>pylori    </w:t>
      </w:r>
      <w:r>
        <w:rPr>
          <w:rFonts w:ascii="SimSun" w:hAnsi="SimSun" w:eastAsia="SimSun" w:cs="SimSun"/>
          <w:sz w:val="20"/>
          <w:szCs w:val="20"/>
          <w:spacing w:val="3"/>
        </w:rPr>
        <w:t>根除治疗，以降低出血复发的风险[45]。研究显示，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相比对照组，同时使用</w:t>
      </w:r>
      <w:r>
        <w:rPr>
          <w:rFonts w:ascii="SimSun" w:hAnsi="SimSun" w:eastAsia="SimSun" w:cs="SimSun"/>
          <w:sz w:val="20"/>
          <w:szCs w:val="20"/>
        </w:rPr>
        <w:t>PPI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和阿司匹林可使患者的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  <w:spacing w:val="-9"/>
        </w:rPr>
        <w:t>PU</w:t>
      </w:r>
      <w:r>
        <w:rPr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发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生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率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和 </w:t>
      </w:r>
      <w:r>
        <w:rPr>
          <w:sz w:val="20"/>
          <w:szCs w:val="20"/>
          <w:spacing w:val="-9"/>
        </w:rPr>
        <w:t>PU  </w:t>
      </w:r>
      <w:r>
        <w:rPr>
          <w:rFonts w:ascii="SimSun" w:hAnsi="SimSun" w:eastAsia="SimSun" w:cs="SimSun"/>
          <w:sz w:val="20"/>
          <w:szCs w:val="20"/>
          <w:spacing w:val="-9"/>
        </w:rPr>
        <w:t>出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血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发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生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率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分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别 降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低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8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3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%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78%[157】;对于接受</w:t>
      </w:r>
      <w:r>
        <w:rPr>
          <w:sz w:val="20"/>
          <w:szCs w:val="20"/>
          <w:spacing w:val="-1"/>
        </w:rPr>
        <w:t>LDA </w:t>
      </w:r>
      <w:r>
        <w:rPr>
          <w:rFonts w:ascii="SimSun" w:hAnsi="SimSun" w:eastAsia="SimSun" w:cs="SimSun"/>
          <w:sz w:val="20"/>
          <w:szCs w:val="20"/>
          <w:spacing w:val="-1"/>
        </w:rPr>
        <w:t>治疗的患者，</w:t>
      </w:r>
      <w:r>
        <w:rPr>
          <w:sz w:val="20"/>
          <w:szCs w:val="20"/>
          <w:spacing w:val="-1"/>
        </w:rPr>
        <w:t>PPI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在预防上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1"/>
        </w:rPr>
        <w:t>消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化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道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糜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烂 、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溃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疡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和 出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血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事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件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方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面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均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优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于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sz w:val="20"/>
          <w:szCs w:val="20"/>
          <w:spacing w:val="10"/>
        </w:rPr>
        <w:t>H₂</w:t>
      </w:r>
      <w:r>
        <w:rPr>
          <w:sz w:val="20"/>
          <w:szCs w:val="20"/>
        </w:rPr>
        <w:t>RA</w:t>
      </w:r>
      <w:r>
        <w:rPr>
          <w:sz w:val="20"/>
          <w:szCs w:val="20"/>
          <w:spacing w:val="10"/>
        </w:rPr>
        <w:t>158</w:t>
      </w:r>
      <w:r>
        <w:rPr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。</w:t>
      </w:r>
      <w:r>
        <w:rPr>
          <w:sz w:val="20"/>
          <w:szCs w:val="20"/>
        </w:rPr>
        <w:t>LDA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联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合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</w:rPr>
        <w:t>PPI</w:t>
      </w:r>
      <w:r>
        <w:rPr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治疗既可预防心血管事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8"/>
        </w:rPr>
        <w:t>件发生，也可降低阿司匹林相关 </w:t>
      </w:r>
      <w:r>
        <w:rPr>
          <w:sz w:val="20"/>
          <w:szCs w:val="20"/>
        </w:rPr>
        <w:t>PU</w:t>
      </w:r>
      <w:r>
        <w:rPr>
          <w:sz w:val="20"/>
          <w:szCs w:val="20"/>
          <w:spacing w:val="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和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出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血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风</w:t>
      </w:r>
    </w:p>
    <w:p>
      <w:pPr>
        <w:spacing w:line="286" w:lineRule="auto"/>
        <w:sectPr>
          <w:type w:val="continuous"/>
          <w:pgSz w:w="10720" w:h="15880"/>
          <w:pgMar w:top="791" w:right="459" w:bottom="0" w:left="490" w:header="483" w:footer="0" w:gutter="0"/>
          <w:cols w:equalWidth="0" w:num="2">
            <w:col w:w="4960" w:space="100"/>
            <w:col w:w="471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before="179" w:line="228" w:lineRule="auto"/>
        <w:tabs>
          <w:tab w:val="left" w:pos="242"/>
        </w:tabs>
        <w:rPr>
          <w:sz w:val="15"/>
          <w:szCs w:val="15"/>
        </w:rPr>
      </w:pPr>
      <w:r>
        <w:rPr>
          <w:sz w:val="26"/>
          <w:szCs w:val="26"/>
          <w:u w:val="dotted" w:color="auto"/>
          <w:position w:val="-8"/>
        </w:rPr>
        <w:tab/>
      </w:r>
      <w:r>
        <w:rPr>
          <w:sz w:val="26"/>
          <w:szCs w:val="26"/>
          <w:spacing w:val="-38"/>
          <w:position w:val="-8"/>
        </w:rPr>
        <w:t xml:space="preserve"> </w:t>
      </w:r>
      <w:r>
        <w:rPr>
          <w:sz w:val="26"/>
          <w:szCs w:val="26"/>
          <w:spacing w:val="15"/>
          <w:position w:val="-8"/>
        </w:rPr>
        <w:t>186</w:t>
      </w:r>
      <w:r>
        <w:rPr>
          <w:sz w:val="26"/>
          <w:szCs w:val="26"/>
          <w:u w:val="dotted" w:color="auto"/>
          <w:spacing w:val="15"/>
          <w:position w:val="-8"/>
        </w:rPr>
        <w:t xml:space="preserve">   </w:t>
      </w:r>
      <w:r>
        <w:rPr>
          <w:sz w:val="26"/>
          <w:szCs w:val="26"/>
          <w:spacing w:val="1"/>
          <w:position w:val="-8"/>
        </w:rPr>
        <w:t xml:space="preserve">                        </w:t>
      </w:r>
      <w:r>
        <w:rPr>
          <w:sz w:val="26"/>
          <w:szCs w:val="26"/>
          <w:position w:val="-8"/>
        </w:rPr>
        <w:t xml:space="preserve">                         </w:t>
      </w:r>
      <w:r>
        <w:rPr>
          <w:sz w:val="26"/>
          <w:szCs w:val="26"/>
          <w:strike/>
          <w:spacing w:val="-44"/>
          <w:position w:val="-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5"/>
          <w:position w:val="1"/>
        </w:rPr>
        <w:t>中华消化杂志</w:t>
      </w:r>
      <w:r>
        <w:rPr>
          <w:sz w:val="15"/>
          <w:szCs w:val="15"/>
          <w:spacing w:val="15"/>
          <w:position w:val="1"/>
        </w:rPr>
        <w:t>2023</w:t>
      </w:r>
      <w:r>
        <w:rPr>
          <w:rFonts w:ascii="SimSun" w:hAnsi="SimSun" w:eastAsia="SimSun" w:cs="SimSun"/>
          <w:sz w:val="15"/>
          <w:szCs w:val="15"/>
          <w:spacing w:val="15"/>
          <w:position w:val="1"/>
        </w:rPr>
        <w:t>年</w:t>
      </w:r>
      <w:r>
        <w:rPr>
          <w:sz w:val="15"/>
          <w:szCs w:val="15"/>
          <w:spacing w:val="15"/>
          <w:position w:val="1"/>
        </w:rPr>
        <w:t>3</w:t>
      </w:r>
      <w:r>
        <w:rPr>
          <w:rFonts w:ascii="SimSun" w:hAnsi="SimSun" w:eastAsia="SimSun" w:cs="SimSun"/>
          <w:sz w:val="15"/>
          <w:szCs w:val="15"/>
          <w:spacing w:val="15"/>
          <w:position w:val="1"/>
        </w:rPr>
        <w:t>月第</w:t>
      </w:r>
      <w:r>
        <w:rPr>
          <w:sz w:val="15"/>
          <w:szCs w:val="15"/>
          <w:spacing w:val="15"/>
          <w:position w:val="1"/>
        </w:rPr>
        <w:t>43</w:t>
      </w:r>
      <w:r>
        <w:rPr>
          <w:rFonts w:ascii="SimSun" w:hAnsi="SimSun" w:eastAsia="SimSun" w:cs="SimSun"/>
          <w:sz w:val="15"/>
          <w:szCs w:val="15"/>
          <w:spacing w:val="15"/>
          <w:position w:val="1"/>
        </w:rPr>
        <w:t>卷第</w:t>
      </w:r>
      <w:r>
        <w:rPr>
          <w:sz w:val="15"/>
          <w:szCs w:val="15"/>
          <w:spacing w:val="15"/>
          <w:position w:val="1"/>
        </w:rPr>
        <w:t>3</w:t>
      </w:r>
      <w:r>
        <w:rPr>
          <w:rFonts w:ascii="SimSun" w:hAnsi="SimSun" w:eastAsia="SimSun" w:cs="SimSun"/>
          <w:sz w:val="15"/>
          <w:szCs w:val="15"/>
          <w:spacing w:val="15"/>
          <w:position w:val="1"/>
        </w:rPr>
        <w:t>期</w:t>
      </w:r>
      <w:r>
        <w:rPr>
          <w:sz w:val="15"/>
          <w:szCs w:val="15"/>
          <w:position w:val="1"/>
        </w:rPr>
        <w:t>Chin</w:t>
      </w:r>
      <w:r>
        <w:rPr>
          <w:sz w:val="15"/>
          <w:szCs w:val="15"/>
          <w:strike/>
          <w:spacing w:val="15"/>
          <w:position w:val="1"/>
        </w:rPr>
        <w:t xml:space="preserve">  </w:t>
      </w:r>
      <w:r>
        <w:rPr>
          <w:sz w:val="15"/>
          <w:szCs w:val="15"/>
          <w:position w:val="1"/>
        </w:rPr>
        <w:t>J</w:t>
      </w:r>
      <w:r>
        <w:rPr>
          <w:sz w:val="15"/>
          <w:szCs w:val="15"/>
          <w:strike/>
          <w:position w:val="1"/>
        </w:rPr>
        <w:t>Dig</w:t>
      </w:r>
      <w:r>
        <w:rPr>
          <w:sz w:val="15"/>
          <w:szCs w:val="15"/>
          <w:strike/>
          <w:spacing w:val="15"/>
          <w:position w:val="1"/>
        </w:rPr>
        <w:t>,</w:t>
      </w:r>
      <w:r>
        <w:rPr>
          <w:sz w:val="15"/>
          <w:szCs w:val="15"/>
          <w:position w:val="1"/>
        </w:rPr>
        <w:t>March</w:t>
      </w:r>
      <w:r>
        <w:rPr>
          <w:sz w:val="15"/>
          <w:szCs w:val="15"/>
          <w:strike/>
          <w:spacing w:val="15"/>
          <w:position w:val="1"/>
        </w:rPr>
        <w:t xml:space="preserve"> </w:t>
      </w:r>
      <w:r>
        <w:rPr>
          <w:sz w:val="15"/>
          <w:szCs w:val="15"/>
          <w:strike/>
          <w:spacing w:val="14"/>
          <w:position w:val="1"/>
        </w:rPr>
        <w:t xml:space="preserve"> 2023,</w:t>
      </w:r>
      <w:r>
        <w:rPr>
          <w:sz w:val="15"/>
          <w:szCs w:val="15"/>
          <w:position w:val="1"/>
        </w:rPr>
        <w:t>Vol</w:t>
      </w:r>
      <w:r>
        <w:rPr>
          <w:sz w:val="15"/>
          <w:szCs w:val="15"/>
          <w:strike/>
          <w:spacing w:val="-7"/>
          <w:position w:val="1"/>
        </w:rPr>
        <w:t xml:space="preserve"> </w:t>
      </w:r>
      <w:r>
        <w:rPr>
          <w:sz w:val="15"/>
          <w:szCs w:val="15"/>
          <w:spacing w:val="14"/>
          <w:position w:val="1"/>
        </w:rPr>
        <w:t>.</w:t>
      </w:r>
      <w:r>
        <w:rPr>
          <w:sz w:val="15"/>
          <w:szCs w:val="15"/>
          <w:strike/>
          <w:spacing w:val="-15"/>
          <w:position w:val="1"/>
        </w:rPr>
        <w:t xml:space="preserve"> </w:t>
      </w:r>
      <w:r>
        <w:rPr>
          <w:sz w:val="15"/>
          <w:szCs w:val="15"/>
          <w:strike/>
          <w:spacing w:val="14"/>
          <w:position w:val="1"/>
        </w:rPr>
        <w:t>43,</w:t>
      </w:r>
      <w:r>
        <w:rPr>
          <w:sz w:val="15"/>
          <w:szCs w:val="15"/>
          <w:position w:val="1"/>
        </w:rPr>
        <w:t>No</w:t>
      </w:r>
      <w:r>
        <w:rPr>
          <w:sz w:val="15"/>
          <w:szCs w:val="15"/>
          <w:strike/>
          <w:spacing w:val="-7"/>
          <w:position w:val="1"/>
        </w:rPr>
        <w:t xml:space="preserve"> </w:t>
      </w:r>
      <w:r>
        <w:rPr>
          <w:sz w:val="15"/>
          <w:szCs w:val="15"/>
          <w:spacing w:val="14"/>
          <w:position w:val="1"/>
        </w:rPr>
        <w:t>.</w:t>
      </w:r>
      <w:r>
        <w:rPr>
          <w:sz w:val="15"/>
          <w:szCs w:val="15"/>
          <w:strike/>
          <w:spacing w:val="-12"/>
          <w:position w:val="1"/>
        </w:rPr>
        <w:t xml:space="preserve"> </w:t>
      </w:r>
      <w:r>
        <w:rPr>
          <w:sz w:val="15"/>
          <w:szCs w:val="15"/>
          <w:spacing w:val="14"/>
          <w:position w:val="1"/>
        </w:rPr>
        <w:t>3</w:t>
      </w:r>
    </w:p>
    <w:p>
      <w:pPr>
        <w:spacing w:line="222" w:lineRule="exact"/>
        <w:rPr/>
      </w:pPr>
      <w:r/>
    </w:p>
    <w:p>
      <w:pPr>
        <w:spacing w:line="222" w:lineRule="exact"/>
        <w:sectPr>
          <w:headerReference w:type="default" r:id="rId6"/>
          <w:pgSz w:w="10720" w:h="15880"/>
          <w:pgMar w:top="400" w:right="529" w:bottom="0" w:left="509" w:header="0" w:footer="0" w:gutter="0"/>
          <w:cols w:equalWidth="0" w:num="1">
            <w:col w:w="9681" w:space="0"/>
          </w:cols>
        </w:sectPr>
        <w:rPr/>
      </w:pPr>
    </w:p>
    <w:p>
      <w:pPr>
        <w:pStyle w:val="BodyText"/>
        <w:ind w:right="352"/>
        <w:spacing w:before="44" w:line="288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21"/>
          <w:szCs w:val="21"/>
          <w:spacing w:val="-6"/>
        </w:rPr>
        <w:t>险[159]。</w:t>
      </w:r>
      <w:r>
        <w:rPr>
          <w:sz w:val="21"/>
          <w:szCs w:val="21"/>
          <w:spacing w:val="-6"/>
        </w:rPr>
        <w:t>P-CAB</w:t>
      </w:r>
      <w:r>
        <w:rPr>
          <w:rFonts w:ascii="SimSun" w:hAnsi="SimSun" w:eastAsia="SimSun" w:cs="SimSun"/>
          <w:sz w:val="21"/>
          <w:szCs w:val="21"/>
          <w:spacing w:val="-6"/>
        </w:rPr>
        <w:t>不会影响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sz w:val="21"/>
          <w:szCs w:val="21"/>
          <w:spacing w:val="-6"/>
        </w:rPr>
        <w:t>LDA</w:t>
      </w:r>
      <w:r>
        <w:rPr>
          <w:rFonts w:ascii="SimSun" w:hAnsi="SimSun" w:eastAsia="SimSun" w:cs="SimSun"/>
          <w:sz w:val="21"/>
          <w:szCs w:val="21"/>
          <w:spacing w:val="-6"/>
        </w:rPr>
        <w:t>对花生四烯酸诱导的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抗血小板聚集作用[160],其与</w:t>
      </w:r>
      <w:r>
        <w:rPr>
          <w:sz w:val="21"/>
          <w:szCs w:val="21"/>
          <w:spacing w:val="-4"/>
        </w:rPr>
        <w:t>LDA</w:t>
      </w:r>
      <w:r>
        <w:rPr>
          <w:rFonts w:ascii="SimSun" w:hAnsi="SimSun" w:eastAsia="SimSun" w:cs="SimSun"/>
          <w:sz w:val="21"/>
          <w:szCs w:val="21"/>
          <w:spacing w:val="-4"/>
        </w:rPr>
        <w:t>或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sz w:val="21"/>
          <w:szCs w:val="21"/>
          <w:spacing w:val="-4"/>
        </w:rPr>
        <w:t>NSAID</w:t>
      </w:r>
      <w:r>
        <w:rPr>
          <w:rFonts w:ascii="SimSun" w:hAnsi="SimSun" w:eastAsia="SimSun" w:cs="SimSun"/>
          <w:sz w:val="21"/>
          <w:szCs w:val="21"/>
          <w:spacing w:val="-4"/>
        </w:rPr>
        <w:t>一起使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用耐受性良好，且预防作用与</w:t>
      </w:r>
      <w:r>
        <w:rPr>
          <w:sz w:val="21"/>
          <w:szCs w:val="21"/>
          <w:spacing w:val="-8"/>
        </w:rPr>
        <w:t>PPI</w:t>
      </w:r>
      <w:r>
        <w:rPr>
          <w:sz w:val="21"/>
          <w:szCs w:val="21"/>
          <w:spacing w:val="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相当，因此，可以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将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sz w:val="21"/>
          <w:szCs w:val="21"/>
        </w:rPr>
        <w:t>LDA</w:t>
      </w:r>
      <w:r>
        <w:rPr>
          <w:rFonts w:ascii="SimSun" w:hAnsi="SimSun" w:eastAsia="SimSun" w:cs="SimSun"/>
          <w:sz w:val="21"/>
          <w:szCs w:val="21"/>
          <w:spacing w:val="6"/>
        </w:rPr>
        <w:t>联合</w:t>
      </w:r>
      <w:r>
        <w:rPr>
          <w:sz w:val="21"/>
          <w:szCs w:val="21"/>
          <w:spacing w:val="6"/>
        </w:rPr>
        <w:t>P-</w:t>
      </w:r>
      <w:r>
        <w:rPr>
          <w:sz w:val="21"/>
          <w:szCs w:val="21"/>
        </w:rPr>
        <w:t>CAB</w:t>
      </w:r>
      <w:r>
        <w:rPr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治疗用于预防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sz w:val="21"/>
          <w:szCs w:val="21"/>
        </w:rPr>
        <w:t>PU</w:t>
      </w:r>
      <w:r>
        <w:rPr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及其相关并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发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症 。</w:t>
      </w:r>
    </w:p>
    <w:p>
      <w:pPr>
        <w:ind w:left="2" w:right="383" w:firstLine="400"/>
        <w:spacing w:before="10" w:line="279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6"/>
        </w:rPr>
        <w:t>陈述9.4:关于胃溃疡是否会并发癌变仍有争</w:t>
      </w:r>
      <w:r>
        <w:rPr>
          <w:rFonts w:ascii="SimHei" w:hAnsi="SimHei" w:eastAsia="SimHei" w:cs="SimHei"/>
          <w:sz w:val="21"/>
          <w:szCs w:val="21"/>
          <w:spacing w:val="10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9"/>
        </w:rPr>
        <w:t>议，建议对患者定期进行内镜随访。</w:t>
      </w:r>
    </w:p>
    <w:p>
      <w:pPr>
        <w:pStyle w:val="BodyText"/>
        <w:ind w:right="400" w:firstLine="400"/>
        <w:spacing w:before="4" w:line="2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证据质量：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sz w:val="21"/>
          <w:szCs w:val="21"/>
          <w:spacing w:val="12"/>
        </w:rPr>
        <w:t>C;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推荐强度：强推荐；共识水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平：86.96%</w:t>
      </w:r>
    </w:p>
    <w:p>
      <w:pPr>
        <w:pStyle w:val="BodyText"/>
        <w:ind w:right="265" w:firstLine="400"/>
        <w:spacing w:before="4" w:line="287" w:lineRule="auto"/>
        <w:rPr>
          <w:rFonts w:ascii="SimSun" w:hAnsi="SimSun" w:eastAsia="SimSun" w:cs="SimSun"/>
          <w:sz w:val="15"/>
          <w:szCs w:val="15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1612897</wp:posOffset>
            </wp:positionH>
            <wp:positionV relativeFrom="paragraph">
              <wp:posOffset>556729</wp:posOffset>
            </wp:positionV>
            <wp:extent cx="2901977" cy="277486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1977" cy="277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1"/>
          <w:szCs w:val="21"/>
          <w:spacing w:val="-3"/>
        </w:rPr>
        <w:t>关于胃溃疡是否会并发癌变尚存争议，建议对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患者进行重复内镜检查和活检。内镜随访可帮助判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断患者是否存在继发因素或尚未发现的恶性肿瘤，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排除内镜下为良性外观的恶性溃疡。内镜随访的最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佳间隔时间仍有待商榷。由于恶性溃疡也可以在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sz w:val="21"/>
          <w:szCs w:val="21"/>
          <w:spacing w:val="-7"/>
        </w:rPr>
        <w:t>PPI</w:t>
      </w:r>
      <w:r>
        <w:rPr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治疗后暂时愈合，因此，活检时建议从任何可见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的瘢痕组织或愈合溃疡底部进行取样，以获得足够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8"/>
        </w:rPr>
        <w:t>含 黏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膜 下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层 的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组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织 ，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在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早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期</w:t>
      </w:r>
      <w:r>
        <w:rPr>
          <w:rFonts w:ascii="SimSun" w:hAnsi="SimSun" w:eastAsia="SimSun" w:cs="SimSun"/>
          <w:sz w:val="15"/>
          <w:szCs w:val="15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阶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段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发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现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恶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性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肿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瘤 </w:t>
      </w:r>
      <w:r>
        <w:rPr>
          <w:rFonts w:ascii="SimSun" w:hAnsi="SimSun" w:eastAsia="SimSun" w:cs="SimSun"/>
          <w:sz w:val="15"/>
          <w:szCs w:val="15"/>
          <w:spacing w:val="-9"/>
        </w:rPr>
        <w:t>1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6 1 。</w:t>
      </w:r>
      <w:r>
        <w:rPr>
          <w:rFonts w:ascii="SimSun" w:hAnsi="SimSun" w:eastAsia="SimSun" w:cs="SimSun"/>
          <w:sz w:val="15"/>
          <w:szCs w:val="15"/>
        </w:rPr>
        <w:t xml:space="preserve">  </w:t>
      </w:r>
      <w:r>
        <w:rPr>
          <w:rFonts w:ascii="SimHei" w:hAnsi="SimHei" w:eastAsia="SimHei" w:cs="SimHei"/>
          <w:sz w:val="15"/>
          <w:szCs w:val="15"/>
          <w:b/>
          <w:bCs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spacing w:val="8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专家组所有成员声明不存在利益冲突</w:t>
      </w:r>
    </w:p>
    <w:p>
      <w:pPr>
        <w:ind w:left="2"/>
        <w:spacing w:before="18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spacing w:val="9"/>
        </w:rPr>
        <w:t>执笔者</w:t>
      </w:r>
      <w:r>
        <w:rPr>
          <w:rFonts w:ascii="SimSun" w:hAnsi="SimSun" w:eastAsia="SimSun" w:cs="SimSun"/>
          <w:sz w:val="15"/>
          <w:szCs w:val="15"/>
          <w:b/>
          <w:bCs/>
          <w:spacing w:val="9"/>
        </w:rPr>
        <w:t>：</w:t>
      </w:r>
      <w:r>
        <w:rPr>
          <w:rFonts w:ascii="SimSun" w:hAnsi="SimSun" w:eastAsia="SimSun" w:cs="SimSun"/>
          <w:sz w:val="15"/>
          <w:szCs w:val="15"/>
          <w:spacing w:val="9"/>
        </w:rPr>
        <w:t>张敏敏(上海交通大学医学院附属</w:t>
      </w:r>
      <w:r>
        <w:rPr>
          <w:rFonts w:ascii="SimSun" w:hAnsi="SimSun" w:eastAsia="SimSun" w:cs="SimSun"/>
          <w:sz w:val="15"/>
          <w:szCs w:val="15"/>
          <w:spacing w:val="8"/>
        </w:rPr>
        <w:t>瑞金医院消化内科)</w:t>
      </w:r>
    </w:p>
    <w:p>
      <w:pPr>
        <w:pStyle w:val="BodyText"/>
        <w:ind w:right="273"/>
        <w:spacing w:before="110" w:line="33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1"/>
        </w:rPr>
        <w:t>专家组成员(按姓氏汉语拼音排序)</w:t>
      </w:r>
      <w:r>
        <w:rPr>
          <w:sz w:val="15"/>
          <w:szCs w:val="15"/>
          <w:spacing w:val="11"/>
        </w:rPr>
        <w:t>: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1"/>
        </w:rPr>
        <w:t>柏愚[海军军医大学第</w:t>
      </w:r>
      <w:r>
        <w:rPr>
          <w:rFonts w:ascii="SimSun" w:hAnsi="SimSun" w:eastAsia="SimSun" w:cs="SimSun"/>
          <w:sz w:val="15"/>
          <w:szCs w:val="15"/>
          <w:spacing w:val="10"/>
        </w:rPr>
        <w:t>一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0"/>
        </w:rPr>
        <w:t>附属</w:t>
      </w:r>
      <w:r>
        <w:rPr>
          <w:rFonts w:ascii="SimSun" w:hAnsi="SimSun" w:eastAsia="SimSun" w:cs="SimSun"/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0"/>
        </w:rPr>
        <w:t>医院(上海长海医院)消化内科],陈卫昌(苏州大学附属第  医院消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0"/>
        </w:rPr>
        <w:t>化内科),房静远(上海交通大学医学院附属仁济医院消化内科),郝</w:t>
      </w:r>
      <w:r>
        <w:rPr>
          <w:rFonts w:ascii="SimSun" w:hAnsi="SimSun" w:eastAsia="SimSun" w:cs="SimSun"/>
          <w:sz w:val="15"/>
          <w:szCs w:val="15"/>
          <w:spacing w:val="6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3"/>
        </w:rPr>
        <w:t>建宇(首都医科大学附属北京朝阳医院消化内科),霍丽娟(山西医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1"/>
        </w:rPr>
        <w:t>科大学第一临床医院消化内科),李景南(中国医学科学院</w:t>
      </w:r>
      <w:r>
        <w:rPr>
          <w:rFonts w:ascii="SimSun" w:hAnsi="SimSun" w:eastAsia="SimSun" w:cs="SimSun"/>
          <w:sz w:val="15"/>
          <w:szCs w:val="15"/>
          <w:spacing w:val="10"/>
        </w:rPr>
        <w:t>北京协和</w:t>
      </w:r>
      <w:r>
        <w:rPr>
          <w:rFonts w:ascii="SimSun" w:hAnsi="SimSun" w:eastAsia="SimSun" w:cs="SimSun"/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1"/>
        </w:rPr>
        <w:t>医学院北京协和医院消化内科),李鹏(首都医</w:t>
      </w:r>
      <w:r>
        <w:rPr>
          <w:rFonts w:ascii="SimSun" w:hAnsi="SimSun" w:eastAsia="SimSun" w:cs="SimSun"/>
          <w:sz w:val="15"/>
          <w:szCs w:val="15"/>
          <w:spacing w:val="10"/>
        </w:rPr>
        <w:t>科大学附属北京友谊</w:t>
      </w:r>
      <w:r>
        <w:rPr>
          <w:rFonts w:ascii="SimSun" w:hAnsi="SimSun" w:eastAsia="SimSun" w:cs="SimSun"/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3"/>
        </w:rPr>
        <w:t>医院消化内科),李延青(山东大学齐鲁医院消化内科),</w:t>
      </w:r>
      <w:r>
        <w:rPr>
          <w:rFonts w:ascii="SimSun" w:hAnsi="SimSun" w:eastAsia="SimSun" w:cs="SimSun"/>
          <w:sz w:val="15"/>
          <w:szCs w:val="15"/>
          <w:spacing w:val="12"/>
        </w:rPr>
        <w:t>林勇[海军</w:t>
      </w:r>
      <w:r>
        <w:rPr>
          <w:rFonts w:ascii="SimSun" w:hAnsi="SimSun" w:eastAsia="SimSun" w:cs="SimSun"/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0"/>
        </w:rPr>
        <w:t>军医大学第二附属医院(上海长征医院)消化内科],林志辉(福建省</w:t>
      </w:r>
      <w:r>
        <w:rPr>
          <w:rFonts w:ascii="SimSun" w:hAnsi="SimSun" w:eastAsia="SimSun" w:cs="SimSun"/>
          <w:sz w:val="15"/>
          <w:szCs w:val="15"/>
          <w:spacing w:val="8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2"/>
        </w:rPr>
        <w:t>立医院消化内科),陆红(上海交通大学医学院附属仁</w:t>
      </w:r>
      <w:r>
        <w:rPr>
          <w:rFonts w:ascii="SimSun" w:hAnsi="SimSun" w:eastAsia="SimSun" w:cs="SimSun"/>
          <w:sz w:val="15"/>
          <w:szCs w:val="15"/>
          <w:spacing w:val="11"/>
        </w:rPr>
        <w:t>济医院消化内</w:t>
      </w:r>
      <w:r>
        <w:rPr>
          <w:rFonts w:ascii="SimSun" w:hAnsi="SimSun" w:eastAsia="SimSun" w:cs="SimSun"/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3"/>
        </w:rPr>
        <w:t>科),吕宾(浙江中医药大学附属第一医院消化内科),吕农华(南昌</w:t>
      </w:r>
      <w:r>
        <w:rPr>
          <w:rFonts w:ascii="SimSun" w:hAnsi="SimSun" w:eastAsia="SimSun" w:cs="SimSun"/>
          <w:sz w:val="15"/>
          <w:szCs w:val="15"/>
          <w:spacing w:val="2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3"/>
        </w:rPr>
        <w:t>大学第一附属医院消化内科),沙卫红(广东省人民医院消化内科),</w:t>
      </w:r>
      <w:r>
        <w:rPr>
          <w:rFonts w:ascii="SimSun" w:hAnsi="SimSun" w:eastAsia="SimSun" w:cs="SimSun"/>
          <w:sz w:val="15"/>
          <w:szCs w:val="15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3"/>
        </w:rPr>
        <w:t>时永全(空军军医大学第一附属医院消化内科),田字彬(青岛大学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0"/>
        </w:rPr>
        <w:t>附属医院消化内科),汪芳裕(解放军东部战区总医院消化内科),王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3"/>
        </w:rPr>
        <w:t>良静(浙江大学附属第二医院消化内科),王蔚虹(北京大学第一医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1"/>
        </w:rPr>
        <w:t>院消化内科),吴开春(空军军医大学第一附属医院消化内科),谢渭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0"/>
        </w:rPr>
        <w:t>芬[海军军医大学第二附属医院(上海长征医院)消化内科],袁耀宗</w:t>
      </w:r>
      <w:r>
        <w:rPr>
          <w:rFonts w:ascii="SimSun" w:hAnsi="SimSun" w:eastAsia="SimSun" w:cs="SimSun"/>
          <w:sz w:val="15"/>
          <w:szCs w:val="15"/>
          <w:spacing w:val="6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3"/>
        </w:rPr>
        <w:t>(上海交通大学医学院附属瑞金医院消化内科),曾志荣(中山大学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1"/>
        </w:rPr>
        <w:t>附属第一医院消化内科),张敏敏(上海交通大学医</w:t>
      </w:r>
      <w:r>
        <w:rPr>
          <w:rFonts w:ascii="SimSun" w:hAnsi="SimSun" w:eastAsia="SimSun" w:cs="SimSun"/>
          <w:sz w:val="15"/>
          <w:szCs w:val="15"/>
          <w:spacing w:val="10"/>
        </w:rPr>
        <w:t>学院附属瑞金医</w:t>
      </w:r>
      <w:r>
        <w:rPr>
          <w:rFonts w:ascii="SimSun" w:hAnsi="SimSun" w:eastAsia="SimSun" w:cs="SimSun"/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7"/>
        </w:rPr>
        <w:t>院消化内科),邹多武(上海交通大学医学院附属瑞金医院消化内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1"/>
        </w:rPr>
        <w:t>科),左秀丽(山东大学齐鲁医院消化内科)</w:t>
      </w:r>
    </w:p>
    <w:p>
      <w:pPr>
        <w:ind w:left="1862"/>
        <w:spacing w:before="138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spacing w:val="-7"/>
        </w:rPr>
        <w:t>参</w:t>
      </w:r>
      <w:r>
        <w:rPr>
          <w:rFonts w:ascii="SimHei" w:hAnsi="SimHei" w:eastAsia="SimHei" w:cs="SimHei"/>
          <w:sz w:val="15"/>
          <w:szCs w:val="15"/>
          <w:spacing w:val="54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spacing w:val="-7"/>
        </w:rPr>
        <w:t>考</w:t>
      </w:r>
      <w:r>
        <w:rPr>
          <w:rFonts w:ascii="SimHei" w:hAnsi="SimHei" w:eastAsia="SimHei" w:cs="SimHei"/>
          <w:sz w:val="15"/>
          <w:szCs w:val="15"/>
          <w:spacing w:val="54"/>
          <w:w w:val="101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spacing w:val="-7"/>
        </w:rPr>
        <w:t>文</w:t>
      </w:r>
      <w:r>
        <w:rPr>
          <w:rFonts w:ascii="SimHei" w:hAnsi="SimHei" w:eastAsia="SimHei" w:cs="SimHei"/>
          <w:sz w:val="15"/>
          <w:szCs w:val="15"/>
          <w:spacing w:val="53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spacing w:val="-7"/>
        </w:rPr>
        <w:t>献</w:t>
      </w:r>
    </w:p>
    <w:p>
      <w:pPr>
        <w:pStyle w:val="BodyText"/>
        <w:ind w:left="400" w:right="342" w:hanging="400"/>
        <w:spacing w:before="249" w:line="291" w:lineRule="auto"/>
        <w:rPr>
          <w:sz w:val="15"/>
          <w:szCs w:val="15"/>
        </w:rPr>
      </w:pPr>
      <w:r>
        <w:rPr>
          <w:sz w:val="15"/>
          <w:szCs w:val="15"/>
        </w:rPr>
        <w:t>[1]Lanas        A,Chan        FKL.Peptic        ulcer        </w:t>
      </w:r>
      <w:r>
        <w:rPr>
          <w:sz w:val="15"/>
          <w:szCs w:val="15"/>
          <w:spacing w:val="-1"/>
        </w:rPr>
        <w:t xml:space="preserve"> disease[J].Lancet,2017,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390(10094):613-624.DOI:10.1016/S0140-6736(16)32404-7.</w:t>
      </w:r>
    </w:p>
    <w:p>
      <w:pPr>
        <w:ind w:left="400" w:right="343" w:hanging="400"/>
        <w:spacing w:before="136" w:line="27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3"/>
        </w:rPr>
        <w:t>[2]中华消化杂志编委会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3"/>
        </w:rPr>
        <w:t>.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3"/>
        </w:rPr>
        <w:t>消化性溃疡病诊断与治疗规范</w:t>
      </w:r>
      <w:r>
        <w:rPr>
          <w:rFonts w:ascii="SimSun" w:hAnsi="SimSun" w:eastAsia="SimSun" w:cs="SimSun"/>
          <w:sz w:val="15"/>
          <w:szCs w:val="15"/>
          <w:spacing w:val="22"/>
        </w:rPr>
        <w:t>建议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6"/>
        </w:rPr>
        <w:t>(2008,黄山)[J].</w:t>
      </w:r>
      <w:r>
        <w:rPr>
          <w:rFonts w:ascii="SimSun" w:hAnsi="SimSun" w:eastAsia="SimSun" w:cs="SimSun"/>
          <w:sz w:val="15"/>
          <w:szCs w:val="15"/>
          <w:spacing w:val="4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6"/>
        </w:rPr>
        <w:t>中华消化杂志，2</w:t>
      </w:r>
      <w:r>
        <w:rPr>
          <w:rFonts w:ascii="SimSun" w:hAnsi="SimSun" w:eastAsia="SimSun" w:cs="SimSun"/>
          <w:sz w:val="15"/>
          <w:szCs w:val="15"/>
          <w:spacing w:val="5"/>
        </w:rPr>
        <w:t>008,28(7):447450.</w:t>
      </w:r>
    </w:p>
    <w:p>
      <w:pPr>
        <w:pStyle w:val="BodyText"/>
        <w:ind w:left="400" w:right="295" w:hanging="400"/>
        <w:spacing w:before="105" w:line="30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2"/>
        </w:rPr>
        <w:t>[3]中华消化杂志编委会.消化性溃疡病诊断与治疗规</w:t>
      </w:r>
      <w:r>
        <w:rPr>
          <w:rFonts w:ascii="SimSun" w:hAnsi="SimSun" w:eastAsia="SimSun" w:cs="SimSun"/>
          <w:sz w:val="15"/>
          <w:szCs w:val="15"/>
          <w:spacing w:val="11"/>
        </w:rPr>
        <w:t>范(2013年，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深圳)[J].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中华消化杂志，2014,34(2):73-76.DOI:10.37</w:t>
      </w:r>
      <w:r>
        <w:rPr>
          <w:rFonts w:ascii="SimSun" w:hAnsi="SimSun" w:eastAsia="SimSun" w:cs="SimSun"/>
          <w:sz w:val="15"/>
          <w:szCs w:val="15"/>
          <w:spacing w:val="-2"/>
        </w:rPr>
        <w:t>60/cma.</w:t>
      </w:r>
      <w:r>
        <w:rPr>
          <w:rFonts w:ascii="SimSun" w:hAnsi="SimSun" w:eastAsia="SimSun" w:cs="SimSun"/>
          <w:sz w:val="15"/>
          <w:szCs w:val="15"/>
        </w:rPr>
        <w:t xml:space="preserve">  </w:t>
      </w:r>
      <w:r>
        <w:rPr>
          <w:sz w:val="15"/>
          <w:szCs w:val="15"/>
        </w:rPr>
        <w:t>j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</w:rPr>
        <w:t>isn</w:t>
      </w:r>
      <w:r>
        <w:rPr>
          <w:sz w:val="15"/>
          <w:szCs w:val="15"/>
          <w:spacing w:val="1"/>
        </w:rPr>
        <w:t>.0254-1432.2014.02.001.</w:t>
      </w:r>
    </w:p>
    <w:p>
      <w:pPr>
        <w:pStyle w:val="BodyText"/>
        <w:ind w:left="400" w:right="295" w:hanging="400"/>
        <w:spacing w:before="145" w:line="26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7"/>
        </w:rPr>
        <w:t>[4]中华消化杂志编委会.消化性溃疡诊断与治疗规范(</w:t>
      </w:r>
      <w:r>
        <w:rPr>
          <w:rFonts w:ascii="SimSun" w:hAnsi="SimSun" w:eastAsia="SimSun" w:cs="SimSun"/>
          <w:sz w:val="15"/>
          <w:szCs w:val="15"/>
          <w:spacing w:val="16"/>
        </w:rPr>
        <w:t>2016年，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西安)</w:t>
      </w:r>
      <w:r>
        <w:rPr>
          <w:sz w:val="15"/>
          <w:szCs w:val="15"/>
          <w:spacing w:val="7"/>
        </w:rPr>
        <w:t>[J].</w:t>
      </w:r>
      <w:r>
        <w:rPr>
          <w:sz w:val="15"/>
          <w:szCs w:val="15"/>
          <w:spacing w:val="4"/>
        </w:rPr>
        <w:t xml:space="preserve">      </w:t>
      </w:r>
      <w:r>
        <w:rPr>
          <w:rFonts w:ascii="SimSun" w:hAnsi="SimSun" w:eastAsia="SimSun" w:cs="SimSun"/>
          <w:sz w:val="15"/>
          <w:szCs w:val="15"/>
          <w:spacing w:val="7"/>
        </w:rPr>
        <w:t>中华消化杂志，2016,36(8):508-513.</w:t>
      </w:r>
      <w:r>
        <w:rPr>
          <w:rFonts w:ascii="SimSun" w:hAnsi="SimSun" w:eastAsia="SimSun" w:cs="SimSun"/>
          <w:sz w:val="15"/>
          <w:szCs w:val="15"/>
          <w:spacing w:val="-12"/>
        </w:rPr>
        <w:t xml:space="preserve"> </w:t>
      </w:r>
      <w:r>
        <w:rPr>
          <w:sz w:val="15"/>
          <w:szCs w:val="15"/>
        </w:rPr>
        <w:t>DOI</w:t>
      </w:r>
      <w:r>
        <w:rPr>
          <w:sz w:val="15"/>
          <w:szCs w:val="15"/>
          <w:spacing w:val="7"/>
        </w:rPr>
        <w:t>:10.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9"/>
        <w:spacing w:before="54" w:line="192" w:lineRule="auto"/>
        <w:rPr>
          <w:sz w:val="15"/>
          <w:szCs w:val="15"/>
        </w:rPr>
      </w:pPr>
      <w:r>
        <w:rPr>
          <w:sz w:val="15"/>
          <w:szCs w:val="15"/>
        </w:rPr>
        <w:t>3760/cma.j.issn.0254-1432.2016.08.003.</w:t>
      </w:r>
    </w:p>
    <w:p>
      <w:pPr>
        <w:pStyle w:val="BodyText"/>
        <w:ind w:left="399" w:right="14" w:hanging="399"/>
        <w:spacing w:before="153" w:line="319" w:lineRule="auto"/>
        <w:rPr>
          <w:sz w:val="15"/>
          <w:szCs w:val="15"/>
        </w:rPr>
      </w:pPr>
      <w:r>
        <w:rPr>
          <w:sz w:val="15"/>
          <w:szCs w:val="15"/>
        </w:rPr>
        <w:t>[5]Sung    JJ,Kuipers     EJ,El-Serag    HB.Systematic     review:the</w:t>
      </w:r>
      <w:r>
        <w:rPr>
          <w:sz w:val="15"/>
          <w:szCs w:val="15"/>
          <w:spacing w:val="-1"/>
        </w:rPr>
        <w:t xml:space="preserve">    global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incidence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and   prevalence    of   peptic    ulcer    disease[J].Alime</w:t>
      </w:r>
      <w:r>
        <w:rPr>
          <w:sz w:val="15"/>
          <w:szCs w:val="15"/>
          <w:spacing w:val="-1"/>
        </w:rPr>
        <w:t>nt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Pharmacol</w:t>
      </w:r>
      <w:r>
        <w:rPr>
          <w:sz w:val="15"/>
          <w:szCs w:val="15"/>
          <w:spacing w:val="1"/>
        </w:rPr>
        <w:t xml:space="preserve">                   </w:t>
      </w:r>
      <w:r>
        <w:rPr>
          <w:sz w:val="15"/>
          <w:szCs w:val="15"/>
        </w:rPr>
        <w:t>Ther</w:t>
      </w:r>
      <w:r>
        <w:rPr>
          <w:sz w:val="15"/>
          <w:szCs w:val="15"/>
          <w:spacing w:val="1"/>
        </w:rPr>
        <w:t>,20</w:t>
      </w:r>
      <w:r>
        <w:rPr>
          <w:sz w:val="15"/>
          <w:szCs w:val="15"/>
        </w:rPr>
        <w:t>09,29(9):938-946.DOI:10.1111/j.1365- </w:t>
      </w:r>
      <w:r>
        <w:rPr>
          <w:sz w:val="15"/>
          <w:szCs w:val="15"/>
          <w:spacing w:val="-1"/>
        </w:rPr>
        <w:t>2036.2009.03960.x.</w:t>
      </w:r>
    </w:p>
    <w:p>
      <w:pPr>
        <w:pStyle w:val="BodyText"/>
        <w:ind w:left="399" w:right="20" w:hanging="399"/>
        <w:spacing w:before="201" w:line="284" w:lineRule="auto"/>
        <w:rPr>
          <w:sz w:val="15"/>
          <w:szCs w:val="15"/>
        </w:rPr>
      </w:pPr>
      <w:r>
        <w:rPr>
          <w:sz w:val="15"/>
          <w:szCs w:val="15"/>
        </w:rPr>
        <w:t>[6]Guyatt     GH,Oxman      AD,Vist      GE,et      al.G</w:t>
      </w:r>
      <w:r>
        <w:rPr>
          <w:sz w:val="15"/>
          <w:szCs w:val="15"/>
          <w:spacing w:val="-1"/>
        </w:rPr>
        <w:t>RADE:an     emerging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consensus    on    rating    quality    of    evidence    and    stren</w:t>
      </w:r>
      <w:r>
        <w:rPr>
          <w:sz w:val="15"/>
          <w:szCs w:val="15"/>
          <w:spacing w:val="-1"/>
        </w:rPr>
        <w:t>gth    of</w:t>
      </w:r>
    </w:p>
    <w:p>
      <w:pPr>
        <w:pStyle w:val="BodyText"/>
        <w:ind w:left="399"/>
        <w:spacing w:before="132" w:line="192" w:lineRule="auto"/>
        <w:rPr>
          <w:sz w:val="15"/>
          <w:szCs w:val="15"/>
        </w:rPr>
      </w:pPr>
      <w:r>
        <w:rPr>
          <w:sz w:val="15"/>
          <w:szCs w:val="15"/>
        </w:rPr>
        <w:t>recommendations[J].BMJ,2008,336(7650):924-926.</w:t>
      </w:r>
      <w:r>
        <w:rPr>
          <w:sz w:val="15"/>
          <w:szCs w:val="15"/>
          <w:spacing w:val="-1"/>
        </w:rPr>
        <w:t>DOI:</w:t>
      </w:r>
    </w:p>
    <w:p>
      <w:pPr>
        <w:pStyle w:val="BodyText"/>
        <w:ind w:left="399"/>
        <w:spacing w:before="8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10.1136/bmj.39489.470347.AD.</w:t>
      </w:r>
    </w:p>
    <w:p>
      <w:pPr>
        <w:pStyle w:val="BodyText"/>
        <w:ind w:left="399" w:right="19" w:hanging="399"/>
        <w:spacing w:before="161" w:line="330" w:lineRule="auto"/>
        <w:rPr>
          <w:sz w:val="15"/>
          <w:szCs w:val="15"/>
        </w:rPr>
      </w:pPr>
      <w:r>
        <w:rPr>
          <w:sz w:val="15"/>
          <w:szCs w:val="15"/>
        </w:rPr>
        <w:t>[7]Guyatt     GH,Oxman      AD,Kunz     R,et      al.GRA</w:t>
      </w:r>
      <w:r>
        <w:rPr>
          <w:sz w:val="15"/>
          <w:szCs w:val="15"/>
          <w:spacing w:val="-1"/>
        </w:rPr>
        <w:t>DE     guidelines:2.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"/>
        </w:rPr>
        <w:t>Framing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1"/>
        </w:rPr>
        <w:t>question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deciding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important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1"/>
        </w:rPr>
        <w:t>outcomes[J].J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Clin                               Epidemiol,2011,64(4):395400.DO</w:t>
      </w:r>
      <w:r>
        <w:rPr>
          <w:sz w:val="15"/>
          <w:szCs w:val="15"/>
          <w:spacing w:val="-1"/>
        </w:rPr>
        <w:t>I:10.1016/j.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jclinepi</w:t>
      </w:r>
      <w:r>
        <w:rPr>
          <w:sz w:val="15"/>
          <w:szCs w:val="15"/>
          <w:spacing w:val="1"/>
        </w:rPr>
        <w:t>.2010.09.012.</w:t>
      </w:r>
    </w:p>
    <w:p>
      <w:pPr>
        <w:pStyle w:val="BodyText"/>
        <w:ind w:left="399" w:right="7" w:hanging="399"/>
        <w:spacing w:before="133" w:line="319" w:lineRule="auto"/>
        <w:rPr>
          <w:sz w:val="15"/>
          <w:szCs w:val="15"/>
        </w:rPr>
      </w:pPr>
      <w:r>
        <w:rPr>
          <w:sz w:val="15"/>
          <w:szCs w:val="15"/>
        </w:rPr>
        <w:t>[8]LiZ,Zou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</w:rPr>
        <w:t>D,MaX,et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</w:rPr>
        <w:t>al.Epidemiology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</w:rPr>
        <w:t>of    peptic     ulcer  </w:t>
      </w:r>
      <w:r>
        <w:rPr>
          <w:sz w:val="15"/>
          <w:szCs w:val="15"/>
          <w:spacing w:val="-1"/>
        </w:rPr>
        <w:t xml:space="preserve">   disease: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endoscopic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results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of 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systematic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investigation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of gast</w:t>
      </w:r>
      <w:r>
        <w:rPr>
          <w:sz w:val="15"/>
          <w:szCs w:val="15"/>
          <w:spacing w:val="-1"/>
        </w:rPr>
        <w:t>rointestinal</w:t>
      </w:r>
      <w:r>
        <w:rPr>
          <w:sz w:val="15"/>
          <w:szCs w:val="15"/>
        </w:rPr>
        <w:t xml:space="preserve">   </w:t>
      </w:r>
      <w:r>
        <w:rPr>
          <w:sz w:val="15"/>
          <w:szCs w:val="15"/>
        </w:rPr>
        <w:t>disease         in          China[J].AmJGastroenterol,2010,105(12):25</w:t>
      </w:r>
      <w:r>
        <w:rPr>
          <w:sz w:val="15"/>
          <w:szCs w:val="15"/>
          <w:spacing w:val="-1"/>
        </w:rPr>
        <w:t>70-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"/>
        </w:rPr>
        <w:t>2577.DOI:10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1038/ajg.2010.324.</w:t>
      </w:r>
    </w:p>
    <w:p>
      <w:pPr>
        <w:pStyle w:val="BodyText"/>
        <w:ind w:left="399" w:right="22" w:hanging="399"/>
        <w:spacing w:before="167" w:line="26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6"/>
        </w:rPr>
        <w:t>[9]国家卫生计生委统计信息中心.2013第五次国家卫生服务调</w:t>
      </w:r>
      <w:r>
        <w:rPr>
          <w:rFonts w:ascii="SimSun" w:hAnsi="SimSun" w:eastAsia="SimSun" w:cs="SimSun"/>
          <w:sz w:val="15"/>
          <w:szCs w:val="15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5"/>
        </w:rPr>
        <w:t>查分析报告</w:t>
      </w:r>
      <w:r>
        <w:rPr>
          <w:sz w:val="15"/>
          <w:szCs w:val="15"/>
          <w:spacing w:val="5"/>
        </w:rPr>
        <w:t>[M].    </w:t>
      </w:r>
      <w:r>
        <w:rPr>
          <w:rFonts w:ascii="SimSun" w:hAnsi="SimSun" w:eastAsia="SimSun" w:cs="SimSun"/>
          <w:sz w:val="15"/>
          <w:szCs w:val="15"/>
          <w:spacing w:val="5"/>
        </w:rPr>
        <w:t>北京：中国协和医科大学出版社，201</w:t>
      </w:r>
      <w:r>
        <w:rPr>
          <w:rFonts w:ascii="SimSun" w:hAnsi="SimSun" w:eastAsia="SimSun" w:cs="SimSun"/>
          <w:sz w:val="15"/>
          <w:szCs w:val="15"/>
          <w:spacing w:val="4"/>
        </w:rPr>
        <w:t>5:19.</w:t>
      </w:r>
    </w:p>
    <w:p>
      <w:pPr>
        <w:pStyle w:val="BodyText"/>
        <w:ind w:left="399" w:hanging="399"/>
        <w:spacing w:before="117" w:line="31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</w:t>
      </w:r>
      <w:r>
        <w:rPr>
          <w:sz w:val="15"/>
          <w:szCs w:val="15"/>
        </w:rPr>
        <w:t>10]Huang      Y,LiH,Long      X,et      al.Lessons  </w:t>
      </w:r>
      <w:r>
        <w:rPr>
          <w:sz w:val="15"/>
          <w:szCs w:val="15"/>
          <w:spacing w:val="-1"/>
        </w:rPr>
        <w:t xml:space="preserve">    leaned      from      uppe</w:t>
      </w:r>
      <w:r>
        <w:rPr>
          <w:sz w:val="15"/>
          <w:szCs w:val="15"/>
        </w:rPr>
        <w:t>r </w:t>
      </w:r>
      <w:r>
        <w:rPr>
          <w:sz w:val="15"/>
          <w:szCs w:val="15"/>
        </w:rPr>
        <w:t>gastrointestinal    endoscopy    in    asympt</w:t>
      </w:r>
      <w:r>
        <w:rPr>
          <w:sz w:val="15"/>
          <w:szCs w:val="15"/>
          <w:spacing w:val="-1"/>
        </w:rPr>
        <w:t>omatic    Chinese    [J/OL].</w:t>
      </w:r>
      <w:r>
        <w:rPr>
          <w:sz w:val="15"/>
          <w:szCs w:val="15"/>
        </w:rPr>
        <w:t xml:space="preserve">   </w:t>
      </w:r>
      <w:r>
        <w:rPr>
          <w:sz w:val="15"/>
          <w:szCs w:val="15"/>
        </w:rPr>
        <w:t>Helicobacter,2021,26(3):e12803(2021-03-29)[2023-01-14].</w:t>
      </w:r>
    </w:p>
    <w:p>
      <w:pPr>
        <w:pStyle w:val="BodyText"/>
        <w:ind w:left="399"/>
        <w:spacing w:before="132" w:line="192" w:lineRule="auto"/>
        <w:rPr>
          <w:sz w:val="15"/>
          <w:szCs w:val="15"/>
        </w:rPr>
      </w:pPr>
      <w:hyperlink w:history="true" r:id="rId14">
        <w:r>
          <w:rPr>
            <w:sz w:val="15"/>
            <w:szCs w:val="15"/>
          </w:rPr>
          <w:t>https://doi.org/10.1111/hel.12</w:t>
        </w:r>
        <w:r>
          <w:rPr>
            <w:sz w:val="15"/>
            <w:szCs w:val="15"/>
            <w:spacing w:val="-1"/>
          </w:rPr>
          <w:t>803.</w:t>
        </w:r>
      </w:hyperlink>
    </w:p>
    <w:p>
      <w:pPr>
        <w:pStyle w:val="BodyText"/>
        <w:ind w:left="399" w:right="14" w:hanging="399"/>
        <w:spacing w:before="162" w:line="340" w:lineRule="auto"/>
        <w:rPr>
          <w:sz w:val="15"/>
          <w:szCs w:val="15"/>
        </w:rPr>
      </w:pPr>
      <w:r>
        <w:rPr>
          <w:sz w:val="15"/>
          <w:szCs w:val="15"/>
        </w:rPr>
        <w:t>[11]Xie    X,Ren    K,Zhou    Z,et    al.The   </w:t>
      </w:r>
      <w:r>
        <w:rPr>
          <w:sz w:val="15"/>
          <w:szCs w:val="15"/>
          <w:spacing w:val="-1"/>
        </w:rPr>
        <w:t xml:space="preserve"> global,regional    and    national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burnden  of  peptic  uler  disease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from   1990  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2019:a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population-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based        study[J/OL].BMC        Gastroenterol,2022,22(1):58(2022-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02-10)[2023-01-14].</w:t>
      </w:r>
      <w:hyperlink w:history="true" r:id="rId15">
        <w:r>
          <w:rPr>
            <w:sz w:val="15"/>
            <w:szCs w:val="15"/>
          </w:rPr>
          <w:t>https:/doi.org/10.1186/s12</w:t>
        </w:r>
        <w:r>
          <w:rPr>
            <w:sz w:val="15"/>
            <w:szCs w:val="15"/>
            <w:spacing w:val="-1"/>
          </w:rPr>
          <w:t>876-022-</w:t>
        </w:r>
      </w:hyperlink>
    </w:p>
    <w:p>
      <w:pPr>
        <w:pStyle w:val="BodyText"/>
        <w:ind w:left="399"/>
        <w:spacing w:before="176" w:line="18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02130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2"/>
        </w:rPr>
        <w:t>2.</w:t>
      </w:r>
    </w:p>
    <w:p>
      <w:pPr>
        <w:pStyle w:val="BodyText"/>
        <w:ind w:left="399" w:right="70" w:hanging="399"/>
        <w:spacing w:before="111" w:line="339" w:lineRule="auto"/>
        <w:rPr>
          <w:sz w:val="15"/>
          <w:szCs w:val="15"/>
        </w:rPr>
      </w:pPr>
      <w:r>
        <w:rPr>
          <w:sz w:val="15"/>
          <w:szCs w:val="15"/>
        </w:rPr>
        <w:t>[12]Leow    AH,Lim     YY,Liew     WC,et     al.Time    tr</w:t>
      </w:r>
      <w:r>
        <w:rPr>
          <w:sz w:val="15"/>
          <w:szCs w:val="15"/>
          <w:spacing w:val="-1"/>
        </w:rPr>
        <w:t>ends     in     upper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gastrointestinal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</w:rPr>
        <w:t>disea</w:t>
      </w:r>
      <w:r>
        <w:rPr>
          <w:sz w:val="15"/>
          <w:szCs w:val="15"/>
          <w:spacing w:val="-1"/>
        </w:rPr>
        <w:t>ses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Helicobacter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-1"/>
        </w:rPr>
        <w:t>pylori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infection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multiracial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Asian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</w:rPr>
        <w:t>population—a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20-year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experience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over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three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time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periods[J].Aliment          Pharmacol           Ther,2016,43(</w:t>
      </w:r>
      <w:r>
        <w:rPr>
          <w:sz w:val="15"/>
          <w:szCs w:val="15"/>
          <w:spacing w:val="-1"/>
        </w:rPr>
        <w:t>7):831-837.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DOI:10.1111/apt.13550.</w:t>
      </w:r>
    </w:p>
    <w:p>
      <w:pPr>
        <w:pStyle w:val="BodyText"/>
        <w:ind w:left="399" w:right="70" w:hanging="399"/>
        <w:spacing w:before="164" w:line="323" w:lineRule="auto"/>
        <w:rPr>
          <w:sz w:val="15"/>
          <w:szCs w:val="15"/>
        </w:rPr>
      </w:pPr>
      <w:r>
        <w:rPr>
          <w:sz w:val="15"/>
          <w:szCs w:val="15"/>
        </w:rPr>
        <w:t>[13]Laine   L,Takeuchi    K,Tarnawski   </w:t>
      </w:r>
      <w:r>
        <w:rPr>
          <w:sz w:val="15"/>
          <w:szCs w:val="15"/>
          <w:spacing w:val="-1"/>
        </w:rPr>
        <w:t xml:space="preserve"> A.Gastric   mucosal    deense  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cytoprotection:bench         to         bedside[J].Gastroenterology,200</w:t>
      </w:r>
      <w:r>
        <w:rPr>
          <w:sz w:val="15"/>
          <w:szCs w:val="15"/>
          <w:spacing w:val="-1"/>
        </w:rPr>
        <w:t>8,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135(1):41-60.DOI:10.1053/j.gastro.200</w:t>
      </w:r>
      <w:r>
        <w:rPr>
          <w:sz w:val="15"/>
          <w:szCs w:val="15"/>
          <w:spacing w:val="-1"/>
        </w:rPr>
        <w:t>8.05.030.</w:t>
      </w:r>
    </w:p>
    <w:p>
      <w:pPr>
        <w:pStyle w:val="BodyText"/>
        <w:ind w:left="399" w:right="46" w:hanging="399"/>
        <w:spacing w:before="141" w:line="324" w:lineRule="auto"/>
        <w:rPr>
          <w:sz w:val="15"/>
          <w:szCs w:val="15"/>
        </w:rPr>
      </w:pPr>
      <w:r>
        <w:rPr>
          <w:sz w:val="15"/>
          <w:szCs w:val="15"/>
        </w:rPr>
        <w:t>[14]Zhang     BB,Li     Y,Liu      XQ,et     al.Association     </w:t>
      </w:r>
      <w:r>
        <w:rPr>
          <w:sz w:val="15"/>
          <w:szCs w:val="15"/>
          <w:spacing w:val="-1"/>
        </w:rPr>
        <w:t xml:space="preserve"> between     meA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genotypes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risk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duodenal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ulcer</w:t>
      </w:r>
      <w:r>
        <w:rPr>
          <w:sz w:val="15"/>
          <w:szCs w:val="15"/>
          <w:spacing w:val="1"/>
        </w:rPr>
        <w:t>:</w:t>
      </w:r>
      <w:r>
        <w:rPr>
          <w:sz w:val="15"/>
          <w:szCs w:val="15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meta</w:t>
      </w:r>
      <w:r>
        <w:rPr>
          <w:sz w:val="15"/>
          <w:szCs w:val="15"/>
          <w:spacing w:val="1"/>
        </w:rPr>
        <w:t>-</w:t>
      </w:r>
      <w:r>
        <w:rPr>
          <w:sz w:val="15"/>
          <w:szCs w:val="15"/>
        </w:rPr>
        <w:t>analysis</w:t>
      </w:r>
      <w:r>
        <w:rPr>
          <w:sz w:val="15"/>
          <w:szCs w:val="15"/>
          <w:spacing w:val="1"/>
        </w:rPr>
        <w:t>[J].</w:t>
      </w:r>
      <w:r>
        <w:rPr>
          <w:sz w:val="15"/>
          <w:szCs w:val="15"/>
        </w:rPr>
        <w:t>Mol </w:t>
      </w:r>
      <w:r>
        <w:rPr>
          <w:sz w:val="15"/>
          <w:szCs w:val="15"/>
        </w:rPr>
        <w:t>Biol                     Rep,2014,41(11):7241-7254.DOI:10.1007/s11033-</w:t>
      </w:r>
    </w:p>
    <w:p>
      <w:pPr>
        <w:pStyle w:val="BodyText"/>
        <w:ind w:left="399"/>
        <w:spacing w:before="145" w:line="1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014-3610-y.</w:t>
      </w:r>
    </w:p>
    <w:p>
      <w:pPr>
        <w:pStyle w:val="BodyText"/>
        <w:ind w:left="399" w:right="70" w:hanging="399"/>
        <w:spacing w:before="111" w:line="330" w:lineRule="auto"/>
        <w:rPr>
          <w:sz w:val="15"/>
          <w:szCs w:val="15"/>
        </w:rPr>
      </w:pPr>
      <w:r>
        <w:rPr>
          <w:sz w:val="15"/>
          <w:szCs w:val="15"/>
        </w:rPr>
        <w:t>[15]Ren    S,Cai    P,Liu    Y,et     al.Prevalence    of   </w:t>
      </w:r>
      <w:r>
        <w:rPr>
          <w:sz w:val="15"/>
          <w:szCs w:val="15"/>
          <w:spacing w:val="-1"/>
        </w:rPr>
        <w:t xml:space="preserve"> Helicobacter    pylori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infection   in   China:a   systematic   review   and   meta-anal</w:t>
      </w:r>
      <w:r>
        <w:rPr>
          <w:sz w:val="15"/>
          <w:szCs w:val="15"/>
          <w:spacing w:val="-1"/>
        </w:rPr>
        <w:t>ysis[J].J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Gastroenterol                    Hepatol,2022,37(3):464-470.DOI</w:t>
      </w:r>
      <w:r>
        <w:rPr>
          <w:sz w:val="15"/>
          <w:szCs w:val="15"/>
          <w:spacing w:val="-1"/>
        </w:rPr>
        <w:t>:10.1111/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jgh</w:t>
      </w:r>
      <w:r>
        <w:rPr>
          <w:sz w:val="15"/>
          <w:szCs w:val="15"/>
          <w:spacing w:val="3"/>
        </w:rPr>
        <w:t>.15751.</w:t>
      </w:r>
    </w:p>
    <w:p>
      <w:pPr>
        <w:pStyle w:val="BodyText"/>
        <w:ind w:left="399" w:right="64" w:hanging="399"/>
        <w:spacing w:before="162" w:line="291" w:lineRule="auto"/>
        <w:rPr>
          <w:sz w:val="15"/>
          <w:szCs w:val="15"/>
        </w:rPr>
      </w:pPr>
      <w:r>
        <w:rPr>
          <w:sz w:val="15"/>
          <w:szCs w:val="15"/>
        </w:rPr>
        <w:t>[16]Sugano    K,Tack     J,Kuipe</w:t>
      </w:r>
      <w:r>
        <w:rPr>
          <w:sz w:val="15"/>
          <w:szCs w:val="15"/>
          <w:spacing w:val="-1"/>
        </w:rPr>
        <w:t>rs     EJ,et     al.Kyoto     global     consensus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report</w:t>
      </w:r>
      <w:r>
        <w:rPr>
          <w:sz w:val="15"/>
          <w:szCs w:val="15"/>
          <w:spacing w:val="8"/>
        </w:rPr>
        <w:t xml:space="preserve">     </w:t>
      </w:r>
      <w:r>
        <w:rPr>
          <w:sz w:val="15"/>
          <w:szCs w:val="15"/>
        </w:rPr>
        <w:t>on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</w:rPr>
        <w:t>Helicobacter     pylori      gastritis[J].Gut,2015,64(9):</w:t>
      </w:r>
    </w:p>
    <w:p>
      <w:pPr>
        <w:pStyle w:val="BodyText"/>
        <w:ind w:left="399"/>
        <w:spacing w:before="172" w:line="192" w:lineRule="auto"/>
        <w:rPr>
          <w:sz w:val="15"/>
          <w:szCs w:val="15"/>
        </w:rPr>
      </w:pPr>
      <w:r>
        <w:rPr>
          <w:sz w:val="15"/>
          <w:szCs w:val="15"/>
        </w:rPr>
        <w:t>1353-1367.DOI:10.1136/gutjnl-201</w:t>
      </w:r>
      <w:r>
        <w:rPr>
          <w:sz w:val="15"/>
          <w:szCs w:val="15"/>
          <w:spacing w:val="-1"/>
        </w:rPr>
        <w:t>5-309252.</w:t>
      </w:r>
    </w:p>
    <w:p>
      <w:pPr>
        <w:pStyle w:val="BodyText"/>
        <w:ind w:left="399" w:right="62" w:hanging="399"/>
        <w:spacing w:before="102" w:line="372" w:lineRule="auto"/>
        <w:rPr>
          <w:sz w:val="15"/>
          <w:szCs w:val="15"/>
        </w:rPr>
      </w:pPr>
      <w:r>
        <w:rPr>
          <w:sz w:val="15"/>
          <w:szCs w:val="15"/>
        </w:rPr>
        <w:t>[17]Piazuelo    MB,Epplein    M,Correa    </w:t>
      </w:r>
      <w:r>
        <w:rPr>
          <w:sz w:val="15"/>
          <w:szCs w:val="15"/>
          <w:spacing w:val="-1"/>
        </w:rPr>
        <w:t>P.Gastric    cancer:an     infectious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disease[J].Infect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</w:rPr>
        <w:t>Dis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</w:rPr>
        <w:t>Clin     North      Am,2010,24(4):853-869,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VⅡ.DOI:10.1016/j.ide.2010.07.010.</w:t>
      </w:r>
    </w:p>
    <w:p>
      <w:pPr>
        <w:pStyle w:val="BodyText"/>
        <w:spacing w:before="38" w:line="192" w:lineRule="auto"/>
        <w:rPr>
          <w:sz w:val="15"/>
          <w:szCs w:val="15"/>
        </w:rPr>
      </w:pPr>
      <w:r>
        <w:rPr>
          <w:sz w:val="15"/>
          <w:szCs w:val="15"/>
        </w:rPr>
        <w:t>[18]Malfertheiner    P,Chan    FK,MeColl    KE.Peptic     ulcer    dis</w:t>
      </w:r>
      <w:r>
        <w:rPr>
          <w:sz w:val="15"/>
          <w:szCs w:val="15"/>
          <w:spacing w:val="-1"/>
        </w:rPr>
        <w:t>ease[J].</w:t>
      </w:r>
    </w:p>
    <w:p>
      <w:pPr>
        <w:pStyle w:val="BodyText"/>
        <w:ind w:left="399"/>
        <w:spacing w:before="122" w:line="192" w:lineRule="auto"/>
        <w:rPr>
          <w:sz w:val="15"/>
          <w:szCs w:val="15"/>
        </w:rPr>
      </w:pPr>
      <w:r>
        <w:rPr>
          <w:sz w:val="15"/>
          <w:szCs w:val="15"/>
        </w:rPr>
        <w:t>Lancet,2009,374(9699):1449-1461.DOI:10.1016/S0140-</w:t>
      </w:r>
    </w:p>
    <w:p>
      <w:pPr>
        <w:spacing w:line="192" w:lineRule="auto"/>
        <w:sectPr>
          <w:type w:val="continuous"/>
          <w:pgSz w:w="10720" w:h="15880"/>
          <w:pgMar w:top="400" w:right="529" w:bottom="0" w:left="509" w:header="0" w:footer="0" w:gutter="0"/>
          <w:cols w:equalWidth="0" w:num="2">
            <w:col w:w="4961" w:space="100"/>
            <w:col w:w="4620" w:space="0"/>
          </w:cols>
        </w:sectPr>
        <w:rPr>
          <w:sz w:val="15"/>
          <w:szCs w:val="15"/>
        </w:rPr>
      </w:pPr>
    </w:p>
    <w:p>
      <w:pPr>
        <w:pStyle w:val="BodyText"/>
        <w:spacing w:before="168" w:line="22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u w:val="single" w:color="auto"/>
          <w:spacing w:val="15"/>
        </w:rPr>
        <w:t>中华消化杂志</w:t>
      </w:r>
      <w:r>
        <w:rPr>
          <w:sz w:val="15"/>
          <w:szCs w:val="15"/>
          <w:u w:val="single" w:color="auto"/>
          <w:spacing w:val="15"/>
        </w:rPr>
        <w:t>2023</w:t>
      </w:r>
      <w:r>
        <w:rPr>
          <w:rFonts w:ascii="SimSun" w:hAnsi="SimSun" w:eastAsia="SimSun" w:cs="SimSun"/>
          <w:sz w:val="15"/>
          <w:szCs w:val="15"/>
          <w:u w:val="single" w:color="auto"/>
          <w:spacing w:val="15"/>
        </w:rPr>
        <w:t>年</w:t>
      </w:r>
      <w:r>
        <w:rPr>
          <w:sz w:val="15"/>
          <w:szCs w:val="15"/>
          <w:u w:val="single" w:color="auto"/>
          <w:spacing w:val="15"/>
        </w:rPr>
        <w:t>3</w:t>
      </w:r>
      <w:r>
        <w:rPr>
          <w:rFonts w:ascii="SimSun" w:hAnsi="SimSun" w:eastAsia="SimSun" w:cs="SimSun"/>
          <w:sz w:val="15"/>
          <w:szCs w:val="15"/>
          <w:u w:val="single" w:color="auto"/>
          <w:spacing w:val="15"/>
        </w:rPr>
        <w:t>月第</w:t>
      </w:r>
      <w:r>
        <w:rPr>
          <w:sz w:val="15"/>
          <w:szCs w:val="15"/>
          <w:u w:val="single" w:color="auto"/>
          <w:spacing w:val="15"/>
        </w:rPr>
        <w:t>43</w:t>
      </w:r>
      <w:r>
        <w:rPr>
          <w:rFonts w:ascii="SimSun" w:hAnsi="SimSun" w:eastAsia="SimSun" w:cs="SimSun"/>
          <w:sz w:val="15"/>
          <w:szCs w:val="15"/>
          <w:u w:val="single" w:color="auto"/>
          <w:spacing w:val="15"/>
        </w:rPr>
        <w:t>卷第</w:t>
      </w:r>
      <w:r>
        <w:rPr>
          <w:sz w:val="15"/>
          <w:szCs w:val="15"/>
          <w:u w:val="single" w:color="auto"/>
          <w:spacing w:val="15"/>
        </w:rPr>
        <w:t>3</w:t>
      </w:r>
      <w:r>
        <w:rPr>
          <w:rFonts w:ascii="SimSun" w:hAnsi="SimSun" w:eastAsia="SimSun" w:cs="SimSun"/>
          <w:sz w:val="15"/>
          <w:szCs w:val="15"/>
          <w:u w:val="single" w:color="auto"/>
          <w:spacing w:val="15"/>
        </w:rPr>
        <w:t>期</w:t>
      </w:r>
      <w:r>
        <w:rPr>
          <w:sz w:val="15"/>
          <w:szCs w:val="15"/>
          <w:u w:val="single" w:color="auto"/>
        </w:rPr>
        <w:t>Chin</w:t>
      </w:r>
      <w:r>
        <w:rPr>
          <w:sz w:val="15"/>
          <w:szCs w:val="15"/>
          <w:u w:val="single" w:color="auto"/>
          <w:spacing w:val="3"/>
        </w:rPr>
        <w:t xml:space="preserve">  </w:t>
      </w:r>
      <w:r>
        <w:rPr>
          <w:sz w:val="15"/>
          <w:szCs w:val="15"/>
          <w:u w:val="single" w:color="auto"/>
        </w:rPr>
        <w:t>J</w:t>
      </w:r>
      <w:r>
        <w:rPr>
          <w:sz w:val="15"/>
          <w:szCs w:val="15"/>
          <w:u w:val="single" w:color="auto"/>
          <w:spacing w:val="2"/>
        </w:rPr>
        <w:t xml:space="preserve">  </w:t>
      </w:r>
      <w:r>
        <w:rPr>
          <w:sz w:val="15"/>
          <w:szCs w:val="15"/>
          <w:u w:val="single" w:color="auto"/>
        </w:rPr>
        <w:t>Dig</w:t>
      </w:r>
      <w:r>
        <w:rPr>
          <w:sz w:val="15"/>
          <w:szCs w:val="15"/>
          <w:u w:val="single" w:color="auto"/>
          <w:spacing w:val="15"/>
        </w:rPr>
        <w:t>,</w:t>
      </w:r>
      <w:r>
        <w:rPr>
          <w:sz w:val="15"/>
          <w:szCs w:val="15"/>
          <w:u w:val="single" w:color="auto"/>
        </w:rPr>
        <w:t>March</w:t>
      </w:r>
      <w:r>
        <w:rPr>
          <w:sz w:val="15"/>
          <w:szCs w:val="15"/>
          <w:u w:val="single" w:color="auto"/>
          <w:spacing w:val="4"/>
        </w:rPr>
        <w:t xml:space="preserve">  </w:t>
      </w:r>
      <w:r>
        <w:rPr>
          <w:sz w:val="15"/>
          <w:szCs w:val="15"/>
          <w:u w:val="single" w:color="auto"/>
          <w:spacing w:val="15"/>
        </w:rPr>
        <w:t>2023,</w:t>
      </w:r>
      <w:r>
        <w:rPr>
          <w:sz w:val="15"/>
          <w:szCs w:val="15"/>
          <w:u w:val="single" w:color="auto"/>
        </w:rPr>
        <w:t>Vol</w:t>
      </w:r>
      <w:r>
        <w:rPr>
          <w:sz w:val="15"/>
          <w:szCs w:val="15"/>
          <w:u w:val="single" w:color="auto"/>
          <w:spacing w:val="-7"/>
        </w:rPr>
        <w:t xml:space="preserve"> </w:t>
      </w:r>
      <w:r>
        <w:rPr>
          <w:sz w:val="15"/>
          <w:szCs w:val="15"/>
          <w:u w:val="single" w:color="auto"/>
          <w:spacing w:val="15"/>
        </w:rPr>
        <w:t>.</w:t>
      </w:r>
      <w:r>
        <w:rPr>
          <w:sz w:val="15"/>
          <w:szCs w:val="15"/>
          <w:u w:val="single" w:color="auto"/>
          <w:spacing w:val="-15"/>
        </w:rPr>
        <w:t xml:space="preserve"> </w:t>
      </w:r>
      <w:r>
        <w:rPr>
          <w:sz w:val="15"/>
          <w:szCs w:val="15"/>
          <w:u w:val="single" w:color="auto"/>
          <w:spacing w:val="15"/>
        </w:rPr>
        <w:t>43,</w:t>
      </w:r>
      <w:r>
        <w:rPr>
          <w:sz w:val="15"/>
          <w:szCs w:val="15"/>
          <w:u w:val="single" w:color="auto"/>
        </w:rPr>
        <w:t>No</w:t>
      </w:r>
      <w:r>
        <w:rPr>
          <w:sz w:val="15"/>
          <w:szCs w:val="15"/>
          <w:u w:val="single" w:color="auto"/>
          <w:spacing w:val="-6"/>
        </w:rPr>
        <w:t xml:space="preserve"> </w:t>
      </w:r>
      <w:r>
        <w:rPr>
          <w:sz w:val="15"/>
          <w:szCs w:val="15"/>
          <w:u w:val="single" w:color="auto"/>
          <w:spacing w:val="15"/>
        </w:rPr>
        <w:t>.</w:t>
      </w:r>
      <w:r>
        <w:rPr>
          <w:sz w:val="15"/>
          <w:szCs w:val="15"/>
          <w:u w:val="single" w:color="auto"/>
          <w:spacing w:val="-11"/>
        </w:rPr>
        <w:t xml:space="preserve"> </w:t>
      </w:r>
      <w:r>
        <w:rPr>
          <w:sz w:val="15"/>
          <w:szCs w:val="15"/>
          <w:u w:val="single" w:color="auto"/>
          <w:spacing w:val="15"/>
        </w:rPr>
        <w:t>3</w:t>
      </w:r>
      <w:r>
        <w:rPr>
          <w:sz w:val="15"/>
          <w:szCs w:val="15"/>
        </w:rPr>
        <w:t xml:space="preserve">                                                                                        </w:t>
      </w:r>
      <w:r>
        <w:rPr>
          <w:rFonts w:ascii="SimSun" w:hAnsi="SimSun" w:eastAsia="SimSun" w:cs="SimSun"/>
          <w:sz w:val="15"/>
          <w:szCs w:val="15"/>
          <w:b/>
          <w:bCs/>
          <w:spacing w:val="15"/>
          <w:position w:val="-4"/>
        </w:rPr>
        <w:t>—</w:t>
      </w:r>
      <w:r>
        <w:rPr>
          <w:rFonts w:ascii="SimSun" w:hAnsi="SimSun" w:eastAsia="SimSun" w:cs="SimSun"/>
          <w:sz w:val="15"/>
          <w:szCs w:val="15"/>
          <w:spacing w:val="49"/>
          <w:position w:val="-4"/>
        </w:rPr>
        <w:t xml:space="preserve"> </w:t>
      </w:r>
      <w:r>
        <w:rPr>
          <w:sz w:val="15"/>
          <w:szCs w:val="15"/>
          <w:b/>
          <w:bCs/>
          <w:spacing w:val="14"/>
          <w:position w:val="-4"/>
        </w:rPr>
        <w:t>187</w:t>
      </w:r>
      <w:r>
        <w:rPr>
          <w:sz w:val="15"/>
          <w:szCs w:val="15"/>
          <w:b/>
          <w:bCs/>
          <w:u w:val="dotted" w:color="auto"/>
          <w:spacing w:val="14"/>
          <w:position w:val="-4"/>
        </w:rPr>
        <w:t xml:space="preserve">    </w:t>
      </w:r>
    </w:p>
    <w:p>
      <w:pPr>
        <w:spacing w:before="91"/>
        <w:rPr/>
      </w:pPr>
      <w:r/>
    </w:p>
    <w:p>
      <w:pPr>
        <w:sectPr>
          <w:pgSz w:w="10720" w:h="15880"/>
          <w:pgMar w:top="400" w:right="550" w:bottom="0" w:left="509" w:header="0" w:footer="0" w:gutter="0"/>
          <w:cols w:equalWidth="0" w:num="1">
            <w:col w:w="9661" w:space="0"/>
          </w:cols>
        </w:sectPr>
        <w:rPr/>
      </w:pPr>
    </w:p>
    <w:p>
      <w:pPr>
        <w:pStyle w:val="BodyText"/>
        <w:ind w:left="420"/>
        <w:spacing w:before="27" w:line="192" w:lineRule="auto"/>
        <w:rPr>
          <w:sz w:val="15"/>
          <w:szCs w:val="15"/>
        </w:rPr>
      </w:pPr>
      <w:r>
        <w:rPr>
          <w:sz w:val="15"/>
          <w:szCs w:val="15"/>
        </w:rPr>
        <w:t>6736(09)60938-7.</w:t>
      </w:r>
    </w:p>
    <w:p>
      <w:pPr>
        <w:pStyle w:val="BodyText"/>
        <w:ind w:left="420" w:right="299" w:hanging="420"/>
        <w:spacing w:before="150" w:line="337" w:lineRule="auto"/>
        <w:rPr>
          <w:sz w:val="15"/>
          <w:szCs w:val="15"/>
        </w:rPr>
      </w:pPr>
      <w:r>
        <w:rPr>
          <w:sz w:val="15"/>
          <w:szCs w:val="15"/>
        </w:rPr>
        <w:t>[19]Malfertheiner    P,Megraud    F,O'Morain    CA,et     al.Management  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Helicobacter     pylori     infection      -the     Maastricht     V/Florence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consensus                        report[J].Gut,2017,66(1):6-30.DOI:10.1136/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gutjnl-2016-312288.</w:t>
      </w:r>
    </w:p>
    <w:p>
      <w:pPr>
        <w:pStyle w:val="BodyText"/>
        <w:ind w:left="420" w:right="314" w:hanging="420"/>
        <w:spacing w:before="152" w:line="323" w:lineRule="auto"/>
        <w:rPr>
          <w:sz w:val="15"/>
          <w:szCs w:val="15"/>
        </w:rPr>
      </w:pPr>
      <w:r>
        <w:rPr>
          <w:sz w:val="15"/>
          <w:szCs w:val="15"/>
        </w:rPr>
        <w:t>[20]Yamamichi   N,Yamaji    Y,Shimamoto   T,et    al.Inverse    time   </w:t>
      </w:r>
      <w:r>
        <w:rPr>
          <w:sz w:val="15"/>
          <w:szCs w:val="15"/>
          <w:spacing w:val="-1"/>
        </w:rPr>
        <w:t>trends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peptic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ulcer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reflux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esophagitis  sho</w:t>
      </w:r>
      <w:r>
        <w:rPr>
          <w:sz w:val="15"/>
          <w:szCs w:val="15"/>
          <w:spacing w:val="-1"/>
        </w:rPr>
        <w:t>w  significant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association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reduced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prevalence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Helicobacter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pylori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infection</w:t>
      </w:r>
      <w:r>
        <w:rPr>
          <w:sz w:val="15"/>
          <w:szCs w:val="15"/>
          <w:spacing w:val="1"/>
        </w:rPr>
        <w:t>[J].</w:t>
      </w:r>
      <w:r>
        <w:rPr>
          <w:sz w:val="15"/>
          <w:szCs w:val="15"/>
        </w:rPr>
        <w:t>Ann </w:t>
      </w:r>
      <w:r>
        <w:rPr>
          <w:sz w:val="15"/>
          <w:szCs w:val="15"/>
        </w:rPr>
        <w:t>Med,2020,52(8):506-514.DOI:10.1080/07853890.2020.</w:t>
      </w:r>
    </w:p>
    <w:p>
      <w:pPr>
        <w:pStyle w:val="BodyText"/>
        <w:ind w:left="420"/>
        <w:spacing w:before="165" w:line="18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1782461.</w:t>
      </w:r>
    </w:p>
    <w:p>
      <w:pPr>
        <w:pStyle w:val="BodyText"/>
        <w:ind w:left="420" w:right="312" w:hanging="420"/>
        <w:spacing w:before="112" w:line="339" w:lineRule="auto"/>
        <w:rPr>
          <w:sz w:val="15"/>
          <w:szCs w:val="15"/>
        </w:rPr>
      </w:pPr>
      <w:r>
        <w:rPr>
          <w:sz w:val="15"/>
          <w:szCs w:val="15"/>
        </w:rPr>
        <w:t>[21]Zaki      M,Coudron       PE,MeCuen      RW,et       al.H.pylori  </w:t>
      </w:r>
      <w:r>
        <w:rPr>
          <w:sz w:val="15"/>
          <w:szCs w:val="15"/>
          <w:spacing w:val="-1"/>
        </w:rPr>
        <w:t xml:space="preserve">    acutely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inhibits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</w:rPr>
        <w:t>gastric   secreti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by   activating   CGRP   sensory   neurons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coupled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to  stimulation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somatostatin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</w:rPr>
        <w:t>inhib</w:t>
      </w:r>
      <w:r>
        <w:rPr>
          <w:sz w:val="15"/>
          <w:szCs w:val="15"/>
          <w:spacing w:val="-1"/>
        </w:rPr>
        <w:t>ition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histamine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secretion[J].Am    J     Physiol     Gastrointest    Liver     P</w:t>
      </w:r>
      <w:r>
        <w:rPr>
          <w:sz w:val="15"/>
          <w:szCs w:val="15"/>
          <w:spacing w:val="-1"/>
        </w:rPr>
        <w:t>hysiol,2013,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304(8):G715-G722.DOI:10.1152/ajpgi.00187.2012.</w:t>
      </w:r>
    </w:p>
    <w:p>
      <w:pPr>
        <w:pStyle w:val="BodyText"/>
        <w:ind w:left="420" w:right="316" w:hanging="420"/>
        <w:spacing w:before="131" w:line="315" w:lineRule="auto"/>
        <w:rPr>
          <w:sz w:val="15"/>
          <w:szCs w:val="15"/>
        </w:rPr>
      </w:pPr>
      <w:r>
        <w:rPr>
          <w:sz w:val="15"/>
          <w:szCs w:val="15"/>
        </w:rPr>
        <w:t>[22]El-0mar     EM,Oien      K,El-Nujumi     A,et      al.Helicobacter   </w:t>
      </w:r>
      <w:r>
        <w:rPr>
          <w:sz w:val="15"/>
          <w:szCs w:val="15"/>
          <w:spacing w:val="-1"/>
        </w:rPr>
        <w:t xml:space="preserve">  pylori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infection</w:t>
      </w:r>
      <w:r>
        <w:rPr>
          <w:sz w:val="15"/>
          <w:szCs w:val="15"/>
          <w:spacing w:val="8"/>
        </w:rPr>
        <w:t xml:space="preserve">   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-1"/>
        </w:rPr>
        <w:t>chronic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-1"/>
        </w:rPr>
        <w:t>gastric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-1"/>
        </w:rPr>
        <w:t>acid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-1"/>
        </w:rPr>
        <w:t>hyposecretion      [J].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Gastroenterology,1997,113(1):15-24.DOI:10.1016/s001</w:t>
      </w:r>
      <w:r>
        <w:rPr>
          <w:sz w:val="15"/>
          <w:szCs w:val="15"/>
          <w:spacing w:val="-1"/>
        </w:rPr>
        <w:t>6-</w:t>
      </w:r>
    </w:p>
    <w:p>
      <w:pPr>
        <w:pStyle w:val="BodyText"/>
        <w:ind w:left="420"/>
        <w:spacing w:before="132" w:line="192" w:lineRule="auto"/>
        <w:rPr>
          <w:sz w:val="15"/>
          <w:szCs w:val="15"/>
        </w:rPr>
      </w:pPr>
      <w:r>
        <w:rPr>
          <w:sz w:val="15"/>
          <w:szCs w:val="15"/>
        </w:rPr>
        <w:t>5085(97)70075-1.</w:t>
      </w:r>
    </w:p>
    <w:p>
      <w:pPr>
        <w:pStyle w:val="BodyText"/>
        <w:ind w:left="420" w:right="318" w:hanging="420"/>
        <w:spacing w:before="172" w:line="340" w:lineRule="auto"/>
        <w:rPr>
          <w:sz w:val="15"/>
          <w:szCs w:val="15"/>
        </w:rPr>
      </w:pPr>
      <w:r>
        <w:rPr>
          <w:sz w:val="15"/>
          <w:szCs w:val="15"/>
        </w:rPr>
        <w:t>[23]Ford    AC,Delaney    BC,Forman     D,et    al.Eradication     therap</w:t>
      </w:r>
      <w:r>
        <w:rPr>
          <w:sz w:val="15"/>
          <w:szCs w:val="15"/>
          <w:spacing w:val="-1"/>
        </w:rPr>
        <w:t>y  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Helicobacter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pylori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positive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peptic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ulcer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disea</w:t>
      </w:r>
      <w:r>
        <w:rPr>
          <w:sz w:val="15"/>
          <w:szCs w:val="15"/>
          <w:spacing w:val="-1"/>
        </w:rPr>
        <w:t>se: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systematic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review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     economic      analysis[J].A</w:t>
      </w:r>
      <w:r>
        <w:rPr>
          <w:sz w:val="15"/>
          <w:szCs w:val="15"/>
          <w:spacing w:val="-1"/>
        </w:rPr>
        <w:t>m     J      Gastroenterol,2004,99(9):</w:t>
      </w:r>
      <w:r>
        <w:rPr>
          <w:sz w:val="15"/>
          <w:szCs w:val="15"/>
        </w:rPr>
        <w:t xml:space="preserve">   </w:t>
      </w:r>
      <w:r>
        <w:rPr>
          <w:sz w:val="15"/>
          <w:szCs w:val="15"/>
        </w:rPr>
        <w:t>1833-1855.DOI:10.1111/j.1572</w:t>
      </w:r>
      <w:r>
        <w:rPr>
          <w:sz w:val="15"/>
          <w:szCs w:val="15"/>
          <w:spacing w:val="-1"/>
        </w:rPr>
        <w:t>-0241.2004.40014.x.</w:t>
      </w:r>
    </w:p>
    <w:p>
      <w:pPr>
        <w:pStyle w:val="BodyText"/>
        <w:ind w:left="420" w:right="314" w:hanging="420"/>
        <w:spacing w:before="141" w:line="337" w:lineRule="auto"/>
        <w:rPr>
          <w:sz w:val="15"/>
          <w:szCs w:val="15"/>
        </w:rPr>
      </w:pPr>
      <w:r>
        <w:rPr>
          <w:sz w:val="15"/>
          <w:szCs w:val="15"/>
        </w:rPr>
        <w:t>[24]El-Serag      HB,Kao       JY,Kanwal      F,et       al.Hou</w:t>
      </w:r>
      <w:r>
        <w:rPr>
          <w:sz w:val="15"/>
          <w:szCs w:val="15"/>
          <w:spacing w:val="-1"/>
        </w:rPr>
        <w:t>ston      consensus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conference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testing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Heli</w:t>
      </w:r>
      <w:r>
        <w:rPr>
          <w:sz w:val="15"/>
          <w:szCs w:val="15"/>
          <w:spacing w:val="-1"/>
        </w:rPr>
        <w:t>cobacter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pylori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infection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United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States[J].Clin</w:t>
      </w:r>
      <w:r>
        <w:rPr>
          <w:sz w:val="15"/>
          <w:szCs w:val="15"/>
          <w:spacing w:val="3"/>
        </w:rPr>
        <w:t xml:space="preserve">         </w:t>
      </w:r>
      <w:r>
        <w:rPr>
          <w:sz w:val="15"/>
          <w:szCs w:val="15"/>
        </w:rPr>
        <w:t>Gastroenterol</w:t>
      </w:r>
      <w:r>
        <w:rPr>
          <w:sz w:val="15"/>
          <w:szCs w:val="15"/>
          <w:spacing w:val="4"/>
        </w:rPr>
        <w:t xml:space="preserve">         </w:t>
      </w:r>
      <w:r>
        <w:rPr>
          <w:sz w:val="15"/>
          <w:szCs w:val="15"/>
        </w:rPr>
        <w:t>Hepatol</w:t>
      </w:r>
      <w:r>
        <w:rPr>
          <w:sz w:val="15"/>
          <w:szCs w:val="15"/>
          <w:spacing w:val="-1"/>
        </w:rPr>
        <w:t>,2018,16(7):992-1002.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e6.DOI:10.1016/j.cgh.2018.03.013.</w:t>
      </w:r>
    </w:p>
    <w:p>
      <w:pPr>
        <w:pStyle w:val="BodyText"/>
        <w:ind w:left="420" w:right="313" w:hanging="420"/>
        <w:spacing w:before="114" w:line="347" w:lineRule="auto"/>
        <w:rPr>
          <w:sz w:val="15"/>
          <w:szCs w:val="15"/>
        </w:rPr>
      </w:pPr>
      <w:r>
        <w:rPr>
          <w:sz w:val="15"/>
          <w:szCs w:val="15"/>
        </w:rPr>
        <w:t>[25]Fernández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</w:rPr>
        <w:t>Salazar   </w:t>
      </w:r>
      <w:r>
        <w:rPr>
          <w:sz w:val="15"/>
          <w:szCs w:val="15"/>
          <w:spacing w:val="-1"/>
        </w:rPr>
        <w:t xml:space="preserve">  L,Valle      Munoz      J.2021      guidelines      on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Helicobacer   pylori.coincidences    and    divergences    between   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Spanish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</w:rPr>
        <w:t>and     World      Gastroenterology      Organ</w:t>
      </w:r>
      <w:r>
        <w:rPr>
          <w:sz w:val="15"/>
          <w:szCs w:val="15"/>
          <w:spacing w:val="-1"/>
        </w:rPr>
        <w:t>isation(WGO)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guidelines[J].Rev       Esp        Enferm        Dig,2022,114(</w:t>
      </w:r>
      <w:r>
        <w:rPr>
          <w:sz w:val="15"/>
          <w:szCs w:val="15"/>
          <w:spacing w:val="-1"/>
        </w:rPr>
        <w:t>3):129-132.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DOI:10.17235/reed.2022.8693/2022.</w:t>
      </w:r>
    </w:p>
    <w:p>
      <w:pPr>
        <w:pStyle w:val="BodyText"/>
        <w:ind w:left="420" w:right="303" w:hanging="420"/>
        <w:spacing w:before="116" w:line="28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7"/>
        </w:rPr>
        <w:t>[26]中华医学会消化病学分会幽门螺杆菌学</w:t>
      </w:r>
      <w:r>
        <w:rPr>
          <w:rFonts w:ascii="SimSun" w:hAnsi="SimSun" w:eastAsia="SimSun" w:cs="SimSun"/>
          <w:sz w:val="15"/>
          <w:szCs w:val="15"/>
          <w:spacing w:val="16"/>
        </w:rPr>
        <w:t>组.第六次全国幽门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2"/>
        </w:rPr>
        <w:t>螺杆菌感染处理共识报告(非根除治疗部分)</w:t>
      </w:r>
      <w:r>
        <w:rPr>
          <w:sz w:val="15"/>
          <w:szCs w:val="15"/>
          <w:spacing w:val="12"/>
        </w:rPr>
        <w:t>[J].    </w:t>
      </w:r>
      <w:r>
        <w:rPr>
          <w:rFonts w:ascii="SimSun" w:hAnsi="SimSun" w:eastAsia="SimSun" w:cs="SimSun"/>
          <w:sz w:val="15"/>
          <w:szCs w:val="15"/>
          <w:spacing w:val="12"/>
        </w:rPr>
        <w:t>中华消化</w:t>
      </w:r>
      <w:r>
        <w:rPr>
          <w:rFonts w:ascii="SimSun" w:hAnsi="SimSun" w:eastAsia="SimSun" w:cs="SimSun"/>
          <w:sz w:val="15"/>
          <w:szCs w:val="15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杂志，2022,42(5):289-303.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DOI</w:t>
      </w:r>
      <w:r>
        <w:rPr>
          <w:sz w:val="15"/>
          <w:szCs w:val="15"/>
          <w:spacing w:val="3"/>
        </w:rPr>
        <w:t>:10.3760/</w:t>
      </w:r>
      <w:r>
        <w:rPr>
          <w:sz w:val="15"/>
          <w:szCs w:val="15"/>
        </w:rPr>
        <w:t>cma</w:t>
      </w:r>
      <w:r>
        <w:rPr>
          <w:sz w:val="15"/>
          <w:szCs w:val="15"/>
          <w:spacing w:val="3"/>
        </w:rPr>
        <w:t>.j.</w:t>
      </w:r>
      <w:r>
        <w:rPr>
          <w:sz w:val="15"/>
          <w:szCs w:val="15"/>
        </w:rPr>
        <w:t>cn</w:t>
      </w:r>
      <w:r>
        <w:rPr>
          <w:sz w:val="15"/>
          <w:szCs w:val="15"/>
          <w:spacing w:val="3"/>
        </w:rPr>
        <w:t>311367-</w:t>
      </w:r>
    </w:p>
    <w:p>
      <w:pPr>
        <w:pStyle w:val="BodyText"/>
        <w:ind w:left="420"/>
        <w:spacing w:before="154" w:line="1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20220206-00057.</w:t>
      </w:r>
    </w:p>
    <w:p>
      <w:pPr>
        <w:pStyle w:val="BodyText"/>
        <w:ind w:left="420" w:right="315" w:hanging="420"/>
        <w:spacing w:before="133" w:line="340" w:lineRule="auto"/>
        <w:rPr>
          <w:sz w:val="15"/>
          <w:szCs w:val="15"/>
        </w:rPr>
      </w:pPr>
      <w:r>
        <w:rPr>
          <w:sz w:val="15"/>
          <w:szCs w:val="15"/>
        </w:rPr>
        <w:t>[27]Wongrakpanich        S,Wongrakpanich       A,Melha</w:t>
      </w:r>
      <w:r>
        <w:rPr>
          <w:sz w:val="15"/>
          <w:szCs w:val="15"/>
          <w:spacing w:val="-1"/>
        </w:rPr>
        <w:t>do        K,et        al.A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comprehensive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review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non-steroidal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anti-inflamm</w:t>
      </w:r>
      <w:r>
        <w:rPr>
          <w:sz w:val="15"/>
          <w:szCs w:val="15"/>
          <w:spacing w:val="-1"/>
        </w:rPr>
        <w:t>atory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drug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use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        the         elderly[J].Aging         Dis,2018,9(1):143-</w:t>
      </w:r>
      <w:r>
        <w:rPr>
          <w:sz w:val="15"/>
          <w:szCs w:val="15"/>
          <w:spacing w:val="-1"/>
        </w:rPr>
        <w:t>150.DOI:10.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14336/AD.2017.0306.</w:t>
      </w:r>
    </w:p>
    <w:p>
      <w:pPr>
        <w:pStyle w:val="BodyText"/>
        <w:ind w:left="420" w:right="320" w:hanging="420"/>
        <w:spacing w:before="112" w:line="340" w:lineRule="auto"/>
        <w:rPr>
          <w:sz w:val="15"/>
          <w:szCs w:val="15"/>
        </w:rPr>
      </w:pPr>
      <w:r>
        <w:rPr>
          <w:sz w:val="15"/>
          <w:szCs w:val="15"/>
        </w:rPr>
        <w:t>[28]Richette    P,Doherty    M,Pascual     E,et    al.2016     </w:t>
      </w:r>
      <w:r>
        <w:rPr>
          <w:sz w:val="15"/>
          <w:szCs w:val="15"/>
          <w:spacing w:val="-1"/>
        </w:rPr>
        <w:t>updated    EULAR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evidence-based  recommendations  for  the  management  of  gout[J].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Ann</w:t>
      </w:r>
      <w:r>
        <w:rPr>
          <w:sz w:val="15"/>
          <w:szCs w:val="15"/>
          <w:spacing w:val="1"/>
        </w:rPr>
        <w:t xml:space="preserve">                  </w:t>
      </w:r>
      <w:r>
        <w:rPr>
          <w:sz w:val="15"/>
          <w:szCs w:val="15"/>
        </w:rPr>
        <w:t>Rheum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</w:rPr>
        <w:t xml:space="preserve">              Dis,2017,76(1):2942.DOI:10.1136/ </w:t>
      </w:r>
      <w:r>
        <w:rPr>
          <w:sz w:val="15"/>
          <w:szCs w:val="15"/>
        </w:rPr>
        <w:t>annrheumdis-2016-209707.</w:t>
      </w:r>
    </w:p>
    <w:p>
      <w:pPr>
        <w:pStyle w:val="BodyText"/>
        <w:ind w:left="420" w:right="312" w:hanging="420"/>
        <w:spacing w:before="123" w:line="347" w:lineRule="auto"/>
        <w:rPr>
          <w:sz w:val="15"/>
          <w:szCs w:val="15"/>
        </w:rPr>
      </w:pPr>
      <w:r>
        <w:rPr>
          <w:sz w:val="15"/>
          <w:szCs w:val="15"/>
        </w:rPr>
        <w:t>[29]Dahl</w:t>
      </w:r>
      <w:r>
        <w:rPr>
          <w:sz w:val="15"/>
          <w:szCs w:val="15"/>
          <w:spacing w:val="4"/>
        </w:rPr>
        <w:t xml:space="preserve">        </w:t>
      </w:r>
      <w:r>
        <w:rPr>
          <w:sz w:val="15"/>
          <w:szCs w:val="15"/>
        </w:rPr>
        <w:t>JB,Nielsen</w:t>
      </w:r>
      <w:r>
        <w:rPr>
          <w:sz w:val="15"/>
          <w:szCs w:val="15"/>
          <w:spacing w:val="4"/>
        </w:rPr>
        <w:t xml:space="preserve">        </w:t>
      </w:r>
      <w:r>
        <w:rPr>
          <w:sz w:val="15"/>
          <w:szCs w:val="15"/>
        </w:rPr>
        <w:t>RV,Wetters</w:t>
      </w:r>
      <w:r>
        <w:rPr>
          <w:sz w:val="15"/>
          <w:szCs w:val="15"/>
          <w:spacing w:val="-1"/>
        </w:rPr>
        <w:t>lev</w:t>
      </w:r>
      <w:r>
        <w:rPr>
          <w:sz w:val="15"/>
          <w:szCs w:val="15"/>
          <w:spacing w:val="4"/>
        </w:rPr>
        <w:t xml:space="preserve">        </w:t>
      </w:r>
      <w:r>
        <w:rPr>
          <w:sz w:val="15"/>
          <w:szCs w:val="15"/>
          <w:spacing w:val="-1"/>
        </w:rPr>
        <w:t>J,et         al.Post-operative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analgesic       effects        of       paracetamol,NSAIDs,glucocorticoids,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gabapentinoids   and   their   combinations:a   topical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review[J].Acta </w:t>
      </w:r>
      <w:r>
        <w:rPr>
          <w:sz w:val="15"/>
          <w:szCs w:val="15"/>
        </w:rPr>
        <w:t>Anaesthesiol                   Scand,2014,58(10):1165-1181.DOI:1</w:t>
      </w:r>
      <w:r>
        <w:rPr>
          <w:sz w:val="15"/>
          <w:szCs w:val="15"/>
          <w:spacing w:val="-1"/>
        </w:rPr>
        <w:t>0.1111/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aas.12382.</w:t>
      </w:r>
    </w:p>
    <w:p>
      <w:pPr>
        <w:pStyle w:val="BodyText"/>
        <w:ind w:left="420" w:right="312" w:hanging="420"/>
        <w:spacing w:before="163" w:line="314" w:lineRule="auto"/>
        <w:rPr>
          <w:sz w:val="15"/>
          <w:szCs w:val="15"/>
        </w:rPr>
      </w:pPr>
      <w:r>
        <w:rPr>
          <w:sz w:val="15"/>
          <w:szCs w:val="15"/>
        </w:rPr>
        <w:t>[30]Lanza    FL,Chan    FK,Quigley    EM.Guidelines    for    prevention   </w:t>
      </w:r>
      <w:r>
        <w:rPr>
          <w:sz w:val="15"/>
          <w:szCs w:val="15"/>
          <w:spacing w:val="-1"/>
        </w:rPr>
        <w:t xml:space="preserve"> of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NSAID-related     ulcer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</w:rPr>
        <w:t>complications[J].Am     J      Gastroenterol,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2009,104(3):728-738.DOI:10.1038/ajg.2009.115.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0" w:right="13" w:hanging="420"/>
        <w:spacing w:before="56" w:line="377" w:lineRule="auto"/>
        <w:rPr>
          <w:sz w:val="15"/>
          <w:szCs w:val="15"/>
        </w:rPr>
      </w:pPr>
      <w:r>
        <w:rPr>
          <w:sz w:val="15"/>
          <w:szCs w:val="15"/>
        </w:rPr>
        <w:t>[31]Bjarnason     I,Scarpignato     C,Holmgren     E,et     al.Mechanisms    </w:t>
      </w:r>
      <w:r>
        <w:rPr>
          <w:sz w:val="15"/>
          <w:szCs w:val="15"/>
          <w:spacing w:val="-1"/>
        </w:rPr>
        <w:t xml:space="preserve"> of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damage   to    the    gastrointestinal   </w:t>
      </w:r>
      <w:r>
        <w:rPr>
          <w:sz w:val="15"/>
          <w:szCs w:val="15"/>
          <w:spacing w:val="-1"/>
        </w:rPr>
        <w:t>tract    from    nonsteroidal    anti-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inflammatory                   drugs[J].Gastroenterology,2018,154(3):500-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514.DOI:10.1053/j.gastro.2017.10.049.</w:t>
      </w:r>
    </w:p>
    <w:p>
      <w:pPr>
        <w:pStyle w:val="BodyText"/>
        <w:ind w:left="420" w:right="13" w:hanging="420"/>
        <w:spacing w:before="15" w:line="324" w:lineRule="auto"/>
        <w:rPr>
          <w:sz w:val="15"/>
          <w:szCs w:val="15"/>
        </w:rPr>
      </w:pPr>
      <w:r>
        <w:rPr>
          <w:sz w:val="15"/>
          <w:szCs w:val="15"/>
        </w:rPr>
        <w:t>[32]Scheiman    JM.NSAID-induced     gastrointestinal     injury:a     </w:t>
      </w:r>
      <w:r>
        <w:rPr>
          <w:sz w:val="15"/>
          <w:szCs w:val="15"/>
          <w:spacing w:val="-1"/>
        </w:rPr>
        <w:t>focused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update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</w:rPr>
        <w:t>for     clinicians[J].J      Clin      Gastroenterol,2016,5</w:t>
      </w:r>
      <w:r>
        <w:rPr>
          <w:sz w:val="15"/>
          <w:szCs w:val="15"/>
          <w:spacing w:val="-1"/>
        </w:rPr>
        <w:t>0(1):5-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10.DOI:10.1097/MCG.00000000</w:t>
      </w:r>
      <w:r>
        <w:rPr>
          <w:sz w:val="15"/>
          <w:szCs w:val="15"/>
          <w:spacing w:val="-1"/>
        </w:rPr>
        <w:t>00000432.</w:t>
      </w:r>
    </w:p>
    <w:p>
      <w:pPr>
        <w:pStyle w:val="BodyText"/>
        <w:ind w:left="420" w:right="59" w:hanging="420"/>
        <w:spacing w:before="112" w:line="277" w:lineRule="auto"/>
        <w:rPr>
          <w:sz w:val="15"/>
          <w:szCs w:val="15"/>
        </w:rPr>
      </w:pPr>
      <w:r>
        <w:rPr>
          <w:sz w:val="15"/>
          <w:szCs w:val="15"/>
        </w:rPr>
        <w:t>[33]Ricciotti    E,FitzGerald     GA.Prost</w:t>
      </w:r>
      <w:r>
        <w:rPr>
          <w:sz w:val="15"/>
          <w:szCs w:val="15"/>
          <w:spacing w:val="-1"/>
        </w:rPr>
        <w:t>aglandins     and     inflammation[J].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Arterioscler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</w:rPr>
        <w:t>Thromb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</w:rPr>
        <w:t>Vasc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</w:rPr>
        <w:t>Biol,2011,31(5):986-</w:t>
      </w:r>
      <w:r>
        <w:rPr>
          <w:sz w:val="15"/>
          <w:szCs w:val="15"/>
          <w:spacing w:val="-1"/>
        </w:rPr>
        <w:t>1000.DOI:10.</w:t>
      </w:r>
    </w:p>
    <w:p>
      <w:pPr>
        <w:pStyle w:val="BodyText"/>
        <w:ind w:left="420"/>
        <w:spacing w:before="16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1161/ATVBAHA.110.207449.</w:t>
      </w:r>
    </w:p>
    <w:p>
      <w:pPr>
        <w:pStyle w:val="BodyText"/>
        <w:ind w:right="19"/>
        <w:spacing w:before="101" w:line="388" w:lineRule="auto"/>
        <w:jc w:val="right"/>
        <w:rPr>
          <w:sz w:val="15"/>
          <w:szCs w:val="15"/>
        </w:rPr>
      </w:pPr>
      <w:r>
        <w:rPr>
          <w:sz w:val="15"/>
          <w:szCs w:val="15"/>
        </w:rPr>
        <w:t>[34]Rouzer          CA,Marnett          LJ.Cyclooxygenases:stru</w:t>
      </w:r>
      <w:r>
        <w:rPr>
          <w:sz w:val="15"/>
          <w:szCs w:val="15"/>
          <w:spacing w:val="-1"/>
        </w:rPr>
        <w:t>ctural         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functional      insights[J].J</w:t>
      </w:r>
      <w:r>
        <w:rPr>
          <w:sz w:val="15"/>
          <w:szCs w:val="15"/>
          <w:spacing w:val="2"/>
        </w:rPr>
        <w:t xml:space="preserve">      </w:t>
      </w:r>
      <w:r>
        <w:rPr>
          <w:sz w:val="15"/>
          <w:szCs w:val="15"/>
        </w:rPr>
        <w:t>Lipid      Res,2009,50   </w:t>
      </w:r>
      <w:r>
        <w:rPr>
          <w:sz w:val="15"/>
          <w:szCs w:val="15"/>
          <w:spacing w:val="-1"/>
        </w:rPr>
        <w:t xml:space="preserve">    Suppl(Suppl):</w:t>
      </w:r>
    </w:p>
    <w:p>
      <w:pPr>
        <w:pStyle w:val="BodyText"/>
        <w:ind w:left="420"/>
        <w:spacing w:before="23" w:line="192" w:lineRule="auto"/>
        <w:rPr>
          <w:sz w:val="15"/>
          <w:szCs w:val="15"/>
        </w:rPr>
      </w:pPr>
      <w:r>
        <w:rPr>
          <w:sz w:val="15"/>
          <w:szCs w:val="15"/>
        </w:rPr>
        <w:t>S29-34.DOI:10.1194/jlr.R800042-JLR200.</w:t>
      </w:r>
    </w:p>
    <w:p>
      <w:pPr>
        <w:pStyle w:val="BodyText"/>
        <w:ind w:left="420" w:hanging="420"/>
        <w:spacing w:before="102" w:line="35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</w:t>
      </w:r>
      <w:r>
        <w:rPr>
          <w:sz w:val="15"/>
          <w:szCs w:val="15"/>
        </w:rPr>
        <w:t>35]LanasA,Carrera-Lasfuentes    P,Arguedas     Y,et     al.Risk     </w:t>
      </w:r>
      <w:r>
        <w:rPr>
          <w:sz w:val="15"/>
          <w:szCs w:val="15"/>
          <w:spacing w:val="-1"/>
        </w:rPr>
        <w:t>of     uppe</w:t>
      </w:r>
      <w:r>
        <w:rPr>
          <w:sz w:val="15"/>
          <w:szCs w:val="15"/>
        </w:rPr>
        <w:t>r </w:t>
      </w:r>
      <w:r>
        <w:rPr>
          <w:sz w:val="15"/>
          <w:szCs w:val="15"/>
        </w:rPr>
        <w:t>and  lower  gastrointestinal  bleeding  in  patien</w:t>
      </w:r>
      <w:r>
        <w:rPr>
          <w:sz w:val="15"/>
          <w:szCs w:val="15"/>
          <w:spacing w:val="-1"/>
        </w:rPr>
        <w:t>ts  taking  nonsteroidal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anti-inflammatory      drugs,antiplatelet      agents,</w:t>
      </w:r>
      <w:r>
        <w:rPr>
          <w:sz w:val="15"/>
          <w:szCs w:val="15"/>
          <w:spacing w:val="-1"/>
        </w:rPr>
        <w:t>or      anticoagulants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[J].Clin             Gastroenterol             H</w:t>
      </w:r>
      <w:r>
        <w:rPr>
          <w:sz w:val="15"/>
          <w:szCs w:val="15"/>
          <w:spacing w:val="-1"/>
        </w:rPr>
        <w:t>epatol,2015,13(5):906-912.e2.</w:t>
      </w:r>
      <w:r>
        <w:rPr>
          <w:sz w:val="15"/>
          <w:szCs w:val="15"/>
        </w:rPr>
        <w:t xml:space="preserve">   </w:t>
      </w:r>
      <w:r>
        <w:rPr>
          <w:sz w:val="15"/>
          <w:szCs w:val="15"/>
        </w:rPr>
        <w:t>DOI:10.1016/j.cgh.2014.11.007.</w:t>
      </w:r>
    </w:p>
    <w:p>
      <w:pPr>
        <w:pStyle w:val="BodyText"/>
        <w:ind w:left="420" w:hanging="420"/>
        <w:spacing w:before="131" w:line="324" w:lineRule="auto"/>
        <w:rPr>
          <w:sz w:val="15"/>
          <w:szCs w:val="15"/>
        </w:rPr>
      </w:pPr>
      <w:r>
        <w:rPr>
          <w:sz w:val="15"/>
          <w:szCs w:val="15"/>
        </w:rPr>
        <w:t>[36]Masclee     GM,Valkhoff    VE,Coloma     PM,et     al.Risk     of     upper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gastrointestinal   bleeding    from   different    drug   combinat</w:t>
      </w:r>
      <w:r>
        <w:rPr>
          <w:sz w:val="15"/>
          <w:szCs w:val="15"/>
          <w:spacing w:val="-1"/>
        </w:rPr>
        <w:t>ions[J].</w:t>
      </w:r>
      <w:r>
        <w:rPr>
          <w:sz w:val="15"/>
          <w:szCs w:val="15"/>
        </w:rPr>
        <w:t xml:space="preserve">   </w:t>
      </w:r>
      <w:r>
        <w:rPr>
          <w:sz w:val="15"/>
          <w:szCs w:val="15"/>
        </w:rPr>
        <w:t>Gastroenterology,2014,147(4):784-792.e9.DOI:10</w:t>
      </w:r>
      <w:r>
        <w:rPr>
          <w:sz w:val="15"/>
          <w:szCs w:val="15"/>
          <w:spacing w:val="-1"/>
        </w:rPr>
        <w:t>.1053/j.</w:t>
      </w:r>
    </w:p>
    <w:p>
      <w:pPr>
        <w:pStyle w:val="BodyText"/>
        <w:ind w:left="420"/>
        <w:spacing w:before="145" w:line="188" w:lineRule="auto"/>
        <w:rPr>
          <w:sz w:val="15"/>
          <w:szCs w:val="15"/>
        </w:rPr>
      </w:pPr>
      <w:r>
        <w:rPr>
          <w:sz w:val="15"/>
          <w:szCs w:val="15"/>
        </w:rPr>
        <w:t>gastro.2014.06.007.</w:t>
      </w:r>
    </w:p>
    <w:p>
      <w:pPr>
        <w:pStyle w:val="BodyText"/>
        <w:ind w:left="420" w:right="13" w:hanging="420"/>
        <w:spacing w:before="123" w:line="339" w:lineRule="auto"/>
        <w:rPr>
          <w:sz w:val="15"/>
          <w:szCs w:val="15"/>
        </w:rPr>
      </w:pPr>
      <w:r>
        <w:rPr>
          <w:sz w:val="15"/>
          <w:szCs w:val="15"/>
        </w:rPr>
        <w:t>[37]Szeto       CC,Sugano       K,Wang       JG,et        a</w:t>
      </w:r>
      <w:r>
        <w:rPr>
          <w:sz w:val="15"/>
          <w:szCs w:val="15"/>
          <w:spacing w:val="-1"/>
        </w:rPr>
        <w:t>l.Non-steroida       anti-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inflammatory</w:t>
      </w:r>
      <w:r>
        <w:rPr>
          <w:sz w:val="15"/>
          <w:szCs w:val="15"/>
          <w:spacing w:val="2"/>
        </w:rPr>
        <w:t xml:space="preserve">             </w:t>
      </w:r>
      <w:r>
        <w:rPr>
          <w:sz w:val="15"/>
          <w:szCs w:val="15"/>
        </w:rPr>
        <w:t>drug(NSAID)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</w:rPr>
        <w:t>therapy     i</w:t>
      </w:r>
      <w:r>
        <w:rPr>
          <w:sz w:val="15"/>
          <w:szCs w:val="15"/>
          <w:spacing w:val="-1"/>
        </w:rPr>
        <w:t>n     patients   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hypertension,       cardiovascular,         renal       or  </w:t>
      </w:r>
      <w:r>
        <w:rPr>
          <w:sz w:val="15"/>
          <w:szCs w:val="15"/>
          <w:spacing w:val="-1"/>
        </w:rPr>
        <w:t xml:space="preserve">     gastrointestinal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comorbidities:joint         APAGE/APLAR/APSDE/APSH/APSN/PoA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recommendations[J].Gut,2020,69(4):617-629.DOI:10.</w:t>
      </w:r>
    </w:p>
    <w:p>
      <w:pPr>
        <w:pStyle w:val="BodyText"/>
        <w:ind w:left="420"/>
        <w:spacing w:before="131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1136/gutjnl-2019-319300.</w:t>
      </w:r>
    </w:p>
    <w:p>
      <w:pPr>
        <w:pStyle w:val="BodyText"/>
        <w:ind w:left="420" w:right="7" w:hanging="420"/>
        <w:spacing w:before="162" w:line="330" w:lineRule="auto"/>
        <w:rPr>
          <w:sz w:val="15"/>
          <w:szCs w:val="15"/>
        </w:rPr>
      </w:pPr>
      <w:r>
        <w:rPr>
          <w:sz w:val="15"/>
          <w:szCs w:val="15"/>
        </w:rPr>
        <w:t>[38]Lu    CL,Chang    SS,Wang  </w:t>
      </w:r>
      <w:r>
        <w:rPr>
          <w:sz w:val="15"/>
          <w:szCs w:val="15"/>
          <w:spacing w:val="-1"/>
        </w:rPr>
        <w:t xml:space="preserve">   SS,et    al.Silent    peptic     ulcer    disease: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frequency,factors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leading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to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</w:rPr>
        <w:t>"s</w:t>
      </w:r>
      <w:r>
        <w:rPr>
          <w:sz w:val="15"/>
          <w:szCs w:val="15"/>
          <w:spacing w:val="-1"/>
        </w:rPr>
        <w:t>ilence,"and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implications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regarding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pathogenesis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of visceral  symptoms[J].Gastrointest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Endos</w:t>
      </w:r>
      <w:r>
        <w:rPr>
          <w:sz w:val="15"/>
          <w:szCs w:val="15"/>
          <w:spacing w:val="-1"/>
        </w:rPr>
        <w:t>c,2004,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60(1):34-38.DOI:10.1016/s0016-5107(04)01311-2.</w:t>
      </w:r>
    </w:p>
    <w:p>
      <w:pPr>
        <w:pStyle w:val="BodyText"/>
        <w:ind w:left="420" w:right="15" w:hanging="420"/>
        <w:spacing w:before="152" w:line="340" w:lineRule="auto"/>
        <w:rPr>
          <w:sz w:val="15"/>
          <w:szCs w:val="15"/>
        </w:rPr>
      </w:pPr>
      <w:r>
        <w:rPr>
          <w:sz w:val="15"/>
          <w:szCs w:val="15"/>
        </w:rPr>
        <w:t>[39]Barkun    A,Leontiadis     G.Systematic     revie</w:t>
      </w:r>
      <w:r>
        <w:rPr>
          <w:sz w:val="15"/>
          <w:szCs w:val="15"/>
          <w:spacing w:val="-1"/>
        </w:rPr>
        <w:t>w     of     the     symptom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burden,quality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life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impairment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costs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associated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peptic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ulcer</w:t>
      </w:r>
      <w:r>
        <w:rPr>
          <w:sz w:val="15"/>
          <w:szCs w:val="15"/>
          <w:spacing w:val="1"/>
        </w:rPr>
        <w:t xml:space="preserve">                      </w:t>
      </w:r>
      <w:r>
        <w:rPr>
          <w:sz w:val="15"/>
          <w:szCs w:val="15"/>
        </w:rPr>
        <w:t>disease</w:t>
      </w:r>
      <w:r>
        <w:rPr>
          <w:sz w:val="15"/>
          <w:szCs w:val="15"/>
          <w:spacing w:val="1"/>
        </w:rPr>
        <w:t>[J].</w:t>
      </w:r>
      <w:r>
        <w:rPr>
          <w:sz w:val="15"/>
          <w:szCs w:val="15"/>
        </w:rPr>
        <w:t>AmJMed</w:t>
      </w:r>
      <w:r>
        <w:rPr>
          <w:sz w:val="15"/>
          <w:szCs w:val="15"/>
          <w:spacing w:val="1"/>
        </w:rPr>
        <w:t>,</w:t>
      </w:r>
      <w:r>
        <w:rPr>
          <w:sz w:val="15"/>
          <w:szCs w:val="15"/>
        </w:rPr>
        <w:t>2010,123(4):358-366.e2.DOI: </w:t>
      </w:r>
      <w:r>
        <w:rPr>
          <w:sz w:val="15"/>
          <w:szCs w:val="15"/>
        </w:rPr>
        <w:t>10.1016/j.amjmed.200</w:t>
      </w:r>
      <w:r>
        <w:rPr>
          <w:sz w:val="15"/>
          <w:szCs w:val="15"/>
          <w:spacing w:val="-1"/>
        </w:rPr>
        <w:t>9.09.031.</w:t>
      </w:r>
    </w:p>
    <w:p>
      <w:pPr>
        <w:pStyle w:val="BodyText"/>
        <w:ind w:left="420" w:right="19" w:hanging="420"/>
        <w:spacing w:before="152" w:line="310" w:lineRule="auto"/>
        <w:rPr>
          <w:sz w:val="15"/>
          <w:szCs w:val="15"/>
        </w:rPr>
      </w:pPr>
      <w:r>
        <w:rPr>
          <w:sz w:val="15"/>
          <w:szCs w:val="15"/>
        </w:rPr>
        <w:t>[40]Singh    G,Triadafilopoulos     G.Epidemiology    of    N</w:t>
      </w:r>
      <w:r>
        <w:rPr>
          <w:sz w:val="15"/>
          <w:szCs w:val="15"/>
          <w:spacing w:val="-1"/>
        </w:rPr>
        <w:t>SAID     induced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gastrointestinal     complications[J].J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</w:rPr>
        <w:t>Rheumat</w:t>
      </w:r>
      <w:r>
        <w:rPr>
          <w:sz w:val="15"/>
          <w:szCs w:val="15"/>
          <w:spacing w:val="-1"/>
        </w:rPr>
        <w:t>ol      Suppl,1999,56: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18-24.</w:t>
      </w:r>
    </w:p>
    <w:p>
      <w:pPr>
        <w:pStyle w:val="BodyText"/>
        <w:ind w:left="420" w:right="13" w:hanging="420"/>
        <w:spacing w:before="112" w:line="340" w:lineRule="auto"/>
        <w:rPr>
          <w:sz w:val="15"/>
          <w:szCs w:val="15"/>
        </w:rPr>
      </w:pPr>
      <w:r>
        <w:rPr>
          <w:sz w:val="15"/>
          <w:szCs w:val="15"/>
        </w:rPr>
        <w:t>[41]Lanas</w:t>
      </w:r>
      <w:r>
        <w:rPr>
          <w:sz w:val="15"/>
          <w:szCs w:val="15"/>
          <w:spacing w:val="4"/>
        </w:rPr>
        <w:t xml:space="preserve">       </w:t>
      </w:r>
      <w:r>
        <w:rPr>
          <w:sz w:val="15"/>
          <w:szCs w:val="15"/>
        </w:rPr>
        <w:t>A,Garcia-Rodríguez</w:t>
      </w:r>
      <w:r>
        <w:rPr>
          <w:sz w:val="15"/>
          <w:szCs w:val="15"/>
          <w:spacing w:val="5"/>
        </w:rPr>
        <w:t xml:space="preserve">       </w:t>
      </w:r>
      <w:r>
        <w:rPr>
          <w:sz w:val="15"/>
          <w:szCs w:val="15"/>
        </w:rPr>
        <w:t>L</w:t>
      </w:r>
      <w:r>
        <w:rPr>
          <w:sz w:val="15"/>
          <w:szCs w:val="15"/>
          <w:spacing w:val="-1"/>
        </w:rPr>
        <w:t>A,Polo-Tomás</w:t>
      </w:r>
      <w:r>
        <w:rPr>
          <w:sz w:val="15"/>
          <w:szCs w:val="15"/>
          <w:spacing w:val="5"/>
        </w:rPr>
        <w:t xml:space="preserve">       </w:t>
      </w:r>
      <w:r>
        <w:rPr>
          <w:sz w:val="15"/>
          <w:szCs w:val="15"/>
          <w:spacing w:val="-1"/>
        </w:rPr>
        <w:t>M,et        al.The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changing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face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of hospitalisation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due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gast</w:t>
      </w:r>
      <w:r>
        <w:rPr>
          <w:sz w:val="15"/>
          <w:szCs w:val="15"/>
          <w:spacing w:val="-1"/>
        </w:rPr>
        <w:t>rointestinal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bleeding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perforation[J].Aliment            Pharmacol            Ther,2011,33(5):585- </w:t>
      </w:r>
      <w:r>
        <w:rPr>
          <w:sz w:val="15"/>
          <w:szCs w:val="15"/>
        </w:rPr>
        <w:t>591.DOI:10.1111/j.1365-2036.2010</w:t>
      </w:r>
      <w:r>
        <w:rPr>
          <w:sz w:val="15"/>
          <w:szCs w:val="15"/>
          <w:spacing w:val="-1"/>
        </w:rPr>
        <w:t>.04563.x.</w:t>
      </w:r>
    </w:p>
    <w:p>
      <w:pPr>
        <w:pStyle w:val="BodyText"/>
        <w:ind w:left="420" w:right="12" w:hanging="420"/>
        <w:spacing w:before="126" w:line="339" w:lineRule="auto"/>
        <w:rPr>
          <w:sz w:val="15"/>
          <w:szCs w:val="15"/>
        </w:rPr>
      </w:pPr>
      <w:r>
        <w:rPr>
          <w:sz w:val="15"/>
          <w:szCs w:val="15"/>
        </w:rPr>
        <w:t>[42]Malmi        H,Kautiainen        H,Virta    </w:t>
      </w:r>
      <w:r>
        <w:rPr>
          <w:sz w:val="15"/>
          <w:szCs w:val="15"/>
          <w:spacing w:val="-1"/>
        </w:rPr>
        <w:t xml:space="preserve">    LJ,et        al.Incidence      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complications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peptic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ulcer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</w:rPr>
        <w:t>disease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requiring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hospitalisation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have </w:t>
      </w:r>
      <w:r>
        <w:rPr>
          <w:sz w:val="15"/>
          <w:szCs w:val="15"/>
        </w:rPr>
        <w:t>markedly    decreased     in    Finland[J]</w:t>
      </w:r>
      <w:r>
        <w:rPr>
          <w:sz w:val="15"/>
          <w:szCs w:val="15"/>
          <w:spacing w:val="-1"/>
        </w:rPr>
        <w:t>.Aliment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-1"/>
        </w:rPr>
        <w:t>Pharmacol     Ther,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2014,39(5):496-506.DOI:10.1111/apt.12620.</w:t>
      </w:r>
    </w:p>
    <w:p>
      <w:pPr>
        <w:pStyle w:val="BodyText"/>
        <w:ind w:left="420" w:right="14" w:hanging="420"/>
        <w:spacing w:before="123" w:line="340" w:lineRule="auto"/>
        <w:rPr>
          <w:sz w:val="15"/>
          <w:szCs w:val="15"/>
        </w:rPr>
      </w:pPr>
      <w:r>
        <w:rPr>
          <w:sz w:val="15"/>
          <w:szCs w:val="15"/>
        </w:rPr>
        <w:t>[43]Lash   JG,Genta   RM.Adherence   to   the </w:t>
      </w:r>
      <w:r>
        <w:rPr>
          <w:sz w:val="15"/>
          <w:szCs w:val="15"/>
          <w:spacing w:val="-1"/>
        </w:rPr>
        <w:t xml:space="preserve">   Sydney   system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-1"/>
        </w:rPr>
        <w:t>guidelines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increases   the   detection   of   Helicobacter   gastritis   and  </w:t>
      </w:r>
      <w:r>
        <w:rPr>
          <w:sz w:val="15"/>
          <w:szCs w:val="15"/>
          <w:spacing w:val="-1"/>
        </w:rPr>
        <w:t xml:space="preserve"> intestinal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metaplasia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400738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sets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gastric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biopsies[J]</w:t>
      </w:r>
      <w:r>
        <w:rPr>
          <w:sz w:val="15"/>
          <w:szCs w:val="15"/>
          <w:spacing w:val="-1"/>
        </w:rPr>
        <w:t>.Aliment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Pharmacol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Ther,2013,38(4):424-431.DOI:10.1111/apt.12383.</w:t>
      </w:r>
    </w:p>
    <w:p>
      <w:pPr>
        <w:pStyle w:val="BodyText"/>
        <w:spacing w:before="141" w:line="192" w:lineRule="auto"/>
        <w:rPr>
          <w:sz w:val="15"/>
          <w:szCs w:val="15"/>
        </w:rPr>
      </w:pPr>
      <w:r>
        <w:rPr>
          <w:sz w:val="15"/>
          <w:szCs w:val="15"/>
        </w:rPr>
        <w:t>[44]Liao     Z,Hou      X,Linhu     EQ,et      al.Accuracy      of     ma</w:t>
      </w:r>
      <w:r>
        <w:rPr>
          <w:sz w:val="15"/>
          <w:szCs w:val="15"/>
          <w:spacing w:val="-1"/>
        </w:rPr>
        <w:t>gnetically</w:t>
      </w:r>
    </w:p>
    <w:p>
      <w:pPr>
        <w:spacing w:line="192" w:lineRule="auto"/>
        <w:sectPr>
          <w:type w:val="continuous"/>
          <w:pgSz w:w="10720" w:h="15880"/>
          <w:pgMar w:top="400" w:right="550" w:bottom="0" w:left="509" w:header="0" w:footer="0" w:gutter="0"/>
          <w:cols w:equalWidth="0" w:num="2">
            <w:col w:w="4931" w:space="100"/>
            <w:col w:w="4630" w:space="0"/>
          </w:cols>
        </w:sectPr>
        <w:rPr>
          <w:sz w:val="15"/>
          <w:szCs w:val="15"/>
        </w:rPr>
      </w:pPr>
    </w:p>
    <w:p>
      <w:pPr>
        <w:spacing w:before="74"/>
        <w:rPr/>
      </w:pPr>
      <w:r/>
    </w:p>
    <w:p>
      <w:pPr>
        <w:sectPr>
          <w:headerReference w:type="default" r:id="rId16"/>
          <w:pgSz w:w="10720" w:h="15880"/>
          <w:pgMar w:top="818" w:right="504" w:bottom="0" w:left="509" w:header="510" w:footer="0" w:gutter="0"/>
          <w:cols w:equalWidth="0" w:num="1">
            <w:col w:w="9706" w:space="0"/>
          </w:cols>
        </w:sectPr>
        <w:rPr/>
      </w:pPr>
    </w:p>
    <w:p>
      <w:pPr>
        <w:pStyle w:val="BodyText"/>
        <w:ind w:left="410" w:right="317"/>
        <w:spacing w:before="27" w:line="365" w:lineRule="auto"/>
        <w:jc w:val="both"/>
        <w:rPr>
          <w:sz w:val="15"/>
          <w:szCs w:val="15"/>
        </w:rPr>
      </w:pPr>
      <w:r>
        <w:rPr>
          <w:sz w:val="15"/>
          <w:szCs w:val="15"/>
        </w:rPr>
        <w:t>controlled     capsule      endoscopy,compa</w:t>
      </w:r>
      <w:r>
        <w:rPr>
          <w:sz w:val="15"/>
          <w:szCs w:val="15"/>
          <w:spacing w:val="-1"/>
        </w:rPr>
        <w:t>red      with      conventional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gastroscopy,in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detection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of  gastric   diseases[J].Cli</w:t>
      </w:r>
      <w:r>
        <w:rPr>
          <w:sz w:val="15"/>
          <w:szCs w:val="15"/>
          <w:spacing w:val="-1"/>
        </w:rPr>
        <w:t>n   Gastroenterol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Hepatol,2016,14(9):1266-1273.el.DOI:10.1016/</w:t>
      </w:r>
      <w:r>
        <w:rPr>
          <w:sz w:val="15"/>
          <w:szCs w:val="15"/>
          <w:spacing w:val="-1"/>
        </w:rPr>
        <w:t>j.cgh.</w:t>
      </w:r>
    </w:p>
    <w:p>
      <w:pPr>
        <w:pStyle w:val="BodyText"/>
        <w:ind w:left="410"/>
        <w:spacing w:before="55" w:line="1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2016.05.013.</w:t>
      </w:r>
    </w:p>
    <w:p>
      <w:pPr>
        <w:pStyle w:val="BodyText"/>
        <w:ind w:left="410" w:right="317" w:hanging="410"/>
        <w:spacing w:before="122" w:line="372" w:lineRule="auto"/>
        <w:rPr>
          <w:sz w:val="15"/>
          <w:szCs w:val="15"/>
        </w:rPr>
      </w:pPr>
      <w:r>
        <w:rPr>
          <w:sz w:val="15"/>
          <w:szCs w:val="15"/>
        </w:rPr>
        <w:t>[45]Chey      WD,Leontiadis      GI,Howden     </w:t>
      </w:r>
      <w:r>
        <w:rPr>
          <w:sz w:val="15"/>
          <w:szCs w:val="15"/>
          <w:spacing w:val="-1"/>
        </w:rPr>
        <w:t xml:space="preserve"> CW,et       al.ACG      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guideline</w:t>
      </w:r>
      <w:r>
        <w:rPr>
          <w:sz w:val="15"/>
          <w:szCs w:val="15"/>
          <w:spacing w:val="1"/>
        </w:rPr>
        <w:t>:</w:t>
      </w:r>
      <w:r>
        <w:rPr>
          <w:sz w:val="15"/>
          <w:szCs w:val="15"/>
        </w:rPr>
        <w:t>treatment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</w:rPr>
        <w:t>of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</w:rPr>
        <w:t>Helicobacter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</w:rPr>
        <w:t>pylori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</w:rPr>
        <w:t>infection[J].AmJ </w:t>
      </w:r>
      <w:r>
        <w:rPr>
          <w:sz w:val="15"/>
          <w:szCs w:val="15"/>
        </w:rPr>
        <w:t>Gastroenterol,2017,112(2):212-239.DOI:10.1038/ajg.2016.</w:t>
      </w:r>
    </w:p>
    <w:p>
      <w:pPr>
        <w:pStyle w:val="BodyText"/>
        <w:ind w:left="410"/>
        <w:spacing w:before="41" w:line="18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563.</w:t>
      </w:r>
    </w:p>
    <w:p>
      <w:pPr>
        <w:pStyle w:val="BodyText"/>
        <w:ind w:left="410" w:right="311" w:hanging="410"/>
        <w:spacing w:before="113" w:line="347" w:lineRule="auto"/>
        <w:rPr>
          <w:sz w:val="15"/>
          <w:szCs w:val="15"/>
        </w:rPr>
      </w:pPr>
      <w:r>
        <w:rPr>
          <w:sz w:val="15"/>
          <w:szCs w:val="15"/>
        </w:rPr>
        <w:t>[46]CastellsagueJ,Riera-Guardia       N,Calingaert        B,et        al.Individual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NSAIDs   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upper    gastrointestinal   complic</w:t>
      </w:r>
      <w:r>
        <w:rPr>
          <w:sz w:val="15"/>
          <w:szCs w:val="15"/>
          <w:spacing w:val="-1"/>
        </w:rPr>
        <w:t>ations:a    systematic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review    and    meta-analysis    of    observational    studies(the    SOS </w:t>
      </w:r>
      <w:r>
        <w:rPr>
          <w:sz w:val="15"/>
          <w:szCs w:val="15"/>
        </w:rPr>
        <w:t>project)[J].Drug                           Saf,2012,35(12):112</w:t>
      </w:r>
      <w:r>
        <w:rPr>
          <w:sz w:val="15"/>
          <w:szCs w:val="15"/>
          <w:spacing w:val="-1"/>
        </w:rPr>
        <w:t>7-1146.DOI:10.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2165/11633470-000000000-00000.</w:t>
      </w:r>
    </w:p>
    <w:p>
      <w:pPr>
        <w:pStyle w:val="BodyText"/>
        <w:ind w:left="410" w:right="299" w:hanging="410"/>
        <w:spacing w:before="141" w:line="339" w:lineRule="auto"/>
        <w:rPr>
          <w:sz w:val="15"/>
          <w:szCs w:val="15"/>
        </w:rPr>
      </w:pPr>
      <w:r>
        <w:rPr>
          <w:sz w:val="15"/>
          <w:szCs w:val="15"/>
        </w:rPr>
        <w:t>[47]Nagata     N,Niikura     R,Sekine     K,et     al.Risk      of    pepti</w:t>
      </w:r>
      <w:r>
        <w:rPr>
          <w:sz w:val="15"/>
          <w:szCs w:val="15"/>
          <w:spacing w:val="-1"/>
        </w:rPr>
        <w:t>c      ulcer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bleeding  associated  with  Helicobacter  pylori  infection,no</w:t>
      </w:r>
      <w:r>
        <w:rPr>
          <w:sz w:val="15"/>
          <w:szCs w:val="15"/>
          <w:spacing w:val="-1"/>
        </w:rPr>
        <w:t>nsteroidal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anti-inflammatory     drugs,low-dose     aspiri</w:t>
      </w:r>
      <w:r>
        <w:rPr>
          <w:sz w:val="15"/>
          <w:szCs w:val="15"/>
          <w:spacing w:val="-1"/>
        </w:rPr>
        <w:t>n,and     antihypertensive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drugs:a     case-control     study[J].J      Gastroente</w:t>
      </w:r>
      <w:r>
        <w:rPr>
          <w:sz w:val="15"/>
          <w:szCs w:val="15"/>
          <w:spacing w:val="-1"/>
        </w:rPr>
        <w:t>rol     Hepatol,2015,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30(2):292-298.DOI:10.1111/jgh.12805.</w:t>
      </w:r>
    </w:p>
    <w:p>
      <w:pPr>
        <w:pStyle w:val="BodyText"/>
        <w:ind w:left="410" w:right="314" w:hanging="410"/>
        <w:spacing w:before="152" w:line="330" w:lineRule="auto"/>
        <w:rPr>
          <w:sz w:val="15"/>
          <w:szCs w:val="15"/>
        </w:rPr>
      </w:pPr>
      <w:r>
        <w:rPr>
          <w:sz w:val="15"/>
          <w:szCs w:val="15"/>
        </w:rPr>
        <w:t>[48]Xie    Y,Bowe    B,Yan     Y,et    al.Estimates     of    allcause    mor</w:t>
      </w:r>
      <w:r>
        <w:rPr>
          <w:sz w:val="15"/>
          <w:szCs w:val="15"/>
          <w:spacing w:val="-1"/>
        </w:rPr>
        <w:t>tality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cause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specific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mortality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associated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proton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pump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inhibitors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among     US      veterans:cohort     study[J/OL].BMJ,2019,365:11580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(2019-05-30)[2023-01-14].</w:t>
      </w:r>
      <w:hyperlink w:history="true" r:id="rId17">
        <w:r>
          <w:rPr>
            <w:sz w:val="15"/>
            <w:szCs w:val="15"/>
          </w:rPr>
          <w:t>https:/doi.org/10</w:t>
        </w:r>
        <w:r>
          <w:rPr>
            <w:sz w:val="15"/>
            <w:szCs w:val="15"/>
            <w:spacing w:val="-1"/>
          </w:rPr>
          <w:t>.1136/bmj</w:t>
        </w:r>
      </w:hyperlink>
    </w:p>
    <w:p>
      <w:pPr>
        <w:pStyle w:val="BodyText"/>
        <w:ind w:left="410"/>
        <w:spacing w:before="165" w:line="18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11580.</w:t>
      </w:r>
    </w:p>
    <w:p>
      <w:pPr>
        <w:pStyle w:val="BodyText"/>
        <w:ind w:left="410" w:right="315" w:hanging="410"/>
        <w:spacing w:before="141" w:line="330" w:lineRule="auto"/>
        <w:rPr>
          <w:sz w:val="15"/>
          <w:szCs w:val="15"/>
        </w:rPr>
      </w:pPr>
      <w:r>
        <w:rPr>
          <w:sz w:val="15"/>
          <w:szCs w:val="15"/>
        </w:rPr>
        <w:t>[49]Aévalo    Galvis     A,Trespalacios    Rangel    AA,Otero     Regin</w:t>
      </w:r>
      <w:r>
        <w:rPr>
          <w:sz w:val="15"/>
          <w:szCs w:val="15"/>
          <w:spacing w:val="-1"/>
        </w:rPr>
        <w:t>o    W.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Personalized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</w:rPr>
        <w:t>therapy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</w:rPr>
        <w:t>Helicobacter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pyl</w:t>
      </w:r>
      <w:r>
        <w:rPr>
          <w:sz w:val="15"/>
          <w:szCs w:val="15"/>
          <w:spacing w:val="-1"/>
        </w:rPr>
        <w:t>ori:CYP2C19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genotype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effect     on      first-line      triple      the</w:t>
      </w:r>
      <w:r>
        <w:rPr>
          <w:sz w:val="15"/>
          <w:szCs w:val="15"/>
          <w:spacing w:val="-1"/>
        </w:rPr>
        <w:t>rapy[J/OL].Helicobacter,2019,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24(3):e12574(2019-03-11)[2023-01-14].</w:t>
      </w:r>
      <w:hyperlink w:history="true" r:id="rId18">
        <w:r>
          <w:rPr>
            <w:sz w:val="15"/>
            <w:szCs w:val="15"/>
          </w:rPr>
          <w:t>https://doi</w:t>
        </w:r>
        <w:r>
          <w:rPr>
            <w:sz w:val="15"/>
            <w:szCs w:val="15"/>
            <w:spacing w:val="-1"/>
          </w:rPr>
          <w:t>.org/</w:t>
        </w:r>
      </w:hyperlink>
    </w:p>
    <w:p>
      <w:pPr>
        <w:pStyle w:val="BodyText"/>
        <w:ind w:left="410"/>
        <w:spacing w:before="13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10.1111/hel.12574.</w:t>
      </w:r>
    </w:p>
    <w:p>
      <w:pPr>
        <w:pStyle w:val="BodyText"/>
        <w:ind w:left="410" w:right="293" w:hanging="410"/>
        <w:spacing w:before="142" w:line="330" w:lineRule="auto"/>
        <w:rPr>
          <w:sz w:val="15"/>
          <w:szCs w:val="15"/>
        </w:rPr>
      </w:pPr>
      <w:r>
        <w:rPr>
          <w:sz w:val="15"/>
          <w:szCs w:val="15"/>
        </w:rPr>
        <w:t>[50]Kirchheiner   J,Glatt    S,Fuhr    U,et   al.Relative    potency    of</w:t>
      </w:r>
      <w:r>
        <w:rPr>
          <w:sz w:val="15"/>
          <w:szCs w:val="15"/>
          <w:spacing w:val="-1"/>
        </w:rPr>
        <w:t xml:space="preserve">   proton-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pump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</w:rPr>
        <w:t>inhibitors-comparison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of  effects   on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intragastric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pH</w:t>
      </w:r>
      <w:r>
        <w:rPr>
          <w:sz w:val="15"/>
          <w:szCs w:val="15"/>
          <w:spacing w:val="-1"/>
        </w:rPr>
        <w:t>[J].Eur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J          Clin           Pharmacol,2009,65(1):19-31.DOI:10.1007/s00228-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008-0576-5.</w:t>
      </w:r>
    </w:p>
    <w:p>
      <w:pPr>
        <w:pStyle w:val="BodyText"/>
        <w:ind w:left="410" w:right="314" w:hanging="410"/>
        <w:spacing w:before="172" w:line="305" w:lineRule="auto"/>
        <w:rPr>
          <w:sz w:val="15"/>
          <w:szCs w:val="15"/>
        </w:rPr>
      </w:pPr>
      <w:r>
        <w:rPr>
          <w:sz w:val="15"/>
          <w:szCs w:val="15"/>
        </w:rPr>
        <w:t>[51]Graham    DY,Tansel     A.Interchangeable     use     of    proton     pump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inhibitors     based     on     relative     potency[J].Clin     Gastroenterol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Hepatol,2018,16(6):800-808.e7.DOI:10.1016/j.cgh.2017.</w:t>
      </w:r>
    </w:p>
    <w:p>
      <w:pPr>
        <w:pStyle w:val="BodyText"/>
        <w:ind w:left="410"/>
        <w:spacing w:before="145" w:line="1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09.033.</w:t>
      </w:r>
    </w:p>
    <w:p>
      <w:pPr>
        <w:pStyle w:val="BodyText"/>
        <w:ind w:left="410" w:right="315" w:hanging="410"/>
        <w:spacing w:before="141" w:line="330" w:lineRule="auto"/>
        <w:rPr>
          <w:sz w:val="15"/>
          <w:szCs w:val="15"/>
        </w:rPr>
      </w:pPr>
      <w:r>
        <w:rPr>
          <w:sz w:val="15"/>
          <w:szCs w:val="15"/>
        </w:rPr>
        <w:t>[52]Burget   DW,Chiverton </w:t>
      </w:r>
      <w:r>
        <w:rPr>
          <w:sz w:val="15"/>
          <w:szCs w:val="15"/>
          <w:spacing w:val="-1"/>
        </w:rPr>
        <w:t xml:space="preserve">   SG,Hunt   RH.Is    there   an    optimal    degree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acid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</w:rPr>
        <w:t>suppression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healing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duodenal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ulcers</w:t>
      </w:r>
      <w:r>
        <w:rPr>
          <w:sz w:val="15"/>
          <w:szCs w:val="15"/>
          <w:spacing w:val="1"/>
        </w:rPr>
        <w:t>?</w:t>
      </w:r>
      <w:r>
        <w:rPr>
          <w:sz w:val="15"/>
          <w:szCs w:val="15"/>
        </w:rPr>
        <w:t>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model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the </w:t>
      </w:r>
      <w:r>
        <w:rPr>
          <w:sz w:val="15"/>
          <w:szCs w:val="15"/>
        </w:rPr>
        <w:t>relationship    between    ulcer    healing    and    acd    suppre</w:t>
      </w:r>
      <w:r>
        <w:rPr>
          <w:sz w:val="15"/>
          <w:szCs w:val="15"/>
          <w:spacing w:val="-1"/>
        </w:rPr>
        <w:t>ssion[J].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Gastroenterology,1990,99(2):345-351.DOI:10.1016/001</w:t>
      </w:r>
      <w:r>
        <w:rPr>
          <w:sz w:val="15"/>
          <w:szCs w:val="15"/>
          <w:spacing w:val="-1"/>
        </w:rPr>
        <w:t>6-</w:t>
      </w:r>
    </w:p>
    <w:p>
      <w:pPr>
        <w:pStyle w:val="BodyText"/>
        <w:ind w:left="410"/>
        <w:spacing w:before="13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5085(90)91015-x.</w:t>
      </w:r>
    </w:p>
    <w:p>
      <w:pPr>
        <w:pStyle w:val="BodyText"/>
        <w:ind w:left="410" w:right="320" w:hanging="410"/>
        <w:spacing w:before="173" w:line="314" w:lineRule="auto"/>
        <w:rPr>
          <w:sz w:val="15"/>
          <w:szCs w:val="15"/>
        </w:rPr>
      </w:pPr>
      <w:r>
        <w:rPr>
          <w:sz w:val="15"/>
          <w:szCs w:val="15"/>
        </w:rPr>
        <w:t>[53]Hunt   RH,Scarpignato   C.Potent   </w:t>
      </w:r>
      <w:r>
        <w:rPr>
          <w:sz w:val="15"/>
          <w:szCs w:val="15"/>
          <w:spacing w:val="-1"/>
        </w:rPr>
        <w:t xml:space="preserve"> acid    suppression   with   PPIs  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P-CABs:what's     new?[J].Curr      Treat      Options     Gastroenterol,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2018,16(4):570-590.DOI:10.1007/s11938-018-02</w:t>
      </w:r>
      <w:r>
        <w:rPr>
          <w:sz w:val="15"/>
          <w:szCs w:val="15"/>
          <w:spacing w:val="-1"/>
        </w:rPr>
        <w:t>06-y.</w:t>
      </w:r>
    </w:p>
    <w:p>
      <w:pPr>
        <w:pStyle w:val="BodyText"/>
        <w:ind w:left="410" w:right="312" w:hanging="410"/>
        <w:spacing w:before="131" w:line="330" w:lineRule="auto"/>
        <w:rPr>
          <w:sz w:val="15"/>
          <w:szCs w:val="15"/>
        </w:rPr>
      </w:pPr>
      <w:r>
        <w:rPr>
          <w:sz w:val="15"/>
          <w:szCs w:val="15"/>
        </w:rPr>
        <w:t>[54]Hou     X,Meng      F,Wang     J,et      al.Vono</w:t>
      </w:r>
      <w:r>
        <w:rPr>
          <w:sz w:val="15"/>
          <w:szCs w:val="15"/>
          <w:spacing w:val="-1"/>
        </w:rPr>
        <w:t>prazan     non-inferior      to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lansoprazole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treating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duoden</w:t>
      </w:r>
      <w:r>
        <w:rPr>
          <w:sz w:val="15"/>
          <w:szCs w:val="15"/>
          <w:spacing w:val="-1"/>
        </w:rPr>
        <w:t>al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"/>
        </w:rPr>
        <w:t>ulcer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eradicating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Helicobacter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pylori     in     Asian      patients[J].J     Gastroenterol </w:t>
      </w:r>
      <w:r>
        <w:rPr>
          <w:sz w:val="15"/>
          <w:szCs w:val="15"/>
          <w:spacing w:val="-1"/>
        </w:rPr>
        <w:t xml:space="preserve">     Hepatol,2022,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37(7):1275-1283.DOI:10.1111/jgh.15837.</w:t>
      </w:r>
    </w:p>
    <w:p>
      <w:pPr>
        <w:pStyle w:val="BodyText"/>
        <w:ind w:left="410" w:right="299" w:hanging="410"/>
        <w:spacing w:before="162" w:line="323" w:lineRule="auto"/>
        <w:rPr>
          <w:sz w:val="15"/>
          <w:szCs w:val="15"/>
        </w:rPr>
      </w:pPr>
      <w:r>
        <w:rPr>
          <w:sz w:val="15"/>
          <w:szCs w:val="15"/>
        </w:rPr>
        <w:t>[55]Marabotto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</w:rPr>
        <w:t>E,Ziola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</w:rPr>
        <w:t>S,Savarino   V,</w:t>
      </w:r>
      <w:r>
        <w:rPr>
          <w:sz w:val="15"/>
          <w:szCs w:val="15"/>
          <w:spacing w:val="-1"/>
        </w:rPr>
        <w:t>et    al.Vonoprazan    fumarate   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  treatment  of  gastric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ulcers:a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short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review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emerging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data  </w:t>
      </w:r>
      <w:r>
        <w:rPr>
          <w:sz w:val="15"/>
          <w:szCs w:val="15"/>
        </w:rPr>
        <w:t>[J].Clin           Exp           Gastroenterol,20</w:t>
      </w:r>
      <w:r>
        <w:rPr>
          <w:sz w:val="15"/>
          <w:szCs w:val="15"/>
          <w:spacing w:val="-1"/>
        </w:rPr>
        <w:t>20,13:99-104.DOI:10.2147/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CEG.S228352.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0" w:right="50" w:hanging="410"/>
        <w:spacing w:before="29" w:line="339" w:lineRule="auto"/>
        <w:rPr>
          <w:sz w:val="15"/>
          <w:szCs w:val="15"/>
        </w:rPr>
      </w:pPr>
      <w:r>
        <w:rPr>
          <w:sz w:val="15"/>
          <w:szCs w:val="15"/>
        </w:rPr>
        <w:t>[56]Han     S,Choi      HY,Kim     YH,et      al.Effect </w:t>
      </w:r>
      <w:r>
        <w:rPr>
          <w:sz w:val="15"/>
          <w:szCs w:val="15"/>
          <w:spacing w:val="-1"/>
        </w:rPr>
        <w:t xml:space="preserve">    of     food      on   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pharmacokinetics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pharmacodynamics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a  single  or</w:t>
      </w:r>
      <w:r>
        <w:rPr>
          <w:sz w:val="15"/>
          <w:szCs w:val="15"/>
          <w:spacing w:val="-1"/>
        </w:rPr>
        <w:t>al  dose  of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tegoprazan[J].Clin                      Ther,2021,43(8):1371-1380.DOI:10.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1016/j.clinthera.202</w:t>
      </w:r>
      <w:r>
        <w:rPr>
          <w:sz w:val="15"/>
          <w:szCs w:val="15"/>
          <w:spacing w:val="-1"/>
        </w:rPr>
        <w:t>1.06.007.</w:t>
      </w:r>
    </w:p>
    <w:p>
      <w:pPr>
        <w:pStyle w:val="BodyText"/>
        <w:ind w:left="410" w:right="55" w:hanging="410"/>
        <w:spacing w:before="121" w:line="337" w:lineRule="auto"/>
        <w:rPr>
          <w:sz w:val="15"/>
          <w:szCs w:val="15"/>
        </w:rPr>
      </w:pPr>
      <w:r>
        <w:rPr>
          <w:sz w:val="15"/>
          <w:szCs w:val="15"/>
        </w:rPr>
        <w:t>[57]He         J,Cao</w:t>
      </w:r>
      <w:r>
        <w:rPr>
          <w:sz w:val="15"/>
          <w:szCs w:val="15"/>
          <w:spacing w:val="1"/>
        </w:rPr>
        <w:t xml:space="preserve">         </w:t>
      </w:r>
      <w:r>
        <w:rPr>
          <w:sz w:val="15"/>
          <w:szCs w:val="15"/>
        </w:rPr>
        <w:t>G,Yu         J,et       </w:t>
      </w:r>
      <w:r>
        <w:rPr>
          <w:sz w:val="15"/>
          <w:szCs w:val="15"/>
          <w:spacing w:val="-1"/>
        </w:rPr>
        <w:t xml:space="preserve">   al.    Safety,tolerability          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pharmacokinetics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single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ascending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multiple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oral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doses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of  </w:t>
      </w:r>
      <w:r>
        <w:rPr>
          <w:sz w:val="15"/>
          <w:szCs w:val="15"/>
        </w:rPr>
        <w:t>tegoprazan   in   healthy    Chinese   subjects[J].Clin</w:t>
      </w:r>
      <w:r>
        <w:rPr>
          <w:sz w:val="15"/>
          <w:szCs w:val="15"/>
          <w:spacing w:val="-1"/>
        </w:rPr>
        <w:t xml:space="preserve">    Drug   Investig,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2021,41(1):89-97.DOI:10.1007/s40261-020-00986-4.</w:t>
      </w:r>
    </w:p>
    <w:p>
      <w:pPr>
        <w:pStyle w:val="BodyText"/>
        <w:ind w:left="410" w:right="62" w:hanging="410"/>
        <w:spacing w:before="134" w:line="341" w:lineRule="auto"/>
        <w:rPr>
          <w:sz w:val="15"/>
          <w:szCs w:val="15"/>
        </w:rPr>
      </w:pPr>
      <w:r>
        <w:rPr>
          <w:sz w:val="15"/>
          <w:szCs w:val="15"/>
        </w:rPr>
        <w:t>[58]Miwa     H,Uedo     N,Watari</w:t>
      </w:r>
      <w:r>
        <w:rPr>
          <w:sz w:val="15"/>
          <w:szCs w:val="15"/>
          <w:spacing w:val="2"/>
        </w:rPr>
        <w:t xml:space="preserve">     </w:t>
      </w:r>
      <w:r>
        <w:rPr>
          <w:sz w:val="15"/>
          <w:szCs w:val="15"/>
        </w:rPr>
        <w:t>J,et      al.Randomised     clinic</w:t>
      </w:r>
      <w:r>
        <w:rPr>
          <w:sz w:val="15"/>
          <w:szCs w:val="15"/>
          <w:spacing w:val="-1"/>
        </w:rPr>
        <w:t>al     trial: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efficacy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safety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vonoprazan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vs.lansop</w:t>
      </w:r>
      <w:r>
        <w:rPr>
          <w:sz w:val="15"/>
          <w:szCs w:val="15"/>
          <w:spacing w:val="-1"/>
        </w:rPr>
        <w:t>razole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patients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gastric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</w:rPr>
        <w:t>or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</w:rPr>
        <w:t>duodenal   ulcers—results    fr</w:t>
      </w:r>
      <w:r>
        <w:rPr>
          <w:sz w:val="15"/>
          <w:szCs w:val="15"/>
          <w:spacing w:val="-1"/>
        </w:rPr>
        <w:t>om    two    phase    3,non-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inferiority   randomised    controlled   trials</w:t>
      </w:r>
      <w:r>
        <w:rPr>
          <w:sz w:val="15"/>
          <w:szCs w:val="15"/>
          <w:spacing w:val="-1"/>
        </w:rPr>
        <w:t xml:space="preserve">    [J].Aliment    Pharmacol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Ther,2017,45(2):240-252.DOI:10.1111/apt.13876.</w:t>
      </w:r>
    </w:p>
    <w:p>
      <w:pPr>
        <w:pStyle w:val="BodyText"/>
        <w:ind w:left="410" w:right="62" w:hanging="410"/>
        <w:spacing w:before="133" w:line="347" w:lineRule="auto"/>
        <w:rPr>
          <w:sz w:val="15"/>
          <w:szCs w:val="15"/>
        </w:rPr>
      </w:pPr>
      <w:r>
        <w:rPr>
          <w:sz w:val="15"/>
          <w:szCs w:val="15"/>
        </w:rPr>
        <w:t>[59]Cho    YK,Choi     MG,Choi     SC,e</w:t>
      </w:r>
      <w:r>
        <w:rPr>
          <w:sz w:val="15"/>
          <w:szCs w:val="15"/>
          <w:spacing w:val="-1"/>
        </w:rPr>
        <w:t>t     al.Randomised     clinical     trial: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tegoprazan,a     novel      potassium-competitive      acid      blocker,or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lansoprazole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</w:rPr>
        <w:t>in    the     treatment     of    gastric     ulcer[J].Aliment </w:t>
      </w:r>
      <w:r>
        <w:rPr>
          <w:sz w:val="15"/>
          <w:szCs w:val="15"/>
        </w:rPr>
        <w:t>Pharmacol                        Ther,2020,52(5):789-797.DOI:10.1111/a</w:t>
      </w:r>
      <w:r>
        <w:rPr>
          <w:sz w:val="15"/>
          <w:szCs w:val="15"/>
          <w:spacing w:val="-1"/>
        </w:rPr>
        <w:t>pt.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15865.</w:t>
      </w:r>
    </w:p>
    <w:p>
      <w:pPr>
        <w:pStyle w:val="BodyText"/>
        <w:ind w:left="410" w:right="71" w:hanging="410"/>
        <w:spacing w:before="135" w:line="313" w:lineRule="auto"/>
        <w:rPr>
          <w:sz w:val="15"/>
          <w:szCs w:val="15"/>
        </w:rPr>
      </w:pPr>
      <w:r>
        <w:rPr>
          <w:sz w:val="15"/>
          <w:szCs w:val="15"/>
        </w:rPr>
        <w:t>[60]Kamada      T,Satoh       K,Itoh       T,et       al.Evidence-b</w:t>
      </w:r>
      <w:r>
        <w:rPr>
          <w:sz w:val="15"/>
          <w:szCs w:val="15"/>
          <w:spacing w:val="-1"/>
        </w:rPr>
        <w:t>ased      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practice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</w:rPr>
        <w:t>guidelines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</w:rPr>
        <w:t>for     peptic      ulcer    </w:t>
      </w:r>
      <w:r>
        <w:rPr>
          <w:sz w:val="15"/>
          <w:szCs w:val="15"/>
          <w:spacing w:val="-1"/>
        </w:rPr>
        <w:t xml:space="preserve">  disease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-1"/>
        </w:rPr>
        <w:t>2020[J].J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Gastroenterol,2021,56(4):303-322.DOI:10.1007/s0053</w:t>
      </w:r>
      <w:r>
        <w:rPr>
          <w:sz w:val="15"/>
          <w:szCs w:val="15"/>
          <w:spacing w:val="-1"/>
        </w:rPr>
        <w:t>5-</w:t>
      </w:r>
    </w:p>
    <w:p>
      <w:pPr>
        <w:pStyle w:val="BodyText"/>
        <w:ind w:left="410"/>
        <w:spacing w:before="165" w:line="1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021-01769-0.</w:t>
      </w:r>
    </w:p>
    <w:p>
      <w:pPr>
        <w:pStyle w:val="BodyText"/>
        <w:ind w:left="410" w:right="50" w:hanging="410"/>
        <w:spacing w:before="132" w:line="305" w:lineRule="auto"/>
        <w:rPr>
          <w:sz w:val="15"/>
          <w:szCs w:val="15"/>
        </w:rPr>
      </w:pPr>
      <w:r>
        <w:rPr>
          <w:sz w:val="15"/>
          <w:szCs w:val="15"/>
        </w:rPr>
        <w:t>[61]Lee    SW,Chang    </w:t>
      </w:r>
      <w:r>
        <w:rPr>
          <w:sz w:val="15"/>
          <w:szCs w:val="15"/>
          <w:spacing w:val="-1"/>
        </w:rPr>
        <w:t>CS,Lee    TY,et    al.Risk    factors    and    therapeutic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response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Chinese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peptic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ulcer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disease</w:t>
      </w:r>
      <w:r>
        <w:rPr>
          <w:sz w:val="15"/>
          <w:szCs w:val="15"/>
          <w:spacing w:val="1"/>
        </w:rPr>
        <w:t>[J].</w:t>
      </w:r>
      <w:r>
        <w:rPr>
          <w:sz w:val="15"/>
          <w:szCs w:val="15"/>
        </w:rPr>
        <w:t>WorldJ  </w:t>
      </w:r>
      <w:r>
        <w:rPr>
          <w:sz w:val="15"/>
          <w:szCs w:val="15"/>
        </w:rPr>
        <w:t>Gastroenterol,2010,16(16):2017-2022.DOI:10.3</w:t>
      </w:r>
      <w:r>
        <w:rPr>
          <w:sz w:val="15"/>
          <w:szCs w:val="15"/>
          <w:spacing w:val="-1"/>
        </w:rPr>
        <w:t>748/wjg.</w:t>
      </w:r>
    </w:p>
    <w:p>
      <w:pPr>
        <w:pStyle w:val="BodyText"/>
        <w:ind w:left="410"/>
        <w:spacing w:before="152" w:line="192" w:lineRule="auto"/>
        <w:rPr>
          <w:sz w:val="15"/>
          <w:szCs w:val="15"/>
        </w:rPr>
      </w:pPr>
      <w:r>
        <w:rPr>
          <w:sz w:val="15"/>
          <w:szCs w:val="15"/>
        </w:rPr>
        <w:t>v₁6.i16.2017.</w:t>
      </w:r>
    </w:p>
    <w:p>
      <w:pPr>
        <w:pStyle w:val="BodyText"/>
        <w:ind w:left="410" w:right="74" w:hanging="410"/>
        <w:spacing w:before="152" w:line="339" w:lineRule="auto"/>
        <w:rPr>
          <w:sz w:val="15"/>
          <w:szCs w:val="15"/>
        </w:rPr>
      </w:pPr>
      <w:r>
        <w:rPr>
          <w:sz w:val="15"/>
          <w:szCs w:val="15"/>
        </w:rPr>
        <w:t>[62]Scally   B,Emberson    JR,Spata    E,et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</w:rPr>
        <w:t>al.Effects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</w:rPr>
        <w:t>of   gastropr</w:t>
      </w:r>
      <w:r>
        <w:rPr>
          <w:sz w:val="15"/>
          <w:szCs w:val="15"/>
          <w:spacing w:val="-1"/>
        </w:rPr>
        <w:t>otectant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drugs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prevention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treatment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peptic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ulcer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disease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its   complications:a   meta-analysis   of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randomised   trials[J].Lan</w:t>
      </w:r>
      <w:r>
        <w:rPr>
          <w:sz w:val="15"/>
          <w:szCs w:val="15"/>
          <w:spacing w:val="-1"/>
        </w:rPr>
        <w:t>cet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Gastroenterol                       Hepatol,2018,3(4):231-241.DOI:1</w:t>
      </w:r>
      <w:r>
        <w:rPr>
          <w:sz w:val="15"/>
          <w:szCs w:val="15"/>
          <w:spacing w:val="-1"/>
        </w:rPr>
        <w:t>0.1016/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S2468-1253(18)30037-2.</w:t>
      </w:r>
    </w:p>
    <w:p>
      <w:pPr>
        <w:pStyle w:val="BodyText"/>
        <w:ind w:left="410" w:hanging="410"/>
        <w:spacing w:before="136" w:line="29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4"/>
        </w:rPr>
        <w:t>[63]中华医学会消化病学分会胃肠激素与黏膜屏障学组.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4"/>
        </w:rPr>
        <w:t>胃肠道</w:t>
      </w:r>
      <w:r>
        <w:rPr>
          <w:rFonts w:ascii="SimSun" w:hAnsi="SimSun" w:eastAsia="SimSun" w:cs="SimSun"/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8"/>
        </w:rPr>
        <w:t>黏膜保护临床专家共识(2021年，福州)</w:t>
      </w:r>
      <w:r>
        <w:rPr>
          <w:sz w:val="15"/>
          <w:szCs w:val="15"/>
          <w:spacing w:val="8"/>
        </w:rPr>
        <w:t>[J].    </w:t>
      </w:r>
      <w:r>
        <w:rPr>
          <w:sz w:val="15"/>
          <w:szCs w:val="15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中华消化杂志，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</w:rPr>
        <w:t>2021,41(12):798-811.DOI:10.3760/cma.j.cn311367-</w:t>
      </w:r>
    </w:p>
    <w:p>
      <w:pPr>
        <w:pStyle w:val="BodyText"/>
        <w:ind w:left="410"/>
        <w:spacing w:before="165" w:line="1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20210930-00524.</w:t>
      </w:r>
    </w:p>
    <w:p>
      <w:pPr>
        <w:pStyle w:val="BodyText"/>
        <w:ind w:left="410" w:right="50" w:hanging="410"/>
        <w:spacing w:before="132" w:line="284" w:lineRule="auto"/>
        <w:rPr>
          <w:sz w:val="15"/>
          <w:szCs w:val="15"/>
        </w:rPr>
      </w:pPr>
      <w:r>
        <w:rPr>
          <w:sz w:val="15"/>
          <w:szCs w:val="15"/>
        </w:rPr>
        <w:t>[64]Freston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</w:rPr>
        <w:t>JW.Overview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</w:rPr>
        <w:t>of  medical   therapy   of  peptic   ulcer   disease </w:t>
      </w:r>
      <w:r>
        <w:rPr>
          <w:sz w:val="15"/>
          <w:szCs w:val="15"/>
        </w:rPr>
        <w:t>[J].Gastroenterol      Clin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</w:rPr>
        <w:t>North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</w:rPr>
        <w:t>Am,1990,19(1)</w:t>
      </w:r>
      <w:r>
        <w:rPr>
          <w:sz w:val="15"/>
          <w:szCs w:val="15"/>
          <w:spacing w:val="-1"/>
        </w:rPr>
        <w:t>:121-140.</w:t>
      </w:r>
    </w:p>
    <w:p>
      <w:pPr>
        <w:pStyle w:val="BodyText"/>
        <w:ind w:left="410" w:right="54" w:hanging="410"/>
        <w:spacing w:before="131" w:line="339" w:lineRule="auto"/>
        <w:rPr>
          <w:sz w:val="15"/>
          <w:szCs w:val="15"/>
        </w:rPr>
      </w:pPr>
      <w:r>
        <w:rPr>
          <w:sz w:val="15"/>
          <w:szCs w:val="15"/>
        </w:rPr>
        <w:t>[65]Tanigawa        T,Watanabe        T,Ohkawa         F,et </w:t>
      </w:r>
      <w:r>
        <w:rPr>
          <w:sz w:val="15"/>
          <w:szCs w:val="15"/>
          <w:spacing w:val="-1"/>
        </w:rPr>
        <w:t xml:space="preserve">       al.Rebamipide,a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mucoprotective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</w:rPr>
        <w:t>drug,inhibits   NSAIDs-induced    gastric    muco</w:t>
      </w:r>
      <w:r>
        <w:rPr>
          <w:sz w:val="15"/>
          <w:szCs w:val="15"/>
          <w:spacing w:val="-1"/>
        </w:rPr>
        <w:t>sal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injury:possible    involvement     of    the    downregulation     of    15-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hydroxyprostaglandin    dehydrogenase[J].J    Clin    Biochem    Nutr,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2011,48(2):149-153.DOI:10.3164/jcbn.10-75.</w:t>
      </w:r>
    </w:p>
    <w:p>
      <w:pPr>
        <w:pStyle w:val="BodyText"/>
        <w:ind w:left="410" w:right="50" w:hanging="410"/>
        <w:spacing w:before="162" w:line="324" w:lineRule="auto"/>
        <w:rPr>
          <w:sz w:val="15"/>
          <w:szCs w:val="15"/>
        </w:rPr>
      </w:pPr>
      <w:r>
        <w:rPr>
          <w:sz w:val="15"/>
          <w:szCs w:val="15"/>
        </w:rPr>
        <w:t>[66]Gong    Y,Huang     X,Chen    M,et</w:t>
      </w:r>
      <w:r>
        <w:rPr>
          <w:sz w:val="15"/>
          <w:szCs w:val="15"/>
          <w:spacing w:val="-1"/>
        </w:rPr>
        <w:t xml:space="preserve">     al.Teprenone     improves     gastric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mucosal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injury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dyspep</w:t>
      </w:r>
      <w:r>
        <w:rPr>
          <w:sz w:val="15"/>
          <w:szCs w:val="15"/>
          <w:spacing w:val="-1"/>
        </w:rPr>
        <w:t>tic  symptoms  in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long-term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nonsteroidal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anti-inflammatory    drug     uses[J].J    Gastroe</w:t>
      </w:r>
      <w:r>
        <w:rPr>
          <w:sz w:val="15"/>
          <w:szCs w:val="15"/>
          <w:spacing w:val="-1"/>
        </w:rPr>
        <w:t>nterol     Hepatol,2019,</w:t>
      </w:r>
    </w:p>
    <w:p>
      <w:pPr>
        <w:pStyle w:val="BodyText"/>
        <w:ind w:left="410"/>
        <w:spacing w:before="142" w:line="192" w:lineRule="auto"/>
        <w:rPr>
          <w:sz w:val="15"/>
          <w:szCs w:val="15"/>
        </w:rPr>
      </w:pPr>
      <w:r>
        <w:rPr>
          <w:sz w:val="15"/>
          <w:szCs w:val="15"/>
        </w:rPr>
        <w:t>34(8):1344-1350.DOI:10.1111/jgh.14614.</w:t>
      </w:r>
    </w:p>
    <w:p>
      <w:pPr>
        <w:pStyle w:val="BodyText"/>
        <w:ind w:left="410" w:right="50" w:hanging="410"/>
        <w:spacing w:before="111" w:line="330" w:lineRule="auto"/>
        <w:rPr>
          <w:sz w:val="15"/>
          <w:szCs w:val="15"/>
        </w:rPr>
      </w:pPr>
      <w:r>
        <w:rPr>
          <w:sz w:val="15"/>
          <w:szCs w:val="15"/>
        </w:rPr>
        <w:t>[67]Yang     RQ,Mao      H,Huang     LY,et      al.Effects      of   </w:t>
      </w:r>
      <w:r>
        <w:rPr>
          <w:sz w:val="15"/>
          <w:szCs w:val="15"/>
          <w:spacing w:val="-1"/>
        </w:rPr>
        <w:t xml:space="preserve">  hydrotalcite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combined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</w:rPr>
        <w:t>with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esomeprazol</w:t>
      </w:r>
      <w:r>
        <w:rPr>
          <w:sz w:val="15"/>
          <w:szCs w:val="15"/>
          <w:spacing w:val="-1"/>
        </w:rPr>
        <w:t>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gastric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1"/>
        </w:rPr>
        <w:t>ulcer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healing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quality:a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clinical      observation      study[J].Wo</w:t>
      </w:r>
      <w:r>
        <w:rPr>
          <w:sz w:val="15"/>
          <w:szCs w:val="15"/>
          <w:spacing w:val="-1"/>
        </w:rPr>
        <w:t>rld      J       Gastroenterol,2017,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23(7):1268-1277.DOI:10.3748/wjg.v23.i7.1268.</w:t>
      </w:r>
    </w:p>
    <w:p>
      <w:pPr>
        <w:pStyle w:val="BodyText"/>
        <w:ind w:left="410" w:right="55" w:hanging="410"/>
        <w:spacing w:before="132" w:line="284" w:lineRule="auto"/>
        <w:rPr>
          <w:sz w:val="15"/>
          <w:szCs w:val="15"/>
        </w:rPr>
      </w:pPr>
      <w:r>
        <w:rPr>
          <w:sz w:val="15"/>
          <w:szCs w:val="15"/>
        </w:rPr>
        <w:t>[68]Garnett      WR.Sucralfate—alternative      thera</w:t>
      </w:r>
      <w:r>
        <w:rPr>
          <w:sz w:val="15"/>
          <w:szCs w:val="15"/>
          <w:spacing w:val="-1"/>
        </w:rPr>
        <w:t>py      for       peptic-ulcer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disease</w:t>
      </w:r>
      <w:r>
        <w:rPr>
          <w:sz w:val="15"/>
          <w:szCs w:val="15"/>
          <w:spacing w:val="1"/>
        </w:rPr>
        <w:t>[J].</w:t>
      </w:r>
      <w:r>
        <w:rPr>
          <w:sz w:val="15"/>
          <w:szCs w:val="15"/>
        </w:rPr>
        <w:t>Clin</w:t>
      </w:r>
      <w:r>
        <w:rPr>
          <w:sz w:val="15"/>
          <w:szCs w:val="15"/>
          <w:spacing w:val="1"/>
        </w:rPr>
        <w:t xml:space="preserve">               </w:t>
      </w:r>
      <w:r>
        <w:rPr>
          <w:sz w:val="15"/>
          <w:szCs w:val="15"/>
        </w:rPr>
        <w:t>Pharm</w:t>
      </w:r>
      <w:r>
        <w:rPr>
          <w:sz w:val="15"/>
          <w:szCs w:val="15"/>
          <w:spacing w:val="1"/>
        </w:rPr>
        <w:t>,1982</w:t>
      </w:r>
      <w:r>
        <w:rPr>
          <w:sz w:val="15"/>
          <w:szCs w:val="15"/>
        </w:rPr>
        <w:t>,1(4):307-314.</w:t>
      </w:r>
    </w:p>
    <w:p>
      <w:pPr>
        <w:spacing w:line="284" w:lineRule="auto"/>
        <w:sectPr>
          <w:type w:val="continuous"/>
          <w:pgSz w:w="10720" w:h="15880"/>
          <w:pgMar w:top="818" w:right="504" w:bottom="0" w:left="509" w:header="510" w:footer="0" w:gutter="0"/>
          <w:cols w:equalWidth="0" w:num="2">
            <w:col w:w="4931" w:space="100"/>
            <w:col w:w="4676" w:space="0"/>
          </w:cols>
        </w:sectPr>
        <w:rPr>
          <w:sz w:val="15"/>
          <w:szCs w:val="15"/>
        </w:rPr>
      </w:pPr>
    </w:p>
    <w:p>
      <w:pPr>
        <w:spacing w:before="65"/>
        <w:rPr/>
      </w:pPr>
      <w:r/>
    </w:p>
    <w:p>
      <w:pPr>
        <w:sectPr>
          <w:headerReference w:type="default" r:id="rId19"/>
          <w:pgSz w:w="10720" w:h="15880"/>
          <w:pgMar w:top="818" w:right="554" w:bottom="0" w:left="509" w:header="510" w:footer="0" w:gutter="0"/>
          <w:cols w:equalWidth="0" w:num="1">
            <w:col w:w="9656" w:space="0"/>
          </w:cols>
        </w:sectPr>
        <w:rPr/>
      </w:pPr>
    </w:p>
    <w:p>
      <w:pPr>
        <w:pStyle w:val="BodyText"/>
        <w:ind w:left="410" w:right="327" w:hanging="410"/>
        <w:spacing w:before="36" w:line="312" w:lineRule="auto"/>
        <w:rPr>
          <w:sz w:val="15"/>
          <w:szCs w:val="15"/>
        </w:rPr>
      </w:pPr>
      <w:r>
        <w:rPr>
          <w:sz w:val="15"/>
          <w:szCs w:val="15"/>
        </w:rPr>
        <w:t>[69]MeCarthy       DM.Sucralfate[J].N       Engl       J       Med,1991,3</w:t>
      </w:r>
      <w:r>
        <w:rPr>
          <w:sz w:val="15"/>
          <w:szCs w:val="15"/>
          <w:spacing w:val="-1"/>
        </w:rPr>
        <w:t>25(14):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1017-1025.DOI:10.1056/NEJM1991100</w:t>
      </w:r>
      <w:r>
        <w:rPr>
          <w:sz w:val="15"/>
          <w:szCs w:val="15"/>
          <w:spacing w:val="-1"/>
        </w:rPr>
        <w:t>33251407.</w:t>
      </w:r>
    </w:p>
    <w:p>
      <w:pPr>
        <w:pStyle w:val="BodyText"/>
        <w:ind w:left="410" w:right="299" w:hanging="410"/>
        <w:spacing w:before="121" w:line="337" w:lineRule="auto"/>
        <w:rPr>
          <w:sz w:val="15"/>
          <w:szCs w:val="15"/>
        </w:rPr>
      </w:pPr>
      <w:r>
        <w:rPr>
          <w:sz w:val="15"/>
          <w:szCs w:val="15"/>
        </w:rPr>
        <w:t>[70]WuY,Murray     GK,Byrne      EM,et     al.GWAS      of     peptic     u</w:t>
      </w:r>
      <w:r>
        <w:rPr>
          <w:sz w:val="15"/>
          <w:szCs w:val="15"/>
          <w:spacing w:val="-1"/>
        </w:rPr>
        <w:t>lcer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disease      implicates      Helicobacter     pylori      </w:t>
      </w:r>
      <w:r>
        <w:rPr>
          <w:sz w:val="15"/>
          <w:szCs w:val="15"/>
          <w:spacing w:val="-1"/>
        </w:rPr>
        <w:t>infection,        other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gastrointestinal    disorders    and    depres</w:t>
      </w:r>
      <w:r>
        <w:rPr>
          <w:sz w:val="15"/>
          <w:szCs w:val="15"/>
          <w:spacing w:val="-1"/>
        </w:rPr>
        <w:t>sion[J/OL].Nat     Commun,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2021,12(1):1146(2021-02-19)[2023-01-14].</w:t>
      </w:r>
      <w:hyperlink w:history="true" r:id="rId20">
        <w:r>
          <w:rPr>
            <w:sz w:val="15"/>
            <w:szCs w:val="15"/>
          </w:rPr>
          <w:t>http://doi</w:t>
        </w:r>
        <w:r>
          <w:rPr>
            <w:sz w:val="15"/>
            <w:szCs w:val="15"/>
            <w:spacing w:val="-1"/>
          </w:rPr>
          <w:t>.org/</w:t>
        </w:r>
      </w:hyperlink>
    </w:p>
    <w:p>
      <w:pPr>
        <w:pStyle w:val="BodyText"/>
        <w:ind w:left="410"/>
        <w:spacing w:before="12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10.1038/s41467-021-21280-7.</w:t>
      </w:r>
    </w:p>
    <w:p>
      <w:pPr>
        <w:pStyle w:val="BodyText"/>
        <w:ind w:left="410" w:right="310" w:hanging="410"/>
        <w:spacing w:before="104" w:line="30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5"/>
        </w:rPr>
        <w:t>[71]中华医学会消化病学分会幽门螺杆菌学组.2022中国幽门螺</w:t>
      </w:r>
      <w:r>
        <w:rPr>
          <w:rFonts w:ascii="SimSun" w:hAnsi="SimSun" w:eastAsia="SimSun" w:cs="SimSun"/>
          <w:sz w:val="15"/>
          <w:szCs w:val="15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0"/>
        </w:rPr>
        <w:t>杆菌感染治疗指南</w:t>
      </w:r>
      <w:r>
        <w:rPr>
          <w:sz w:val="15"/>
          <w:szCs w:val="15"/>
          <w:spacing w:val="10"/>
        </w:rPr>
        <w:t>[J].    </w:t>
      </w:r>
      <w:r>
        <w:rPr>
          <w:rFonts w:ascii="SimSun" w:hAnsi="SimSun" w:eastAsia="SimSun" w:cs="SimSun"/>
          <w:sz w:val="15"/>
          <w:szCs w:val="15"/>
          <w:spacing w:val="10"/>
        </w:rPr>
        <w:t>中华消化杂志，2022,42(11):745-</w:t>
      </w:r>
      <w:r>
        <w:rPr>
          <w:rFonts w:ascii="SimSun" w:hAnsi="SimSun" w:eastAsia="SimSun" w:cs="SimSun"/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756.DOI:10.3760/cma.j.cn311367-20220929-00479.</w:t>
      </w:r>
    </w:p>
    <w:p>
      <w:pPr>
        <w:pStyle w:val="BodyText"/>
        <w:ind w:left="410" w:right="314" w:hanging="410"/>
        <w:spacing w:before="141" w:line="324" w:lineRule="auto"/>
        <w:rPr>
          <w:sz w:val="15"/>
          <w:szCs w:val="15"/>
        </w:rPr>
      </w:pPr>
      <w:r>
        <w:rPr>
          <w:sz w:val="15"/>
          <w:szCs w:val="15"/>
        </w:rPr>
        <w:t>[72]Yang    JC,Lin     CJ,Wang    HL,et</w:t>
      </w:r>
      <w:r>
        <w:rPr>
          <w:sz w:val="15"/>
          <w:szCs w:val="15"/>
          <w:spacing w:val="-1"/>
        </w:rPr>
        <w:t xml:space="preserve">     al.High-dose     dual    therapy     is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superior  to  standard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first-line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rescue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therapy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H</w:t>
      </w:r>
      <w:r>
        <w:rPr>
          <w:sz w:val="15"/>
          <w:szCs w:val="15"/>
          <w:spacing w:val="-1"/>
        </w:rPr>
        <w:t>elicobacter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pylori       infection[J].Clin       Gastroenterol        Hepato</w:t>
      </w:r>
      <w:r>
        <w:rPr>
          <w:sz w:val="15"/>
          <w:szCs w:val="15"/>
          <w:spacing w:val="-1"/>
        </w:rPr>
        <w:t>l,2015,13(5):</w:t>
      </w:r>
    </w:p>
    <w:p>
      <w:pPr>
        <w:pStyle w:val="BodyText"/>
        <w:ind w:left="410"/>
        <w:spacing w:before="141" w:line="192" w:lineRule="auto"/>
        <w:rPr>
          <w:sz w:val="15"/>
          <w:szCs w:val="15"/>
        </w:rPr>
      </w:pPr>
      <w:r>
        <w:rPr>
          <w:sz w:val="15"/>
          <w:szCs w:val="15"/>
        </w:rPr>
        <w:t>895-905.e5.DOI:10.1016/j.cgh.2014.10.036.</w:t>
      </w:r>
    </w:p>
    <w:p>
      <w:pPr>
        <w:pStyle w:val="BodyText"/>
        <w:ind w:left="410" w:right="310" w:hanging="410"/>
        <w:spacing w:before="114" w:line="344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[73]Song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-1"/>
        </w:rPr>
        <w:t>Z,Zhou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-1"/>
        </w:rPr>
        <w:t>L,Xue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-1"/>
        </w:rPr>
        <w:t>Y,et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-1"/>
        </w:rPr>
        <w:t>al.A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-1"/>
        </w:rPr>
        <w:t>comparative    study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-1"/>
        </w:rPr>
        <w:t>14-day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dual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therapy(esomeprazol</w:t>
      </w:r>
      <w:r>
        <w:rPr>
          <w:sz w:val="15"/>
          <w:szCs w:val="15"/>
          <w:spacing w:val="-1"/>
        </w:rPr>
        <w:t>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1"/>
        </w:rPr>
        <w:t>amoxicillin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four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times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daily)and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triple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plus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bismuth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therapy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first</w:t>
      </w:r>
      <w:r>
        <w:rPr>
          <w:sz w:val="15"/>
          <w:szCs w:val="15"/>
          <w:spacing w:val="1"/>
        </w:rPr>
        <w:t>-</w:t>
      </w:r>
      <w:r>
        <w:rPr>
          <w:sz w:val="15"/>
          <w:szCs w:val="15"/>
        </w:rPr>
        <w:t>line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</w:rPr>
        <w:t>Helicobacter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pylori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infection </w:t>
      </w:r>
      <w:r>
        <w:rPr>
          <w:sz w:val="15"/>
          <w:szCs w:val="15"/>
        </w:rPr>
        <w:t>eradication:a          randomized          trial[J/OL].Helicobacter,2020,25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(6):e12762(2020-10-11)[2023-01-14].</w:t>
      </w:r>
      <w:hyperlink w:history="true" r:id="rId21">
        <w:r>
          <w:rPr>
            <w:sz w:val="15"/>
            <w:szCs w:val="15"/>
          </w:rPr>
          <w:t>https://do</w:t>
        </w:r>
        <w:r>
          <w:rPr>
            <w:sz w:val="15"/>
            <w:szCs w:val="15"/>
            <w:spacing w:val="-1"/>
          </w:rPr>
          <w:t>i.org/10.</w:t>
        </w:r>
      </w:hyperlink>
    </w:p>
    <w:p>
      <w:pPr>
        <w:pStyle w:val="BodyText"/>
        <w:ind w:left="410"/>
        <w:spacing w:before="143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1111/hel.12762.</w:t>
      </w:r>
    </w:p>
    <w:p>
      <w:pPr>
        <w:pStyle w:val="BodyText"/>
        <w:ind w:left="410" w:right="319" w:hanging="410"/>
        <w:spacing w:before="131" w:line="330" w:lineRule="auto"/>
        <w:rPr>
          <w:sz w:val="15"/>
          <w:szCs w:val="15"/>
        </w:rPr>
      </w:pPr>
      <w:r>
        <w:rPr>
          <w:sz w:val="15"/>
          <w:szCs w:val="15"/>
        </w:rPr>
        <w:t>[74]Yang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J,Zhang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</w:rPr>
        <w:t>Y,Fan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L,et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</w:rPr>
        <w:t>al.Eradication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</w:rPr>
        <w:t>efficacy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-1"/>
        </w:rPr>
        <w:t>of   modified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dual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therapy  compared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bismuth-contain</w:t>
      </w:r>
      <w:r>
        <w:rPr>
          <w:sz w:val="15"/>
          <w:szCs w:val="15"/>
          <w:spacing w:val="-1"/>
        </w:rPr>
        <w:t>ing  quadruple  therapy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as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</w:rPr>
        <w:t>a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</w:rPr>
        <w:t>first-line    treatment     of    Helicobacter     pyl</w:t>
      </w:r>
      <w:r>
        <w:rPr>
          <w:sz w:val="15"/>
          <w:szCs w:val="15"/>
          <w:spacing w:val="-1"/>
        </w:rPr>
        <w:t>ori[J].Am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-1"/>
        </w:rPr>
        <w:t>J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Gastroenterol,2019,114(3):437-445.DOI:10.14</w:t>
      </w:r>
      <w:r>
        <w:rPr>
          <w:sz w:val="15"/>
          <w:szCs w:val="15"/>
          <w:spacing w:val="-1"/>
        </w:rPr>
        <w:t>309/ajg.</w:t>
      </w:r>
    </w:p>
    <w:p>
      <w:pPr>
        <w:pStyle w:val="BodyText"/>
        <w:ind w:left="410"/>
        <w:spacing w:before="165" w:line="1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0000000000000132.</w:t>
      </w:r>
    </w:p>
    <w:p>
      <w:pPr>
        <w:pStyle w:val="BodyText"/>
        <w:ind w:left="410" w:right="319" w:hanging="410"/>
        <w:spacing w:before="122" w:line="339" w:lineRule="auto"/>
        <w:rPr>
          <w:sz w:val="15"/>
          <w:szCs w:val="15"/>
        </w:rPr>
      </w:pPr>
      <w:r>
        <w:rPr>
          <w:sz w:val="15"/>
          <w:szCs w:val="15"/>
        </w:rPr>
        <w:t>[75]Huh    KY,Chung     H,Kim    YK,et     al.Evaluation </w:t>
      </w:r>
      <w:r>
        <w:rPr>
          <w:sz w:val="15"/>
          <w:szCs w:val="15"/>
          <w:spacing w:val="-1"/>
        </w:rPr>
        <w:t xml:space="preserve">    of    safety   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pharmacokinetics   of  bismuth-containing   quadruple   therapy   with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either vonoprazan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or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lansoprazole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Helicobacter p</w:t>
      </w:r>
      <w:r>
        <w:rPr>
          <w:sz w:val="15"/>
          <w:szCs w:val="15"/>
          <w:spacing w:val="-1"/>
        </w:rPr>
        <w:t>ylori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"/>
        </w:rPr>
        <w:t>eradication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[J].Br</w:t>
      </w:r>
      <w:r>
        <w:rPr>
          <w:sz w:val="15"/>
          <w:szCs w:val="15"/>
          <w:spacing w:val="3"/>
        </w:rPr>
        <w:t xml:space="preserve">         </w:t>
      </w:r>
      <w:r>
        <w:rPr>
          <w:sz w:val="15"/>
          <w:szCs w:val="15"/>
        </w:rPr>
        <w:t>J</w:t>
      </w:r>
      <w:r>
        <w:rPr>
          <w:sz w:val="15"/>
          <w:szCs w:val="15"/>
          <w:spacing w:val="4"/>
        </w:rPr>
        <w:t xml:space="preserve">         </w:t>
      </w:r>
      <w:r>
        <w:rPr>
          <w:sz w:val="15"/>
          <w:szCs w:val="15"/>
        </w:rPr>
        <w:t>Clin</w:t>
      </w:r>
      <w:r>
        <w:rPr>
          <w:sz w:val="15"/>
          <w:szCs w:val="15"/>
          <w:spacing w:val="3"/>
        </w:rPr>
        <w:t xml:space="preserve">         </w:t>
      </w:r>
      <w:r>
        <w:rPr>
          <w:sz w:val="15"/>
          <w:szCs w:val="15"/>
        </w:rPr>
        <w:t>Pharmacol,</w:t>
      </w:r>
      <w:r>
        <w:rPr>
          <w:sz w:val="15"/>
          <w:szCs w:val="15"/>
          <w:spacing w:val="-1"/>
        </w:rPr>
        <w:t>2022,88(1):138-144.DOI:10.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1111/bcp.14934.</w:t>
      </w:r>
    </w:p>
    <w:p>
      <w:pPr>
        <w:pStyle w:val="BodyText"/>
        <w:ind w:left="410" w:right="316" w:hanging="410"/>
        <w:spacing w:before="161" w:line="330" w:lineRule="auto"/>
        <w:rPr>
          <w:sz w:val="15"/>
          <w:szCs w:val="15"/>
        </w:rPr>
      </w:pPr>
      <w:r>
        <w:rPr>
          <w:sz w:val="15"/>
          <w:szCs w:val="15"/>
        </w:rPr>
        <w:t>[76]Suzuki    S,Gotoda    T,Ku</w:t>
      </w:r>
      <w:r>
        <w:rPr>
          <w:sz w:val="15"/>
          <w:szCs w:val="15"/>
          <w:spacing w:val="-1"/>
        </w:rPr>
        <w:t>sano    C,et    al.Seven-day    vonoprazan  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low-dose  amoxicillin  dual  therapy  as  fi</w:t>
      </w:r>
      <w:r>
        <w:rPr>
          <w:sz w:val="15"/>
          <w:szCs w:val="15"/>
          <w:spacing w:val="-1"/>
        </w:rPr>
        <w:t>rst-line  Helicobacter  pylori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treatment:a   multicentre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randomised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trial    in   Japan[J].Gut,2020, </w:t>
      </w:r>
      <w:r>
        <w:rPr>
          <w:sz w:val="15"/>
          <w:szCs w:val="15"/>
        </w:rPr>
        <w:t>69(6):1019-1026.DOI:10.1136/gutjnl-2019-319954.</w:t>
      </w:r>
    </w:p>
    <w:p>
      <w:pPr>
        <w:pStyle w:val="BodyText"/>
        <w:ind w:left="410" w:right="314" w:hanging="410"/>
        <w:spacing w:before="135" w:line="313" w:lineRule="auto"/>
        <w:rPr>
          <w:sz w:val="15"/>
          <w:szCs w:val="15"/>
        </w:rPr>
      </w:pPr>
      <w:r>
        <w:rPr>
          <w:sz w:val="15"/>
          <w:szCs w:val="15"/>
        </w:rPr>
        <w:t>[77]Fallone    CA,Moss     SF,Malfertheiner    P.Reconciliation     of    rec</w:t>
      </w:r>
      <w:r>
        <w:rPr>
          <w:sz w:val="15"/>
          <w:szCs w:val="15"/>
          <w:spacing w:val="-1"/>
        </w:rPr>
        <w:t>ent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Helicobacer  pylori   treatment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</w:rPr>
        <w:t>guidelines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time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of  i</w:t>
      </w:r>
      <w:r>
        <w:rPr>
          <w:sz w:val="15"/>
          <w:szCs w:val="15"/>
          <w:spacing w:val="-1"/>
        </w:rPr>
        <w:t>ncreasing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resistance        to        antibiotics[J].Gastroenterology,2019,157(1):44-</w:t>
      </w:r>
    </w:p>
    <w:p>
      <w:pPr>
        <w:pStyle w:val="BodyText"/>
        <w:ind w:left="410"/>
        <w:spacing w:before="192" w:line="192" w:lineRule="auto"/>
        <w:rPr>
          <w:sz w:val="15"/>
          <w:szCs w:val="15"/>
        </w:rPr>
      </w:pPr>
      <w:r>
        <w:rPr>
          <w:sz w:val="15"/>
          <w:szCs w:val="15"/>
        </w:rPr>
        <w:t>53.DOI:10.1053/j.gastro.2019.04.011.</w:t>
      </w:r>
    </w:p>
    <w:p>
      <w:pPr>
        <w:pStyle w:val="BodyText"/>
        <w:ind w:left="410" w:right="319" w:hanging="410"/>
        <w:spacing w:before="111" w:line="324" w:lineRule="auto"/>
        <w:rPr>
          <w:sz w:val="15"/>
          <w:szCs w:val="15"/>
        </w:rPr>
      </w:pPr>
      <w:r>
        <w:rPr>
          <w:sz w:val="15"/>
          <w:szCs w:val="15"/>
        </w:rPr>
        <w:t>[78]Graham    DY,Dore     MP.Update    on     the    use     of    vonoprazan:a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competitive          acid         blocker[J].Gastroenterology,2018,154(3):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462-466.DOI:10.1053/j.gastro.2018.01.018.</w:t>
      </w:r>
    </w:p>
    <w:p>
      <w:pPr>
        <w:pStyle w:val="BodyText"/>
        <w:ind w:left="410" w:right="316" w:hanging="410"/>
        <w:spacing w:before="123" w:line="340" w:lineRule="auto"/>
        <w:rPr>
          <w:sz w:val="15"/>
          <w:szCs w:val="15"/>
        </w:rPr>
      </w:pPr>
      <w:r>
        <w:rPr>
          <w:sz w:val="15"/>
          <w:szCs w:val="15"/>
        </w:rPr>
        <w:t>[79]Graham         DY,Lu          H,Shiotani          A.  </w:t>
      </w:r>
      <w:r>
        <w:rPr>
          <w:sz w:val="15"/>
          <w:szCs w:val="15"/>
          <w:spacing w:val="-1"/>
        </w:rPr>
        <w:t xml:space="preserve">   Vonoprazan-containing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Helicobacter    pylori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</w:rPr>
        <w:t>triple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</w:rPr>
        <w:t>therapies     contributio</w:t>
      </w:r>
      <w:r>
        <w:rPr>
          <w:sz w:val="15"/>
          <w:szCs w:val="15"/>
          <w:spacing w:val="-1"/>
        </w:rPr>
        <w:t>n    to     global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antimicrobial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</w:rPr>
        <w:t>resistance      [J].J      Gastroente</w:t>
      </w:r>
      <w:r>
        <w:rPr>
          <w:sz w:val="15"/>
          <w:szCs w:val="15"/>
          <w:spacing w:val="-1"/>
        </w:rPr>
        <w:t>rol      Hepatol,2021,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36(5):1159-1163.DOI:10.1111/jgh.15252.</w:t>
      </w:r>
    </w:p>
    <w:p>
      <w:pPr>
        <w:pStyle w:val="BodyText"/>
        <w:ind w:left="410" w:right="299" w:hanging="410"/>
        <w:spacing w:before="122" w:line="350" w:lineRule="auto"/>
        <w:rPr>
          <w:sz w:val="15"/>
          <w:szCs w:val="15"/>
        </w:rPr>
      </w:pPr>
      <w:r>
        <w:rPr>
          <w:sz w:val="15"/>
          <w:szCs w:val="15"/>
        </w:rPr>
        <w:t>[80]Agrawal     NM,Campbell      DR,Safdi      MA,et      al.Superiority      of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lansoprazole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vs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ranitidine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healing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nonst</w:t>
      </w:r>
      <w:r>
        <w:rPr>
          <w:sz w:val="15"/>
          <w:szCs w:val="15"/>
          <w:spacing w:val="-1"/>
        </w:rPr>
        <w:t>eroidal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anti-inflammatory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drug-associated     gastric     ulcers:    results     of    a     double-blind,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randomized,multicenter    study.NSAID-Associated    Gast</w:t>
      </w:r>
      <w:r>
        <w:rPr>
          <w:sz w:val="15"/>
          <w:szCs w:val="15"/>
          <w:spacing w:val="-1"/>
        </w:rPr>
        <w:t>ric     Ulcer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Study      Group[J].Arch       Intern      Med,2000,160(10):1455-1461.</w:t>
      </w:r>
    </w:p>
    <w:p>
      <w:pPr>
        <w:pStyle w:val="BodyText"/>
        <w:ind w:left="410"/>
        <w:spacing w:before="172" w:line="192" w:lineRule="auto"/>
        <w:rPr>
          <w:sz w:val="15"/>
          <w:szCs w:val="15"/>
        </w:rPr>
      </w:pPr>
      <w:r>
        <w:rPr>
          <w:sz w:val="15"/>
          <w:szCs w:val="15"/>
        </w:rPr>
        <w:t>DOI:10.1001/archinte.160.10.1455.</w:t>
      </w:r>
    </w:p>
    <w:p>
      <w:pPr>
        <w:pStyle w:val="BodyText"/>
        <w:spacing w:before="112" w:line="192" w:lineRule="auto"/>
        <w:rPr>
          <w:sz w:val="15"/>
          <w:szCs w:val="15"/>
        </w:rPr>
      </w:pPr>
      <w:r>
        <w:rPr>
          <w:sz w:val="15"/>
          <w:szCs w:val="15"/>
        </w:rPr>
        <w:t>[81]Hawkey       CJ,Karrasch       JA,Szczepaňski        L</w:t>
      </w:r>
      <w:r>
        <w:rPr>
          <w:sz w:val="15"/>
          <w:szCs w:val="15"/>
          <w:spacing w:val="-1"/>
        </w:rPr>
        <w:t>,et       al.Omeprazole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0" w:right="19"/>
        <w:spacing w:before="26" w:line="365" w:lineRule="auto"/>
        <w:jc w:val="both"/>
        <w:rPr>
          <w:sz w:val="15"/>
          <w:szCs w:val="15"/>
        </w:rPr>
      </w:pPr>
      <w:r>
        <w:rPr>
          <w:sz w:val="15"/>
          <w:szCs w:val="15"/>
        </w:rPr>
        <w:t>compared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misoprostol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ulcers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as</w:t>
      </w:r>
      <w:r>
        <w:rPr>
          <w:sz w:val="15"/>
          <w:szCs w:val="15"/>
          <w:spacing w:val="-1"/>
        </w:rPr>
        <w:t>sociated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nonsteroidal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antiinflammatory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drugs.Omeprazole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versus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misoprostol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NSAID-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Induced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Ulcer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</w:rPr>
        <w:t>Management</w:t>
      </w:r>
      <w:r>
        <w:rPr>
          <w:sz w:val="15"/>
          <w:szCs w:val="15"/>
          <w:spacing w:val="1"/>
        </w:rPr>
        <w:t>(</w:t>
      </w:r>
      <w:r>
        <w:rPr>
          <w:sz w:val="15"/>
          <w:szCs w:val="15"/>
        </w:rPr>
        <w:t>OMNIUM</w:t>
      </w:r>
      <w:r>
        <w:rPr>
          <w:sz w:val="15"/>
          <w:szCs w:val="15"/>
          <w:spacing w:val="1"/>
        </w:rPr>
        <w:t>)</w:t>
      </w:r>
      <w:r>
        <w:rPr>
          <w:sz w:val="15"/>
          <w:szCs w:val="15"/>
        </w:rPr>
        <w:t>Study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</w:rPr>
        <w:t>Group</w:t>
      </w:r>
      <w:r>
        <w:rPr>
          <w:sz w:val="15"/>
          <w:szCs w:val="15"/>
          <w:spacing w:val="1"/>
        </w:rPr>
        <w:t>[J].</w:t>
      </w:r>
      <w:r>
        <w:rPr>
          <w:sz w:val="15"/>
          <w:szCs w:val="15"/>
        </w:rPr>
        <w:t>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Engl</w:t>
      </w:r>
    </w:p>
    <w:p>
      <w:pPr>
        <w:pStyle w:val="BodyText"/>
        <w:ind w:left="410"/>
        <w:spacing w:before="22" w:line="192" w:lineRule="auto"/>
        <w:rPr>
          <w:sz w:val="15"/>
          <w:szCs w:val="15"/>
        </w:rPr>
      </w:pPr>
      <w:r>
        <w:rPr>
          <w:sz w:val="15"/>
          <w:szCs w:val="15"/>
        </w:rPr>
        <w:t>J                            Med,1998,338(11):727-734.     DOI:10.1</w:t>
      </w:r>
      <w:r>
        <w:rPr>
          <w:sz w:val="15"/>
          <w:szCs w:val="15"/>
          <w:spacing w:val="-1"/>
        </w:rPr>
        <w:t>056/</w:t>
      </w:r>
    </w:p>
    <w:p>
      <w:pPr>
        <w:pStyle w:val="BodyText"/>
        <w:ind w:left="410"/>
        <w:spacing w:before="164" w:line="188" w:lineRule="auto"/>
        <w:rPr>
          <w:sz w:val="15"/>
          <w:szCs w:val="15"/>
        </w:rPr>
      </w:pPr>
      <w:r>
        <w:rPr>
          <w:sz w:val="15"/>
          <w:szCs w:val="15"/>
        </w:rPr>
        <w:t>NEJM199803123381105.</w:t>
      </w:r>
    </w:p>
    <w:p>
      <w:pPr>
        <w:pStyle w:val="BodyText"/>
        <w:ind w:left="410" w:right="1" w:hanging="410"/>
        <w:spacing w:before="163" w:line="36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[82]Chung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-1"/>
        </w:rPr>
        <w:t>CS,Chiang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-1"/>
        </w:rPr>
        <w:t>TH,Lee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-1"/>
        </w:rPr>
        <w:t>YC.A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-1"/>
        </w:rPr>
        <w:t>systematic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-1"/>
        </w:rPr>
        <w:t>approach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diagnosis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</w:rPr>
        <w:t>treatment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of  idiopathic   peptic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</w:rPr>
        <w:t>ulcers</w:t>
      </w:r>
      <w:r>
        <w:rPr>
          <w:sz w:val="15"/>
          <w:szCs w:val="15"/>
          <w:spacing w:val="-1"/>
        </w:rPr>
        <w:t>[J].Korean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J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Intern                    Med,2015,30(5):559-570.DOI:10.3904/kjim.2015.   </w:t>
      </w:r>
      <w:r>
        <w:rPr>
          <w:sz w:val="15"/>
          <w:szCs w:val="15"/>
          <w:spacing w:val="-1"/>
        </w:rPr>
        <w:t>30.5.559.</w:t>
      </w:r>
    </w:p>
    <w:p>
      <w:pPr>
        <w:pStyle w:val="BodyText"/>
        <w:ind w:left="410" w:right="17" w:hanging="410"/>
        <w:spacing w:before="31" w:line="379" w:lineRule="auto"/>
        <w:rPr>
          <w:sz w:val="15"/>
          <w:szCs w:val="15"/>
        </w:rPr>
      </w:pPr>
      <w:r>
        <w:rPr>
          <w:sz w:val="15"/>
          <w:szCs w:val="15"/>
        </w:rPr>
        <w:t>[83]lijima     K,Kanno     T,Koike     T,et     a</w:t>
      </w:r>
      <w:r>
        <w:rPr>
          <w:sz w:val="15"/>
          <w:szCs w:val="15"/>
          <w:spacing w:val="-1"/>
        </w:rPr>
        <w:t>l.Helicobacer     pylori-negative,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non</w:t>
      </w:r>
      <w:r>
        <w:rPr>
          <w:sz w:val="15"/>
          <w:szCs w:val="15"/>
          <w:spacing w:val="1"/>
        </w:rPr>
        <w:t>-</w:t>
      </w:r>
      <w:r>
        <w:rPr>
          <w:sz w:val="15"/>
          <w:szCs w:val="15"/>
        </w:rPr>
        <w:t>steroidal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anti</w:t>
      </w:r>
      <w:r>
        <w:rPr>
          <w:sz w:val="15"/>
          <w:szCs w:val="15"/>
          <w:spacing w:val="1"/>
        </w:rPr>
        <w:t>-</w:t>
      </w:r>
      <w:r>
        <w:rPr>
          <w:sz w:val="15"/>
          <w:szCs w:val="15"/>
        </w:rPr>
        <w:t>inflammatory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drug</w:t>
      </w:r>
      <w:r>
        <w:rPr>
          <w:sz w:val="15"/>
          <w:szCs w:val="15"/>
          <w:spacing w:val="1"/>
        </w:rPr>
        <w:t>:</w:t>
      </w:r>
      <w:r>
        <w:rPr>
          <w:sz w:val="15"/>
          <w:szCs w:val="15"/>
        </w:rPr>
        <w:t>negative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idiopathic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ulcers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in </w:t>
      </w:r>
      <w:r>
        <w:rPr>
          <w:sz w:val="15"/>
          <w:szCs w:val="15"/>
        </w:rPr>
        <w:t>Asia[J].World           J            Gastroenterol,2014,20(3):706-713.DOI: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"/>
        </w:rPr>
        <w:t>10.3748/wjg.v20.i3.706.</w:t>
      </w:r>
    </w:p>
    <w:p>
      <w:pPr>
        <w:pStyle w:val="BodyText"/>
        <w:ind w:left="410" w:right="5" w:hanging="410"/>
        <w:spacing w:before="1" w:line="34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[84]Hung  </w:t>
      </w:r>
      <w:r>
        <w:rPr>
          <w:sz w:val="15"/>
          <w:szCs w:val="15"/>
        </w:rPr>
        <w:t xml:space="preserve">   LC,Ching      JY,Sung     JJ,et      al.Long-term      outcome     </w:t>
      </w:r>
      <w:r>
        <w:rPr>
          <w:sz w:val="15"/>
          <w:szCs w:val="15"/>
          <w:spacing w:val="-1"/>
        </w:rPr>
        <w:t>o</w:t>
      </w:r>
      <w:r>
        <w:rPr>
          <w:sz w:val="15"/>
          <w:szCs w:val="15"/>
          <w:spacing w:val="9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Helicobacter</w:t>
      </w:r>
      <w:r>
        <w:rPr>
          <w:sz w:val="15"/>
          <w:szCs w:val="15"/>
          <w:spacing w:val="10"/>
          <w:w w:val="101"/>
        </w:rPr>
        <w:t xml:space="preserve">    </w:t>
      </w:r>
      <w:r>
        <w:rPr>
          <w:sz w:val="15"/>
          <w:szCs w:val="15"/>
        </w:rPr>
        <w:t>pylori-negative     idiopathic     bleeding     ulcers:    a  </w:t>
      </w:r>
      <w:r>
        <w:rPr>
          <w:sz w:val="15"/>
          <w:szCs w:val="15"/>
        </w:rPr>
        <w:t>prospective</w:t>
      </w:r>
      <w:r>
        <w:rPr>
          <w:sz w:val="15"/>
          <w:szCs w:val="15"/>
          <w:spacing w:val="3"/>
        </w:rPr>
        <w:t xml:space="preserve">         </w:t>
      </w:r>
      <w:r>
        <w:rPr>
          <w:sz w:val="15"/>
          <w:szCs w:val="15"/>
        </w:rPr>
        <w:t>cohort</w:t>
      </w:r>
      <w:r>
        <w:rPr>
          <w:sz w:val="15"/>
          <w:szCs w:val="15"/>
          <w:spacing w:val="4"/>
        </w:rPr>
        <w:t xml:space="preserve">         </w:t>
      </w:r>
      <w:r>
        <w:rPr>
          <w:sz w:val="15"/>
          <w:szCs w:val="15"/>
        </w:rPr>
        <w:t>study[J].Gastroenterolo</w:t>
      </w:r>
      <w:r>
        <w:rPr>
          <w:sz w:val="15"/>
          <w:szCs w:val="15"/>
          <w:spacing w:val="-1"/>
        </w:rPr>
        <w:t>gy,2005,128(7):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1845-1850.DOI:10.1053/j.gastro.200</w:t>
      </w:r>
      <w:r>
        <w:rPr>
          <w:sz w:val="15"/>
          <w:szCs w:val="15"/>
          <w:spacing w:val="-1"/>
        </w:rPr>
        <w:t>5.03.026.</w:t>
      </w:r>
    </w:p>
    <w:p>
      <w:pPr>
        <w:pStyle w:val="BodyText"/>
        <w:ind w:left="410" w:right="19" w:hanging="410"/>
        <w:spacing w:before="122" w:line="340" w:lineRule="auto"/>
        <w:rPr>
          <w:sz w:val="15"/>
          <w:szCs w:val="15"/>
        </w:rPr>
      </w:pPr>
      <w:r>
        <w:rPr>
          <w:sz w:val="15"/>
          <w:szCs w:val="15"/>
        </w:rPr>
        <w:t>[85]Kanno   T,lijima   K,Abe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Y,et  </w:t>
      </w:r>
      <w:r>
        <w:rPr>
          <w:sz w:val="15"/>
          <w:szCs w:val="15"/>
          <w:spacing w:val="-1"/>
        </w:rPr>
        <w:t xml:space="preserve">  al.Peptic   ulcers   after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-1"/>
        </w:rPr>
        <w:t>thegreat    east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Japan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earthquake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tsunami</w:t>
      </w:r>
      <w:r>
        <w:rPr>
          <w:sz w:val="15"/>
          <w:szCs w:val="15"/>
          <w:spacing w:val="2"/>
        </w:rPr>
        <w:t>:</w:t>
      </w:r>
      <w:r>
        <w:rPr>
          <w:sz w:val="15"/>
          <w:szCs w:val="15"/>
        </w:rPr>
        <w:t>possible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existence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psychosocial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stress     ulcers      in      humans[J].J     Gastroenterol,2013,48(4):483-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490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</w:rPr>
        <w:t>.DOI:10.1007/s00535-012-068</w:t>
      </w:r>
      <w:r>
        <w:rPr>
          <w:sz w:val="15"/>
          <w:szCs w:val="15"/>
          <w:spacing w:val="-1"/>
        </w:rPr>
        <w:t>1-1.</w:t>
      </w:r>
    </w:p>
    <w:p>
      <w:pPr>
        <w:pStyle w:val="BodyText"/>
        <w:ind w:left="410" w:right="4" w:hanging="410"/>
        <w:spacing w:before="122" w:line="339" w:lineRule="auto"/>
        <w:rPr>
          <w:sz w:val="15"/>
          <w:szCs w:val="15"/>
        </w:rPr>
      </w:pPr>
      <w:r>
        <w:rPr>
          <w:sz w:val="15"/>
          <w:szCs w:val="15"/>
        </w:rPr>
        <w:t>[86]Kanno   T,lijima    K,Abe   Y,et    al.A   multicenter    prospe</w:t>
      </w:r>
      <w:r>
        <w:rPr>
          <w:sz w:val="15"/>
          <w:szCs w:val="15"/>
          <w:spacing w:val="-1"/>
        </w:rPr>
        <w:t>ctive   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prevalence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Helicobacter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pylori-negative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</w:rPr>
        <w:t>non</w:t>
      </w:r>
      <w:r>
        <w:rPr>
          <w:sz w:val="15"/>
          <w:szCs w:val="15"/>
          <w:spacing w:val="-1"/>
        </w:rPr>
        <w:t>steroidal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anti-inflammatory  drugs-negative  idiopathic </w:t>
      </w:r>
      <w:r>
        <w:rPr>
          <w:sz w:val="15"/>
          <w:szCs w:val="15"/>
          <w:spacing w:val="-1"/>
        </w:rPr>
        <w:t xml:space="preserve"> peptic  ulcers  in  Japan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[J].J           Gastroenterol           Hepatol,2015,30(5):842-848.DOI:10.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-1"/>
        </w:rPr>
        <w:t>1111/jgh.12876.</w:t>
      </w:r>
    </w:p>
    <w:p>
      <w:pPr>
        <w:pStyle w:val="BodyText"/>
        <w:ind w:left="410" w:right="22" w:hanging="410"/>
        <w:spacing w:before="156" w:line="322" w:lineRule="auto"/>
        <w:rPr>
          <w:sz w:val="15"/>
          <w:szCs w:val="15"/>
        </w:rPr>
      </w:pPr>
      <w:r>
        <w:rPr>
          <w:sz w:val="15"/>
          <w:szCs w:val="15"/>
        </w:rPr>
        <w:t>[87]Dore    MP,Soro    S,Niolu     C,</w:t>
      </w:r>
      <w:r>
        <w:rPr>
          <w:sz w:val="15"/>
          <w:szCs w:val="15"/>
          <w:spacing w:val="-1"/>
        </w:rPr>
        <w:t>et    al.Clinical    features     and    natural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history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of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idiopathic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peptic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ulcers</w:t>
      </w:r>
      <w:r>
        <w:rPr>
          <w:sz w:val="15"/>
          <w:szCs w:val="15"/>
          <w:spacing w:val="1"/>
        </w:rPr>
        <w:t>:</w:t>
      </w:r>
      <w:r>
        <w:rPr>
          <w:sz w:val="15"/>
          <w:szCs w:val="15"/>
        </w:rPr>
        <w:t>a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retrospective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case</w:t>
      </w:r>
      <w:r>
        <w:rPr>
          <w:sz w:val="15"/>
          <w:szCs w:val="15"/>
          <w:spacing w:val="1"/>
        </w:rPr>
        <w:t>-</w:t>
      </w:r>
      <w:r>
        <w:rPr>
          <w:sz w:val="15"/>
          <w:szCs w:val="15"/>
        </w:rPr>
        <w:t>control </w:t>
      </w:r>
      <w:r>
        <w:rPr>
          <w:sz w:val="15"/>
          <w:szCs w:val="15"/>
        </w:rPr>
        <w:t>study[J].Scand            J            Gastroenterol,2019,54(11):1315</w:t>
      </w:r>
      <w:r>
        <w:rPr>
          <w:sz w:val="15"/>
          <w:szCs w:val="15"/>
          <w:spacing w:val="-1"/>
        </w:rPr>
        <w:t>-1321.</w:t>
      </w:r>
    </w:p>
    <w:p>
      <w:pPr>
        <w:pStyle w:val="BodyText"/>
        <w:ind w:left="410"/>
        <w:spacing w:before="172" w:line="192" w:lineRule="auto"/>
        <w:rPr>
          <w:sz w:val="15"/>
          <w:szCs w:val="15"/>
        </w:rPr>
      </w:pPr>
      <w:r>
        <w:rPr>
          <w:sz w:val="15"/>
          <w:szCs w:val="15"/>
        </w:rPr>
        <w:t>DOI:10.1080/00365521.2019.1679247.</w:t>
      </w:r>
    </w:p>
    <w:p>
      <w:pPr>
        <w:pStyle w:val="BodyText"/>
        <w:ind w:left="410" w:right="20" w:hanging="410"/>
        <w:spacing w:before="102" w:line="339" w:lineRule="auto"/>
        <w:rPr>
          <w:sz w:val="15"/>
          <w:szCs w:val="15"/>
        </w:rPr>
      </w:pPr>
      <w:r>
        <w:rPr>
          <w:sz w:val="15"/>
          <w:szCs w:val="15"/>
        </w:rPr>
        <w:t>[88]Kanno    T,lijima    K,AbeY,et     al.Helicobacter    pylori-neg</w:t>
      </w:r>
      <w:r>
        <w:rPr>
          <w:sz w:val="15"/>
          <w:szCs w:val="15"/>
          <w:spacing w:val="-1"/>
        </w:rPr>
        <w:t>ative  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non-steroidal   anti-inflammatory   drugs-negative   idiopathic   peptic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ulcers    show    refractoriness     and    high    recurre</w:t>
      </w:r>
      <w:r>
        <w:rPr>
          <w:sz w:val="15"/>
          <w:szCs w:val="15"/>
          <w:spacing w:val="-1"/>
        </w:rPr>
        <w:t>nce     incidence: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multicenter   follow-up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</w:rPr>
        <w:t>study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of   peptic   ulcers    in   Japan[J].Dig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Endosc,2016,28(5):556-563.DOI:10.1111/den.12635.</w:t>
      </w:r>
    </w:p>
    <w:p>
      <w:pPr>
        <w:pStyle w:val="BodyText"/>
        <w:ind w:left="410" w:right="4" w:hanging="410"/>
        <w:spacing w:before="131" w:line="330" w:lineRule="auto"/>
        <w:rPr>
          <w:sz w:val="15"/>
          <w:szCs w:val="15"/>
        </w:rPr>
      </w:pPr>
      <w:r>
        <w:rPr>
          <w:sz w:val="15"/>
          <w:szCs w:val="15"/>
        </w:rPr>
        <w:t>[89]Wong   GL,Wong   VW,Chan    Y,et   al.High   incidence </w:t>
      </w:r>
      <w:r>
        <w:rPr>
          <w:sz w:val="15"/>
          <w:szCs w:val="15"/>
          <w:spacing w:val="-1"/>
        </w:rPr>
        <w:t xml:space="preserve">   of   mortality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recurrent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bleeding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Helicobact</w:t>
      </w:r>
      <w:r>
        <w:rPr>
          <w:sz w:val="15"/>
          <w:szCs w:val="15"/>
          <w:spacing w:val="-1"/>
        </w:rPr>
        <w:t>er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pylori-negative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idiopathic        bleeding         ulcers[J].Gastroenterology,2009,137(2):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525-531.DOI:10.1053/j.gastro.2009.05.006.</w:t>
      </w:r>
    </w:p>
    <w:p>
      <w:pPr>
        <w:pStyle w:val="BodyText"/>
        <w:ind w:left="410" w:hanging="410"/>
        <w:spacing w:before="171" w:line="330" w:lineRule="auto"/>
        <w:rPr>
          <w:sz w:val="15"/>
          <w:szCs w:val="15"/>
        </w:rPr>
      </w:pPr>
      <w:r>
        <w:rPr>
          <w:sz w:val="15"/>
          <w:szCs w:val="15"/>
        </w:rPr>
        <w:t>[90]Wong    GL,Au    KW,Lo     A0,et </w:t>
      </w:r>
      <w:r>
        <w:rPr>
          <w:sz w:val="15"/>
          <w:szCs w:val="15"/>
          <w:spacing w:val="-1"/>
        </w:rPr>
        <w:t xml:space="preserve">   al.Gastroprotective    therapy     does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not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improve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outcomes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of patients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Helicobacter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pylori-nega</w:t>
      </w:r>
      <w:r>
        <w:rPr>
          <w:sz w:val="15"/>
          <w:szCs w:val="15"/>
          <w:spacing w:val="-1"/>
        </w:rPr>
        <w:t>tive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idiopathic    bleeding    ulcers[J].Clin    Gastroenterol    Hepatol,2012,  </w:t>
      </w:r>
      <w:r>
        <w:rPr>
          <w:sz w:val="15"/>
          <w:szCs w:val="15"/>
        </w:rPr>
        <w:t>10(10):1124-1129.DOI:10.1016/j.cgh.201</w:t>
      </w:r>
      <w:r>
        <w:rPr>
          <w:sz w:val="15"/>
          <w:szCs w:val="15"/>
          <w:spacing w:val="-1"/>
        </w:rPr>
        <w:t>2.06.012.</w:t>
      </w:r>
    </w:p>
    <w:p>
      <w:pPr>
        <w:pStyle w:val="BodyText"/>
        <w:ind w:left="410" w:hanging="410"/>
        <w:spacing w:before="133" w:line="328" w:lineRule="auto"/>
        <w:rPr>
          <w:sz w:val="15"/>
          <w:szCs w:val="15"/>
        </w:rPr>
      </w:pPr>
      <w:r>
        <w:rPr>
          <w:sz w:val="15"/>
          <w:szCs w:val="15"/>
        </w:rPr>
        <w:t>[91]Kim  HU.Diagnostic   and  treatment   approaches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for  refractory</w:t>
      </w:r>
      <w:r>
        <w:rPr>
          <w:sz w:val="15"/>
          <w:szCs w:val="15"/>
          <w:spacing w:val="-1"/>
        </w:rPr>
        <w:t xml:space="preserve">  peptic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ulcers[J].Clin                      Endosc,2015,48(4):285-290.DOI:1</w:t>
      </w:r>
      <w:r>
        <w:rPr>
          <w:sz w:val="15"/>
          <w:szCs w:val="15"/>
          <w:spacing w:val="-1"/>
        </w:rPr>
        <w:t>0.5946/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ce.2015.48.4.285.</w:t>
      </w:r>
    </w:p>
    <w:p>
      <w:pPr>
        <w:pStyle w:val="BodyText"/>
        <w:ind w:left="410" w:hanging="410"/>
        <w:spacing w:before="162" w:line="291" w:lineRule="auto"/>
        <w:rPr>
          <w:sz w:val="15"/>
          <w:szCs w:val="15"/>
        </w:rPr>
      </w:pPr>
      <w:r>
        <w:rPr>
          <w:sz w:val="15"/>
          <w:szCs w:val="15"/>
        </w:rPr>
        <w:t>[92]Akiyama      T,Endo      H,Inamori      M,et    </w:t>
      </w:r>
      <w:r>
        <w:rPr>
          <w:sz w:val="15"/>
          <w:szCs w:val="15"/>
          <w:spacing w:val="-1"/>
        </w:rPr>
        <w:t xml:space="preserve">   al.Symptomatic      gastric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sarcoidosis     with      multiple      antral     ulcers[J].Endoscopy,2009,</w:t>
      </w:r>
    </w:p>
    <w:p>
      <w:pPr>
        <w:pStyle w:val="BodyText"/>
        <w:ind w:left="410"/>
        <w:spacing w:before="142" w:line="192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41            </w:t>
      </w:r>
      <w:r>
        <w:rPr>
          <w:sz w:val="15"/>
          <w:szCs w:val="15"/>
        </w:rPr>
        <w:t>Suppl</w:t>
      </w:r>
      <w:r>
        <w:rPr>
          <w:sz w:val="15"/>
          <w:szCs w:val="15"/>
          <w:spacing w:val="1"/>
        </w:rPr>
        <w:t>2:E159.</w:t>
      </w:r>
      <w:r>
        <w:rPr>
          <w:sz w:val="15"/>
          <w:szCs w:val="15"/>
        </w:rPr>
        <w:t>DOI:10.1055/s-0029-1214690.</w:t>
      </w:r>
    </w:p>
    <w:p>
      <w:pPr>
        <w:pStyle w:val="BodyText"/>
        <w:ind w:left="410" w:right="4" w:hanging="410"/>
        <w:spacing w:before="102" w:line="333" w:lineRule="auto"/>
        <w:jc w:val="right"/>
        <w:rPr>
          <w:sz w:val="15"/>
          <w:szCs w:val="15"/>
        </w:rPr>
      </w:pPr>
      <w:r>
        <w:rPr>
          <w:sz w:val="15"/>
          <w:szCs w:val="15"/>
        </w:rPr>
        <w:t>[93]Sonoda   A,Ogawa    R,Mizukam</w:t>
      </w:r>
      <w:r>
        <w:rPr>
          <w:sz w:val="15"/>
          <w:szCs w:val="15"/>
          <w:spacing w:val="-1"/>
        </w:rPr>
        <w:t>i    K,et    al.Marked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-1"/>
        </w:rPr>
        <w:t>improvement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gastric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involvement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Behc</w:t>
      </w:r>
      <w:r>
        <w:rPr>
          <w:sz w:val="15"/>
          <w:szCs w:val="15"/>
          <w:spacing w:val="-1"/>
        </w:rPr>
        <w:t>et's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disease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adalimumab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treatment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[J].Turk              J               Gastroenterol,</w:t>
      </w:r>
      <w:r>
        <w:rPr>
          <w:sz w:val="15"/>
          <w:szCs w:val="15"/>
          <w:spacing w:val="-1"/>
        </w:rPr>
        <w:t>2017,28(5):405407.DOI:10.</w:t>
      </w:r>
    </w:p>
    <w:p>
      <w:pPr>
        <w:spacing w:line="333" w:lineRule="auto"/>
        <w:sectPr>
          <w:type w:val="continuous"/>
          <w:pgSz w:w="10720" w:h="15880"/>
          <w:pgMar w:top="818" w:right="554" w:bottom="0" w:left="509" w:header="510" w:footer="0" w:gutter="0"/>
          <w:cols w:equalWidth="0" w:num="2">
            <w:col w:w="4931" w:space="100"/>
            <w:col w:w="4626" w:space="0"/>
          </w:cols>
        </w:sectPr>
        <w:rPr>
          <w:sz w:val="15"/>
          <w:szCs w:val="15"/>
        </w:rPr>
      </w:pPr>
    </w:p>
    <w:p>
      <w:pPr>
        <w:spacing w:before="74"/>
        <w:rPr/>
      </w:pPr>
      <w:r/>
    </w:p>
    <w:p>
      <w:pPr>
        <w:sectPr>
          <w:headerReference w:type="default" r:id="rId22"/>
          <w:pgSz w:w="10720" w:h="15880"/>
          <w:pgMar w:top="818" w:right="550" w:bottom="0" w:left="509" w:header="510" w:footer="0" w:gutter="0"/>
          <w:cols w:equalWidth="0" w:num="1">
            <w:col w:w="9661" w:space="0"/>
          </w:cols>
        </w:sectPr>
        <w:rPr/>
      </w:pPr>
    </w:p>
    <w:p>
      <w:pPr>
        <w:pStyle w:val="BodyText"/>
        <w:ind w:left="410"/>
        <w:spacing w:before="27" w:line="192" w:lineRule="auto"/>
        <w:rPr>
          <w:sz w:val="15"/>
          <w:szCs w:val="15"/>
        </w:rPr>
      </w:pPr>
      <w:r>
        <w:rPr>
          <w:sz w:val="15"/>
          <w:szCs w:val="15"/>
        </w:rPr>
        <w:t>5152/tjg.2017.17230.</w:t>
      </w:r>
    </w:p>
    <w:p>
      <w:pPr>
        <w:pStyle w:val="BodyText"/>
        <w:ind w:left="410" w:right="319" w:hanging="410"/>
        <w:spacing w:before="142" w:line="333" w:lineRule="auto"/>
        <w:rPr>
          <w:sz w:val="15"/>
          <w:szCs w:val="15"/>
        </w:rPr>
      </w:pPr>
      <w:r>
        <w:rPr>
          <w:sz w:val="15"/>
          <w:szCs w:val="15"/>
        </w:rPr>
        <w:t>[94]Saikia     N,Talukdar     R,Mazumder      S</w:t>
      </w:r>
      <w:r>
        <w:rPr>
          <w:sz w:val="15"/>
          <w:szCs w:val="15"/>
          <w:spacing w:val="-1"/>
        </w:rPr>
        <w:t>,et     al.Polyarteritis      nodosa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presenting    as    massive    upper    gastrointestinal    hemorrhage[J].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Gastrointest</w:t>
      </w:r>
      <w:r>
        <w:rPr>
          <w:sz w:val="15"/>
          <w:szCs w:val="15"/>
          <w:spacing w:val="1"/>
        </w:rPr>
        <w:t xml:space="preserve">                    </w:t>
      </w:r>
      <w:r>
        <w:rPr>
          <w:sz w:val="15"/>
          <w:szCs w:val="15"/>
        </w:rPr>
        <w:t xml:space="preserve"> Endosc,2006,63(6):868-870.DOI:10.1016/j.  </w:t>
      </w:r>
      <w:r>
        <w:rPr>
          <w:sz w:val="15"/>
          <w:szCs w:val="15"/>
        </w:rPr>
        <w:t>gie.2005.12.019.</w:t>
      </w:r>
    </w:p>
    <w:p>
      <w:pPr>
        <w:pStyle w:val="BodyText"/>
        <w:ind w:left="410" w:right="299" w:hanging="410"/>
        <w:spacing w:before="163" w:line="319" w:lineRule="auto"/>
        <w:rPr>
          <w:sz w:val="15"/>
          <w:szCs w:val="15"/>
        </w:rPr>
      </w:pPr>
      <w:r>
        <w:rPr>
          <w:sz w:val="15"/>
          <w:szCs w:val="15"/>
        </w:rPr>
        <w:t>[95]Annunziata        ML,Caviglia         R,Papparel</w:t>
      </w:r>
      <w:r>
        <w:rPr>
          <w:sz w:val="15"/>
          <w:szCs w:val="15"/>
          <w:spacing w:val="-1"/>
        </w:rPr>
        <w:t>la         LG,et         al.Upper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gastrointestinal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involvement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Crohn's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dise</w:t>
      </w:r>
      <w:r>
        <w:rPr>
          <w:sz w:val="15"/>
          <w:szCs w:val="15"/>
          <w:spacing w:val="-1"/>
        </w:rPr>
        <w:t>ase:a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prospective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study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on  the  role  of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upper  endoscopy  in  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diagnostic  work-up[J].Dig </w:t>
      </w:r>
      <w:r>
        <w:rPr>
          <w:sz w:val="15"/>
          <w:szCs w:val="15"/>
        </w:rPr>
        <w:t>Dis                     Sci,2012,57(6):1618-1623.DOI:10.1007/s10620-01</w:t>
      </w:r>
      <w:r>
        <w:rPr>
          <w:sz w:val="15"/>
          <w:szCs w:val="15"/>
          <w:spacing w:val="-1"/>
        </w:rPr>
        <w:t>2-</w:t>
      </w:r>
    </w:p>
    <w:p>
      <w:pPr>
        <w:pStyle w:val="BodyText"/>
        <w:ind w:left="410"/>
        <w:spacing w:before="165" w:line="1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2072-0.</w:t>
      </w:r>
    </w:p>
    <w:p>
      <w:pPr>
        <w:pStyle w:val="BodyText"/>
        <w:ind w:left="410" w:right="320" w:hanging="410"/>
        <w:spacing w:before="112" w:line="340" w:lineRule="auto"/>
        <w:rPr>
          <w:sz w:val="15"/>
          <w:szCs w:val="15"/>
        </w:rPr>
      </w:pPr>
      <w:r>
        <w:rPr>
          <w:sz w:val="15"/>
          <w:szCs w:val="15"/>
        </w:rPr>
        <w:t>[96]Katsinelos      P,Zavos      C,Paroutoglou       G,et      a</w:t>
      </w:r>
      <w:r>
        <w:rPr>
          <w:sz w:val="15"/>
          <w:szCs w:val="15"/>
          <w:spacing w:val="-1"/>
        </w:rPr>
        <w:t>l.Education    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imaging.Gastrointestinal:retained          gastric   </w:t>
      </w:r>
      <w:r>
        <w:rPr>
          <w:sz w:val="15"/>
          <w:szCs w:val="15"/>
          <w:spacing w:val="-1"/>
        </w:rPr>
        <w:t xml:space="preserve">       antrum          [J].J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Gastroenterol</w:t>
      </w:r>
      <w:r>
        <w:rPr>
          <w:sz w:val="15"/>
          <w:szCs w:val="15"/>
          <w:spacing w:val="1"/>
        </w:rPr>
        <w:t xml:space="preserve">                    </w:t>
      </w:r>
      <w:r>
        <w:rPr>
          <w:sz w:val="15"/>
          <w:szCs w:val="15"/>
        </w:rPr>
        <w:t xml:space="preserve">     Hepatol,2007,22(3):448.DOI:10.1111/j.  </w:t>
      </w:r>
      <w:r>
        <w:rPr>
          <w:sz w:val="15"/>
          <w:szCs w:val="15"/>
          <w:spacing w:val="-1"/>
        </w:rPr>
        <w:t>1440-1746.2007.04882.x.</w:t>
      </w:r>
    </w:p>
    <w:p>
      <w:pPr>
        <w:pStyle w:val="BodyText"/>
        <w:ind w:left="410" w:right="320" w:hanging="410"/>
        <w:spacing w:before="133" w:line="314" w:lineRule="auto"/>
        <w:rPr>
          <w:sz w:val="15"/>
          <w:szCs w:val="15"/>
        </w:rPr>
      </w:pPr>
      <w:r>
        <w:rPr>
          <w:sz w:val="15"/>
          <w:szCs w:val="15"/>
        </w:rPr>
        <w:t>[97]Kavitt    RT,Lipowska    AM,Anyane-Yeboa    </w:t>
      </w:r>
      <w:r>
        <w:rPr>
          <w:sz w:val="15"/>
          <w:szCs w:val="15"/>
          <w:spacing w:val="-1"/>
        </w:rPr>
        <w:t>A,et    al.Diagnosis   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treatment    of    peptic     ulcer    disease[J].AmJ     Med,2019,132(4):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447-456.DOI:10.1016/j.amjmed.2018.12.009.</w:t>
      </w:r>
    </w:p>
    <w:p>
      <w:pPr>
        <w:pStyle w:val="BodyText"/>
        <w:ind w:left="410" w:right="320" w:hanging="410"/>
        <w:spacing w:before="164" w:line="323" w:lineRule="auto"/>
        <w:rPr>
          <w:sz w:val="15"/>
          <w:szCs w:val="15"/>
        </w:rPr>
      </w:pPr>
      <w:r>
        <w:rPr>
          <w:sz w:val="15"/>
          <w:szCs w:val="15"/>
        </w:rPr>
        <w:t>[98]Tarasconi</w:t>
      </w:r>
      <w:r>
        <w:rPr>
          <w:sz w:val="15"/>
          <w:szCs w:val="15"/>
          <w:spacing w:val="5"/>
        </w:rPr>
        <w:t xml:space="preserve">      </w:t>
      </w:r>
      <w:r>
        <w:rPr>
          <w:sz w:val="15"/>
          <w:szCs w:val="15"/>
        </w:rPr>
        <w:t>A,Coccolini</w:t>
      </w:r>
      <w:r>
        <w:rPr>
          <w:sz w:val="15"/>
          <w:szCs w:val="15"/>
          <w:spacing w:val="6"/>
        </w:rPr>
        <w:t xml:space="preserve">      </w:t>
      </w:r>
      <w:r>
        <w:rPr>
          <w:sz w:val="15"/>
          <w:szCs w:val="15"/>
        </w:rPr>
        <w:t>F,Biffl</w:t>
      </w:r>
      <w:r>
        <w:rPr>
          <w:sz w:val="15"/>
          <w:szCs w:val="15"/>
          <w:spacing w:val="5"/>
        </w:rPr>
        <w:t xml:space="preserve">      </w:t>
      </w:r>
      <w:r>
        <w:rPr>
          <w:sz w:val="15"/>
          <w:szCs w:val="15"/>
        </w:rPr>
        <w:t>WL</w:t>
      </w:r>
      <w:r>
        <w:rPr>
          <w:sz w:val="15"/>
          <w:szCs w:val="15"/>
          <w:spacing w:val="-1"/>
        </w:rPr>
        <w:t>,et       al.Perforated       and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bleeding   peptic    ulcer:WSES   guidelines[J/OL].World</w:t>
      </w:r>
      <w:r>
        <w:rPr>
          <w:sz w:val="15"/>
          <w:szCs w:val="15"/>
          <w:spacing w:val="-1"/>
        </w:rPr>
        <w:t xml:space="preserve">    J    Emerg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Surg,2020,15:3(2020-01-07)[2023-01-14].</w:t>
      </w:r>
      <w:hyperlink w:history="true" r:id="rId18">
        <w:r>
          <w:rPr>
            <w:sz w:val="15"/>
            <w:szCs w:val="15"/>
          </w:rPr>
          <w:t>http</w:t>
        </w:r>
        <w:r>
          <w:rPr>
            <w:sz w:val="15"/>
            <w:szCs w:val="15"/>
            <w:spacing w:val="-1"/>
          </w:rPr>
          <w:t>s://doi.org/</w:t>
        </w:r>
      </w:hyperlink>
    </w:p>
    <w:p>
      <w:pPr>
        <w:pStyle w:val="BodyText"/>
        <w:ind w:left="410"/>
        <w:spacing w:before="13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10.1186/s13017-019-0283-9.</w:t>
      </w:r>
    </w:p>
    <w:p>
      <w:pPr>
        <w:pStyle w:val="BodyText"/>
        <w:ind w:left="410" w:right="309" w:hanging="410"/>
        <w:spacing w:before="96" w:line="30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[99]《中华内科杂志》编辑部，《中华医学杂志》编辑部，《中华消化</w:t>
      </w:r>
      <w:r>
        <w:rPr>
          <w:rFonts w:ascii="SimSun" w:hAnsi="SimSun" w:eastAsia="SimSun" w:cs="SimSun"/>
          <w:sz w:val="15"/>
          <w:szCs w:val="15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杂志》编辑部，等.急性非静脉曲张性上消化道出血诊治指南</w:t>
      </w:r>
      <w:r>
        <w:rPr>
          <w:rFonts w:ascii="SimSun" w:hAnsi="SimSun" w:eastAsia="SimSun" w:cs="SimSun"/>
          <w:sz w:val="15"/>
          <w:szCs w:val="15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0"/>
        </w:rPr>
        <w:t>(2018年，杭州)</w:t>
      </w:r>
      <w:r>
        <w:rPr>
          <w:sz w:val="15"/>
          <w:szCs w:val="15"/>
          <w:spacing w:val="10"/>
        </w:rPr>
        <w:t>[J].     </w:t>
      </w:r>
      <w:r>
        <w:rPr>
          <w:rFonts w:ascii="SimSun" w:hAnsi="SimSun" w:eastAsia="SimSun" w:cs="SimSun"/>
          <w:sz w:val="15"/>
          <w:szCs w:val="15"/>
          <w:spacing w:val="10"/>
        </w:rPr>
        <w:t>中华消化杂志，2019</w:t>
      </w:r>
      <w:r>
        <w:rPr>
          <w:rFonts w:ascii="SimSun" w:hAnsi="SimSun" w:eastAsia="SimSun" w:cs="SimSun"/>
          <w:sz w:val="15"/>
          <w:szCs w:val="15"/>
          <w:spacing w:val="9"/>
        </w:rPr>
        <w:t>,39(2):80-87.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</w:rPr>
        <w:t>DOI:10.3760/cma.j.issn.0254-1432.2019.02.002.</w:t>
      </w:r>
    </w:p>
    <w:p>
      <w:pPr>
        <w:pStyle w:val="BodyText"/>
        <w:ind w:left="410" w:right="299" w:hanging="410"/>
        <w:spacing w:before="132" w:line="330" w:lineRule="auto"/>
        <w:rPr>
          <w:sz w:val="15"/>
          <w:szCs w:val="15"/>
        </w:rPr>
      </w:pPr>
      <w:r>
        <w:rPr>
          <w:sz w:val="15"/>
          <w:szCs w:val="15"/>
        </w:rPr>
        <w:t>[100]Stanley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</w:rPr>
        <w:t>AJ,Ashley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</w:rPr>
        <w:t>D,Dalton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</w:rPr>
        <w:t>HR,et   al.Outpati</w:t>
      </w:r>
      <w:r>
        <w:rPr>
          <w:sz w:val="15"/>
          <w:szCs w:val="15"/>
          <w:spacing w:val="-1"/>
        </w:rPr>
        <w:t>ent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management 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patients with low-risk upper-gastrointestinal haemorrhage:multi</w:t>
      </w:r>
      <w:r>
        <w:rPr>
          <w:sz w:val="15"/>
          <w:szCs w:val="15"/>
          <w:spacing w:val="-1"/>
        </w:rPr>
        <w:t>centre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validation</w:t>
      </w:r>
      <w:r>
        <w:rPr>
          <w:sz w:val="15"/>
          <w:szCs w:val="15"/>
          <w:spacing w:val="12"/>
          <w:w w:val="102"/>
        </w:rPr>
        <w:t xml:space="preserve">   </w:t>
      </w:r>
      <w:r>
        <w:rPr>
          <w:sz w:val="15"/>
          <w:szCs w:val="15"/>
        </w:rPr>
        <w:t>and   prospective    evaluation[J].Lancet,2009,373(9657):  </w:t>
      </w:r>
      <w:r>
        <w:rPr>
          <w:sz w:val="15"/>
          <w:szCs w:val="15"/>
        </w:rPr>
        <w:t>42-47.DOI:10.1016/S0140-6736(08)61769-9.</w:t>
      </w:r>
    </w:p>
    <w:p>
      <w:pPr>
        <w:pStyle w:val="BodyText"/>
        <w:ind w:left="410" w:right="318" w:hanging="410"/>
        <w:spacing w:before="172" w:line="340" w:lineRule="auto"/>
        <w:rPr>
          <w:sz w:val="15"/>
          <w:szCs w:val="15"/>
        </w:rPr>
      </w:pPr>
      <w:r>
        <w:rPr>
          <w:sz w:val="15"/>
          <w:szCs w:val="15"/>
        </w:rPr>
        <w:t>[101]Laursen    SB,Dalton    HR,Murray    IA,et    al.Performanc</w:t>
      </w:r>
      <w:r>
        <w:rPr>
          <w:sz w:val="15"/>
          <w:szCs w:val="15"/>
          <w:spacing w:val="-1"/>
        </w:rPr>
        <w:t>e    of    new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thresholds  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the  Glasgow  Blatchford  score  in  managing  patients </w:t>
      </w:r>
      <w:r>
        <w:rPr>
          <w:sz w:val="15"/>
          <w:szCs w:val="15"/>
        </w:rPr>
        <w:t>with    upper     gastrointestinal     bleeding </w:t>
      </w:r>
      <w:r>
        <w:rPr>
          <w:sz w:val="15"/>
          <w:szCs w:val="15"/>
          <w:spacing w:val="-1"/>
        </w:rPr>
        <w:t xml:space="preserve">    [J].Clin     Gastroenterol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Hepatol,2015,13(1):115-121.e2.DOI:10.1016/j.cgh.2014.</w:t>
      </w:r>
    </w:p>
    <w:p>
      <w:pPr>
        <w:pStyle w:val="BodyText"/>
        <w:ind w:left="410"/>
        <w:spacing w:before="145" w:line="1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07.023.</w:t>
      </w:r>
    </w:p>
    <w:p>
      <w:pPr>
        <w:pStyle w:val="BodyText"/>
        <w:ind w:left="410" w:right="320" w:hanging="410"/>
        <w:spacing w:before="152" w:line="330" w:lineRule="auto"/>
        <w:rPr>
          <w:sz w:val="15"/>
          <w:szCs w:val="15"/>
        </w:rPr>
      </w:pPr>
      <w:r>
        <w:rPr>
          <w:sz w:val="15"/>
          <w:szCs w:val="15"/>
        </w:rPr>
        <w:t>[102]Stanley     AJ,Laine     L,Dalton      HR,et     al.Comparison     of     risk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scoring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systems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presen</w:t>
      </w:r>
      <w:r>
        <w:rPr>
          <w:sz w:val="15"/>
          <w:szCs w:val="15"/>
          <w:spacing w:val="-1"/>
        </w:rPr>
        <w:t>ting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upper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1"/>
        </w:rPr>
        <w:t>gastrointestinal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bleeding:international      multicentre      prospective      study[J/OL].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BMJ,2017,356:i6432(2017-01-04)[2023-01-14].</w:t>
      </w:r>
      <w:hyperlink w:history="true" r:id="rId23">
        <w:r>
          <w:rPr>
            <w:sz w:val="15"/>
            <w:szCs w:val="15"/>
          </w:rPr>
          <w:t>ht</w:t>
        </w:r>
        <w:r>
          <w:rPr>
            <w:sz w:val="15"/>
            <w:szCs w:val="15"/>
            <w:spacing w:val="-1"/>
          </w:rPr>
          <w:t>tps:/</w:t>
        </w:r>
      </w:hyperlink>
    </w:p>
    <w:p>
      <w:pPr>
        <w:pStyle w:val="BodyText"/>
        <w:ind w:left="410"/>
        <w:spacing w:before="131" w:line="192" w:lineRule="auto"/>
        <w:rPr>
          <w:sz w:val="15"/>
          <w:szCs w:val="15"/>
        </w:rPr>
      </w:pPr>
      <w:hyperlink w:history="true" r:id="rId23">
        <w:r>
          <w:rPr>
            <w:sz w:val="15"/>
            <w:szCs w:val="15"/>
          </w:rPr>
          <w:t>doi.org/10.1136/bmj</w:t>
        </w:r>
        <w:r>
          <w:rPr>
            <w:sz w:val="15"/>
            <w:szCs w:val="15"/>
            <w:spacing w:val="-1"/>
          </w:rPr>
          <w:t>.i6432.</w:t>
        </w:r>
      </w:hyperlink>
    </w:p>
    <w:p>
      <w:pPr>
        <w:pStyle w:val="BodyText"/>
        <w:ind w:left="410" w:right="317" w:hanging="410"/>
        <w:spacing w:before="126" w:line="313" w:lineRule="auto"/>
        <w:rPr>
          <w:sz w:val="15"/>
          <w:szCs w:val="15"/>
        </w:rPr>
      </w:pPr>
      <w:r>
        <w:rPr>
          <w:sz w:val="15"/>
          <w:szCs w:val="15"/>
        </w:rPr>
        <w:t>[103]Laine       L,Barkun       AN,Saltzman        J</w:t>
      </w:r>
      <w:r>
        <w:rPr>
          <w:sz w:val="15"/>
          <w:szCs w:val="15"/>
          <w:spacing w:val="-1"/>
        </w:rPr>
        <w:t>R,et       al.ACG        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guideline:upper     gastrointestinal      and     ulcer      </w:t>
      </w:r>
      <w:r>
        <w:rPr>
          <w:sz w:val="15"/>
          <w:szCs w:val="15"/>
          <w:spacing w:val="-1"/>
        </w:rPr>
        <w:t>bleeding[J].AmJ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Gastroenterol,2021,116(5):899-917.DOI:10.14</w:t>
      </w:r>
      <w:r>
        <w:rPr>
          <w:sz w:val="15"/>
          <w:szCs w:val="15"/>
          <w:spacing w:val="-1"/>
        </w:rPr>
        <w:t>309/ajg.</w:t>
      </w:r>
    </w:p>
    <w:p>
      <w:pPr>
        <w:pStyle w:val="BodyText"/>
        <w:ind w:left="410"/>
        <w:spacing w:before="165" w:line="1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0000000000001245.</w:t>
      </w:r>
    </w:p>
    <w:p>
      <w:pPr>
        <w:pStyle w:val="BodyText"/>
        <w:ind w:left="410" w:right="315" w:hanging="410"/>
        <w:spacing w:before="131" w:line="324" w:lineRule="auto"/>
        <w:rPr>
          <w:sz w:val="15"/>
          <w:szCs w:val="15"/>
        </w:rPr>
      </w:pPr>
      <w:r>
        <w:rPr>
          <w:sz w:val="15"/>
          <w:szCs w:val="15"/>
        </w:rPr>
        <w:t>[104]Carson      JL,Guyatt       G,Heddle      NM,et </w:t>
      </w:r>
      <w:r>
        <w:rPr>
          <w:sz w:val="15"/>
          <w:szCs w:val="15"/>
          <w:spacing w:val="-1"/>
        </w:rPr>
        <w:t xml:space="preserve">      al.Clinical       practice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guidelines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from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</w:rPr>
        <w:t>AABB:red  blood   ce</w:t>
      </w:r>
      <w:r>
        <w:rPr>
          <w:sz w:val="15"/>
          <w:szCs w:val="15"/>
          <w:spacing w:val="-1"/>
        </w:rPr>
        <w:t>l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-1"/>
        </w:rPr>
        <w:t>transfusion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-1"/>
        </w:rPr>
        <w:t>thresholds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and                      storage[J].JAMA,2016,316(19):2025-2035.DOI</w:t>
      </w:r>
      <w:r>
        <w:rPr>
          <w:sz w:val="15"/>
          <w:szCs w:val="15"/>
          <w:spacing w:val="-1"/>
        </w:rPr>
        <w:t>:10.</w:t>
      </w:r>
    </w:p>
    <w:p>
      <w:pPr>
        <w:pStyle w:val="BodyText"/>
        <w:ind w:left="410"/>
        <w:spacing w:before="142" w:line="1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1001/jama.2016.9185.</w:t>
      </w:r>
    </w:p>
    <w:p>
      <w:pPr>
        <w:pStyle w:val="BodyText"/>
        <w:ind w:left="410" w:right="314" w:hanging="410"/>
        <w:spacing w:before="112" w:line="324" w:lineRule="auto"/>
        <w:rPr>
          <w:sz w:val="15"/>
          <w:szCs w:val="15"/>
        </w:rPr>
      </w:pPr>
      <w:r>
        <w:rPr>
          <w:sz w:val="15"/>
          <w:szCs w:val="15"/>
        </w:rPr>
        <w:t>[105]Villanueva    C,Colomo     A,Bosch    A,et     al.Transf</w:t>
      </w:r>
      <w:r>
        <w:rPr>
          <w:sz w:val="15"/>
          <w:szCs w:val="15"/>
          <w:spacing w:val="-1"/>
        </w:rPr>
        <w:t>usion    strategies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for   acute    upper    gastrointestinal   b</w:t>
      </w:r>
      <w:r>
        <w:rPr>
          <w:sz w:val="15"/>
          <w:szCs w:val="15"/>
          <w:spacing w:val="-1"/>
        </w:rPr>
        <w:t>leeding[J].N    Engl    J    Med,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2013,368(1):11-21.DOI:10.1056/NEJMoal211801.</w:t>
      </w:r>
    </w:p>
    <w:p>
      <w:pPr>
        <w:pStyle w:val="BodyText"/>
        <w:ind w:left="410" w:right="317" w:hanging="410"/>
        <w:spacing w:before="141" w:line="298" w:lineRule="auto"/>
        <w:rPr>
          <w:sz w:val="15"/>
          <w:szCs w:val="15"/>
        </w:rPr>
      </w:pPr>
      <w:r>
        <w:rPr>
          <w:sz w:val="15"/>
          <w:szCs w:val="15"/>
        </w:rPr>
        <w:t>[106]Jairath    V,Kahan     BC,Gray    A,et     al.Restrictive     </w:t>
      </w:r>
      <w:r>
        <w:rPr>
          <w:sz w:val="15"/>
          <w:szCs w:val="15"/>
          <w:spacing w:val="-1"/>
        </w:rPr>
        <w:t>versus    liberal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blood    transfusion    for    acute    upper    gastrointestinal    bleeding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9"/>
        <w:spacing w:before="36" w:line="192" w:lineRule="auto"/>
        <w:rPr>
          <w:sz w:val="15"/>
          <w:szCs w:val="15"/>
        </w:rPr>
      </w:pPr>
      <w:r>
        <w:rPr>
          <w:sz w:val="15"/>
          <w:szCs w:val="15"/>
        </w:rPr>
        <w:t>(TRIGGER):a            pragmatic,open-label,custer             randomi</w:t>
      </w:r>
      <w:r>
        <w:rPr>
          <w:sz w:val="15"/>
          <w:szCs w:val="15"/>
          <w:spacing w:val="-1"/>
        </w:rPr>
        <w:t>sed</w:t>
      </w:r>
    </w:p>
    <w:p>
      <w:pPr>
        <w:pStyle w:val="BodyText"/>
        <w:ind w:left="429"/>
        <w:spacing w:before="132" w:line="192" w:lineRule="auto"/>
        <w:rPr>
          <w:sz w:val="15"/>
          <w:szCs w:val="15"/>
        </w:rPr>
      </w:pPr>
      <w:r>
        <w:rPr>
          <w:sz w:val="15"/>
          <w:szCs w:val="15"/>
        </w:rPr>
        <w:t>feasibility                      trial[J].Lancet,2015,386(9989):137-144.DOI:</w:t>
      </w:r>
    </w:p>
    <w:p>
      <w:pPr>
        <w:pStyle w:val="BodyText"/>
        <w:ind w:left="429"/>
        <w:spacing w:before="132" w:line="192" w:lineRule="auto"/>
        <w:rPr>
          <w:sz w:val="15"/>
          <w:szCs w:val="15"/>
        </w:rPr>
      </w:pPr>
      <w:r>
        <w:rPr>
          <w:sz w:val="15"/>
          <w:szCs w:val="15"/>
        </w:rPr>
        <w:t>10.1016/S0140-6736(14</w:t>
      </w:r>
      <w:r>
        <w:rPr>
          <w:sz w:val="15"/>
          <w:szCs w:val="15"/>
          <w:spacing w:val="-1"/>
        </w:rPr>
        <w:t>)61999-1.</w:t>
      </w:r>
    </w:p>
    <w:p>
      <w:pPr>
        <w:pStyle w:val="BodyText"/>
        <w:ind w:left="429" w:right="13" w:hanging="429"/>
        <w:spacing w:before="143" w:line="336" w:lineRule="auto"/>
        <w:rPr>
          <w:sz w:val="15"/>
          <w:szCs w:val="15"/>
        </w:rPr>
      </w:pPr>
      <w:r>
        <w:rPr>
          <w:sz w:val="15"/>
          <w:szCs w:val="15"/>
        </w:rPr>
        <w:t>[107]Carson</w:t>
      </w:r>
      <w:r>
        <w:rPr>
          <w:sz w:val="15"/>
          <w:szCs w:val="15"/>
          <w:spacing w:val="5"/>
        </w:rPr>
        <w:t xml:space="preserve">      </w:t>
      </w:r>
      <w:r>
        <w:rPr>
          <w:sz w:val="15"/>
          <w:szCs w:val="15"/>
        </w:rPr>
        <w:t>JL,Brooks      MM,Abbott       JD,et       al</w:t>
      </w:r>
      <w:r>
        <w:rPr>
          <w:sz w:val="15"/>
          <w:szCs w:val="15"/>
          <w:spacing w:val="-1"/>
        </w:rPr>
        <w:t>.Liberal       versus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restrictive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transfusion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thresholds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p</w:t>
      </w:r>
      <w:r>
        <w:rPr>
          <w:sz w:val="15"/>
          <w:szCs w:val="15"/>
          <w:spacing w:val="-1"/>
        </w:rPr>
        <w:t>atients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symptomatic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coronary      artery       disease[J].Am</w:t>
      </w:r>
      <w:r>
        <w:rPr>
          <w:sz w:val="15"/>
          <w:szCs w:val="15"/>
          <w:spacing w:val="3"/>
        </w:rPr>
        <w:t xml:space="preserve">      </w:t>
      </w:r>
      <w:r>
        <w:rPr>
          <w:sz w:val="15"/>
          <w:szCs w:val="15"/>
        </w:rPr>
        <w:t>Heart</w:t>
      </w:r>
      <w:r>
        <w:rPr>
          <w:sz w:val="15"/>
          <w:szCs w:val="15"/>
          <w:spacing w:val="4"/>
        </w:rPr>
        <w:t xml:space="preserve">      </w:t>
      </w:r>
      <w:r>
        <w:rPr>
          <w:sz w:val="15"/>
          <w:szCs w:val="15"/>
        </w:rPr>
        <w:t>J,2</w:t>
      </w:r>
      <w:r>
        <w:rPr>
          <w:sz w:val="15"/>
          <w:szCs w:val="15"/>
          <w:spacing w:val="-1"/>
        </w:rPr>
        <w:t>013,165(6):964-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971.el.DOI:10.1016/j.ahj.2013.03.001.</w:t>
      </w:r>
    </w:p>
    <w:p>
      <w:pPr>
        <w:pStyle w:val="BodyText"/>
        <w:ind w:left="429" w:right="14" w:hanging="429"/>
        <w:spacing w:before="121" w:line="330" w:lineRule="auto"/>
        <w:rPr>
          <w:sz w:val="15"/>
          <w:szCs w:val="15"/>
        </w:rPr>
      </w:pPr>
      <w:r>
        <w:rPr>
          <w:sz w:val="15"/>
          <w:szCs w:val="15"/>
        </w:rPr>
        <w:t>[108]Cooper    HA,Rao    SV,Green</w:t>
      </w:r>
      <w:r>
        <w:rPr>
          <w:sz w:val="15"/>
          <w:szCs w:val="15"/>
          <w:spacing w:val="-1"/>
        </w:rPr>
        <w:t>berg     MD,et    al.Conservative     versus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liberal   red   cell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ransfusion    in   acute </w:t>
      </w:r>
      <w:r>
        <w:rPr>
          <w:sz w:val="15"/>
          <w:szCs w:val="15"/>
          <w:spacing w:val="-1"/>
        </w:rPr>
        <w:t xml:space="preserve">  myocardial    infarction(the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CRIT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</w:rPr>
        <w:t>Randomized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</w:rPr>
        <w:t>Pilot      St</w:t>
      </w:r>
      <w:r>
        <w:rPr>
          <w:sz w:val="15"/>
          <w:szCs w:val="15"/>
          <w:spacing w:val="-1"/>
        </w:rPr>
        <w:t>udy)[J].Am      J      Cardiol,2011,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108(8):1108-1111.DOI:10.1016/j.amjcard.20</w:t>
      </w:r>
      <w:r>
        <w:rPr>
          <w:sz w:val="15"/>
          <w:szCs w:val="15"/>
          <w:spacing w:val="-1"/>
        </w:rPr>
        <w:t>11.06.014.</w:t>
      </w:r>
    </w:p>
    <w:p>
      <w:pPr>
        <w:pStyle w:val="BodyText"/>
        <w:ind w:left="429" w:hanging="429"/>
        <w:spacing w:before="132" w:line="339" w:lineRule="auto"/>
        <w:rPr>
          <w:sz w:val="15"/>
          <w:szCs w:val="15"/>
        </w:rPr>
      </w:pPr>
      <w:r>
        <w:rPr>
          <w:sz w:val="15"/>
          <w:szCs w:val="15"/>
        </w:rPr>
        <w:t>[109]Docherty       AB,O′Donnell       R,Brunskill       S,et       al.Effect      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restrictive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</w:rPr>
        <w:t>versus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</w:rPr>
        <w:t>liberal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</w:rPr>
        <w:t>transfu</w:t>
      </w:r>
      <w:r>
        <w:rPr>
          <w:sz w:val="15"/>
          <w:szCs w:val="15"/>
          <w:spacing w:val="-1"/>
        </w:rPr>
        <w:t>sion   strategies   on   outcomes   in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patients   with   cardiovascular   disease   in   a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non-cardiac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surge</w:t>
      </w:r>
      <w:r>
        <w:rPr>
          <w:sz w:val="15"/>
          <w:szCs w:val="15"/>
          <w:spacing w:val="-1"/>
        </w:rPr>
        <w:t>ry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seting:systematic      review      and</w:t>
      </w:r>
      <w:r>
        <w:rPr>
          <w:sz w:val="15"/>
          <w:szCs w:val="15"/>
          <w:spacing w:val="1"/>
        </w:rPr>
        <w:t xml:space="preserve">      </w:t>
      </w:r>
      <w:r>
        <w:rPr>
          <w:sz w:val="15"/>
          <w:szCs w:val="15"/>
        </w:rPr>
        <w:t>me</w:t>
      </w:r>
      <w:r>
        <w:rPr>
          <w:sz w:val="15"/>
          <w:szCs w:val="15"/>
          <w:spacing w:val="-1"/>
        </w:rPr>
        <w:t>ta-analysis       [J/OL].BMJ,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2016,352:il351(2016-03-29)[2023-01-14].</w:t>
      </w:r>
      <w:hyperlink w:history="true" r:id="rId23">
        <w:r>
          <w:rPr>
            <w:sz w:val="15"/>
            <w:szCs w:val="15"/>
          </w:rPr>
          <w:t>https://doi</w:t>
        </w:r>
        <w:r>
          <w:rPr>
            <w:sz w:val="15"/>
            <w:szCs w:val="15"/>
            <w:spacing w:val="-1"/>
          </w:rPr>
          <w:t>.org/</w:t>
        </w:r>
      </w:hyperlink>
    </w:p>
    <w:p>
      <w:pPr>
        <w:pStyle w:val="BodyText"/>
        <w:ind w:left="429"/>
        <w:spacing w:before="192" w:line="192" w:lineRule="auto"/>
        <w:rPr>
          <w:sz w:val="15"/>
          <w:szCs w:val="15"/>
        </w:rPr>
      </w:pPr>
      <w:hyperlink w:history="true" r:id="rId23">
        <w:r>
          <w:rPr>
            <w:sz w:val="15"/>
            <w:szCs w:val="15"/>
            <w:spacing w:val="-2"/>
          </w:rPr>
          <w:t>10.1136/bmj.i1351.</w:t>
        </w:r>
      </w:hyperlink>
    </w:p>
    <w:p>
      <w:pPr>
        <w:pStyle w:val="BodyText"/>
        <w:ind w:left="429" w:right="14" w:hanging="429"/>
        <w:spacing w:before="112" w:line="339" w:lineRule="auto"/>
        <w:rPr>
          <w:sz w:val="15"/>
          <w:szCs w:val="15"/>
        </w:rPr>
      </w:pPr>
      <w:r>
        <w:rPr>
          <w:sz w:val="15"/>
          <w:szCs w:val="15"/>
        </w:rPr>
        <w:t>[110]Gralnek    IM,Stanley    AJ,Morris     AJ,et    </w:t>
      </w:r>
      <w:r>
        <w:rPr>
          <w:sz w:val="15"/>
          <w:szCs w:val="15"/>
          <w:spacing w:val="-1"/>
        </w:rPr>
        <w:t>al.Endoscopic     diagnosis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management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</w:rPr>
        <w:t>nonvariceal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upper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</w:rPr>
        <w:t>gastrointestinal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hemo</w:t>
      </w:r>
      <w:r>
        <w:rPr>
          <w:sz w:val="15"/>
          <w:szCs w:val="15"/>
          <w:spacing w:val="-1"/>
        </w:rPr>
        <w:t>rrhage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(NVUGIH):European    Society     of    Gastrointestina</w:t>
      </w:r>
      <w:r>
        <w:rPr>
          <w:sz w:val="15"/>
          <w:szCs w:val="15"/>
          <w:spacing w:val="-1"/>
        </w:rPr>
        <w:t>l     Endoscopy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(ESGE)guideline—update                            2021[J].Endoscopy,2</w:t>
      </w:r>
      <w:r>
        <w:rPr>
          <w:sz w:val="15"/>
          <w:szCs w:val="15"/>
          <w:spacing w:val="-1"/>
        </w:rPr>
        <w:t>021,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53(3):300-332.DOI:10.1055/a-1369-5274.</w:t>
      </w:r>
    </w:p>
    <w:p>
      <w:pPr>
        <w:pStyle w:val="BodyText"/>
        <w:ind w:left="429" w:right="17" w:hanging="429"/>
        <w:spacing w:before="162" w:line="340" w:lineRule="auto"/>
        <w:rPr>
          <w:sz w:val="15"/>
          <w:szCs w:val="15"/>
        </w:rPr>
      </w:pPr>
      <w:r>
        <w:rPr>
          <w:sz w:val="15"/>
          <w:szCs w:val="15"/>
        </w:rPr>
        <w:t>[111]Sung      JJ,Chiu      PW,Chan      FKL,et      al.Asi</w:t>
      </w:r>
      <w:r>
        <w:rPr>
          <w:sz w:val="15"/>
          <w:szCs w:val="15"/>
          <w:spacing w:val="-1"/>
        </w:rPr>
        <w:t>a-Pacific      Working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Group  consensus  on  non-variceal  upper  gastrointestinal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bleeding: </w:t>
      </w:r>
      <w:r>
        <w:rPr>
          <w:sz w:val="15"/>
          <w:szCs w:val="15"/>
        </w:rPr>
        <w:t>an</w:t>
      </w:r>
      <w:r>
        <w:rPr>
          <w:sz w:val="15"/>
          <w:szCs w:val="15"/>
          <w:spacing w:val="3"/>
        </w:rPr>
        <w:t xml:space="preserve">           </w:t>
      </w:r>
      <w:r>
        <w:rPr>
          <w:sz w:val="15"/>
          <w:szCs w:val="15"/>
        </w:rPr>
        <w:t>update            2018[J].Gut,2018,67(10):1757-17</w:t>
      </w:r>
      <w:r>
        <w:rPr>
          <w:sz w:val="15"/>
          <w:szCs w:val="15"/>
          <w:spacing w:val="-1"/>
        </w:rPr>
        <w:t>68.DOI:10.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1136/gutjnl-2018-316276.</w:t>
      </w:r>
    </w:p>
    <w:p>
      <w:pPr>
        <w:pStyle w:val="BodyText"/>
        <w:ind w:left="429" w:right="19" w:hanging="429"/>
        <w:spacing w:before="121" w:line="315" w:lineRule="auto"/>
        <w:rPr>
          <w:sz w:val="15"/>
          <w:szCs w:val="15"/>
        </w:rPr>
      </w:pPr>
      <w:r>
        <w:rPr>
          <w:sz w:val="15"/>
          <w:szCs w:val="15"/>
        </w:rPr>
        <w:t>[112]Lau    JY,Leung    WK,WuJC,et    al</w:t>
      </w:r>
      <w:r>
        <w:rPr>
          <w:sz w:val="15"/>
          <w:szCs w:val="15"/>
          <w:spacing w:val="-1"/>
        </w:rPr>
        <w:t>.Omeprazole    before     endoscopy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   patients   with   gastrointestinal   bleeding    [J].N   Eng</w:t>
      </w:r>
      <w:r>
        <w:rPr>
          <w:sz w:val="15"/>
          <w:szCs w:val="15"/>
          <w:spacing w:val="-1"/>
        </w:rPr>
        <w:t>l   J   Med,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2007,356(16):1631-1640.DOI:10.1056/NEJMoa065703.</w:t>
      </w:r>
    </w:p>
    <w:p>
      <w:pPr>
        <w:pStyle w:val="BodyText"/>
        <w:ind w:left="429" w:right="15" w:hanging="429"/>
        <w:spacing w:before="131" w:line="330" w:lineRule="auto"/>
        <w:rPr>
          <w:sz w:val="15"/>
          <w:szCs w:val="15"/>
        </w:rPr>
      </w:pPr>
      <w:r>
        <w:rPr>
          <w:sz w:val="15"/>
          <w:szCs w:val="15"/>
        </w:rPr>
        <w:t>[113]Gralnek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</w:rPr>
        <w:t>IM,Dumonceau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</w:rPr>
        <w:t>JM,</w:t>
      </w:r>
      <w:r>
        <w:rPr>
          <w:sz w:val="15"/>
          <w:szCs w:val="15"/>
          <w:spacing w:val="-1"/>
        </w:rPr>
        <w:t>Kuipers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-1"/>
        </w:rPr>
        <w:t>EJ,et     al.Diagnosis     and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management   of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nonvariceal   upper   gastrointestinal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</w:rPr>
        <w:t>hemorrhage:  </w:t>
      </w:r>
      <w:r>
        <w:rPr>
          <w:sz w:val="15"/>
          <w:szCs w:val="15"/>
        </w:rPr>
        <w:t>European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</w:rPr>
        <w:t>Society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of  Gastrointestinal   Endoscopy(</w:t>
      </w:r>
      <w:r>
        <w:rPr>
          <w:sz w:val="15"/>
          <w:szCs w:val="15"/>
          <w:spacing w:val="-1"/>
        </w:rPr>
        <w:t>ESGE)guideline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[J].Endoscopy,2015,47(10):al-a46.DOI:10.105</w:t>
      </w:r>
      <w:r>
        <w:rPr>
          <w:sz w:val="15"/>
          <w:szCs w:val="15"/>
          <w:spacing w:val="-1"/>
        </w:rPr>
        <w:t>5/s-0034-</w:t>
      </w:r>
    </w:p>
    <w:p>
      <w:pPr>
        <w:pStyle w:val="BodyText"/>
        <w:ind w:left="429"/>
        <w:spacing w:before="165" w:line="188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1393172.</w:t>
      </w:r>
    </w:p>
    <w:p>
      <w:pPr>
        <w:pStyle w:val="BodyText"/>
        <w:ind w:left="429" w:hanging="429"/>
        <w:spacing w:before="132" w:line="330" w:lineRule="auto"/>
        <w:rPr>
          <w:sz w:val="15"/>
          <w:szCs w:val="15"/>
        </w:rPr>
      </w:pPr>
      <w:r>
        <w:rPr>
          <w:sz w:val="15"/>
          <w:szCs w:val="15"/>
        </w:rPr>
        <w:t>[114]Barkun      AN,Almadi      M,Kuipers      EJ,et       al.Management      of </w:t>
      </w:r>
      <w:r>
        <w:rPr>
          <w:sz w:val="15"/>
          <w:szCs w:val="15"/>
        </w:rPr>
        <w:t>nonvariceal       upper       gastrointestinal       bleeding:       </w:t>
      </w:r>
      <w:r>
        <w:rPr>
          <w:sz w:val="15"/>
          <w:szCs w:val="15"/>
          <w:spacing w:val="-1"/>
        </w:rPr>
        <w:t xml:space="preserve"> guideline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recommendations  from  the  International  Consensus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Group[J].Ann  </w:t>
      </w:r>
      <w:r>
        <w:rPr>
          <w:sz w:val="15"/>
          <w:szCs w:val="15"/>
        </w:rPr>
        <w:t>Intern</w:t>
      </w:r>
      <w:r>
        <w:rPr>
          <w:sz w:val="15"/>
          <w:szCs w:val="15"/>
          <w:spacing w:val="1"/>
        </w:rPr>
        <w:t xml:space="preserve">            </w:t>
      </w:r>
      <w:r>
        <w:rPr>
          <w:sz w:val="15"/>
          <w:szCs w:val="15"/>
        </w:rPr>
        <w:t>Med</w:t>
      </w:r>
      <w:r>
        <w:rPr>
          <w:sz w:val="15"/>
          <w:szCs w:val="15"/>
          <w:spacing w:val="1"/>
        </w:rPr>
        <w:t>,2019,1</w:t>
      </w:r>
      <w:r>
        <w:rPr>
          <w:sz w:val="15"/>
          <w:szCs w:val="15"/>
        </w:rPr>
        <w:t>71(11):805-822.DOI:10.7326/M19-1795.</w:t>
      </w:r>
    </w:p>
    <w:p>
      <w:pPr>
        <w:pStyle w:val="BodyText"/>
        <w:ind w:left="429" w:right="19" w:hanging="429"/>
        <w:spacing w:before="131" w:line="315" w:lineRule="auto"/>
        <w:rPr>
          <w:sz w:val="15"/>
          <w:szCs w:val="15"/>
        </w:rPr>
      </w:pPr>
      <w:r>
        <w:rPr>
          <w:sz w:val="15"/>
          <w:szCs w:val="15"/>
        </w:rPr>
        <w:t>[115]Alexandrino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</w:rPr>
        <w:t>G,Domingues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</w:rPr>
        <w:t>TD,Carvalho     R,et      al.Endo</w:t>
      </w:r>
      <w:r>
        <w:rPr>
          <w:sz w:val="15"/>
          <w:szCs w:val="15"/>
          <w:spacing w:val="-1"/>
        </w:rPr>
        <w:t>scopy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timing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in  patients  with   acute  upper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gastrointestinal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bleeding[J].  </w:t>
      </w:r>
      <w:r>
        <w:rPr>
          <w:sz w:val="15"/>
          <w:szCs w:val="15"/>
        </w:rPr>
        <w:t>Clin</w:t>
      </w:r>
      <w:r>
        <w:rPr>
          <w:sz w:val="15"/>
          <w:szCs w:val="15"/>
          <w:spacing w:val="1"/>
        </w:rPr>
        <w:t xml:space="preserve">                  </w:t>
      </w:r>
      <w:r>
        <w:rPr>
          <w:sz w:val="15"/>
          <w:szCs w:val="15"/>
        </w:rPr>
        <w:t>Endosc</w:t>
      </w:r>
      <w:r>
        <w:rPr>
          <w:sz w:val="15"/>
          <w:szCs w:val="15"/>
          <w:spacing w:val="1"/>
        </w:rPr>
        <w:t>,2019,52(1</w:t>
      </w:r>
      <w:r>
        <w:rPr>
          <w:sz w:val="15"/>
          <w:szCs w:val="15"/>
        </w:rPr>
        <w:t>):47-52.DOI:10.5946/ce.2018.093.</w:t>
      </w:r>
    </w:p>
    <w:p>
      <w:pPr>
        <w:pStyle w:val="BodyText"/>
        <w:ind w:left="429" w:right="14" w:hanging="429"/>
        <w:spacing w:before="131" w:line="330" w:lineRule="auto"/>
        <w:rPr>
          <w:sz w:val="15"/>
          <w:szCs w:val="15"/>
        </w:rPr>
      </w:pPr>
      <w:r>
        <w:rPr>
          <w:sz w:val="15"/>
          <w:szCs w:val="15"/>
        </w:rPr>
        <w:t>[116]Jeong     N,Kim      KS,Jung      YS,et      al.Delayed</w:t>
      </w:r>
      <w:r>
        <w:rPr>
          <w:sz w:val="15"/>
          <w:szCs w:val="15"/>
          <w:spacing w:val="-1"/>
        </w:rPr>
        <w:t xml:space="preserve">      endoscopy      is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associated   with    increased   mortality    in    upper   gastrointestinal  </w:t>
      </w:r>
      <w:r>
        <w:rPr>
          <w:sz w:val="15"/>
          <w:szCs w:val="15"/>
        </w:rPr>
        <w:t>hemorrhage[J].Am         J         Emerg         Med,2019,3</w:t>
      </w:r>
      <w:r>
        <w:rPr>
          <w:sz w:val="15"/>
          <w:szCs w:val="15"/>
          <w:spacing w:val="-1"/>
        </w:rPr>
        <w:t>7(2):277-280.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DOI:10.1016/j.ajem.2018.05.049.</w:t>
      </w:r>
    </w:p>
    <w:p>
      <w:pPr>
        <w:pStyle w:val="BodyText"/>
        <w:ind w:left="429" w:right="16" w:hanging="429"/>
        <w:spacing w:before="192" w:line="333" w:lineRule="auto"/>
        <w:rPr>
          <w:sz w:val="15"/>
          <w:szCs w:val="15"/>
        </w:rPr>
      </w:pPr>
      <w:r>
        <w:rPr>
          <w:sz w:val="15"/>
          <w:szCs w:val="15"/>
        </w:rPr>
        <w:t>[117]Kumar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</w:rPr>
        <w:t>NL,Cohen   AJ,Nayor   J,et   al.Timing   of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upper   end</w:t>
      </w:r>
      <w:r>
        <w:rPr>
          <w:sz w:val="15"/>
          <w:szCs w:val="15"/>
          <w:spacing w:val="-1"/>
        </w:rPr>
        <w:t>oscopy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influences  outcomes  in  patients  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acute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nonvariceal  upper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GI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bleeding</w:t>
      </w:r>
      <w:r>
        <w:rPr>
          <w:sz w:val="15"/>
          <w:szCs w:val="15"/>
          <w:spacing w:val="1"/>
        </w:rPr>
        <w:t>[J].</w:t>
      </w:r>
      <w:r>
        <w:rPr>
          <w:sz w:val="15"/>
          <w:szCs w:val="15"/>
        </w:rPr>
        <w:t>Gastrointest</w:t>
      </w:r>
      <w:r>
        <w:rPr>
          <w:sz w:val="15"/>
          <w:szCs w:val="15"/>
          <w:spacing w:val="1"/>
        </w:rPr>
        <w:t xml:space="preserve">                 </w:t>
      </w:r>
      <w:r>
        <w:rPr>
          <w:sz w:val="15"/>
          <w:szCs w:val="15"/>
        </w:rPr>
        <w:t xml:space="preserve">     Endosc,2017,85(5):945-952.el.</w:t>
      </w:r>
    </w:p>
    <w:p>
      <w:pPr>
        <w:pStyle w:val="BodyText"/>
        <w:ind w:left="429"/>
        <w:spacing w:before="152" w:line="192" w:lineRule="auto"/>
        <w:rPr>
          <w:sz w:val="15"/>
          <w:szCs w:val="15"/>
        </w:rPr>
      </w:pPr>
      <w:r>
        <w:rPr>
          <w:sz w:val="15"/>
          <w:szCs w:val="15"/>
        </w:rPr>
        <w:t>DOI:10.1016/j.gie.2016.09.029.</w:t>
      </w:r>
    </w:p>
    <w:p>
      <w:pPr>
        <w:pStyle w:val="BodyText"/>
        <w:ind w:left="429" w:right="14" w:hanging="429"/>
        <w:spacing w:before="81" w:line="338" w:lineRule="auto"/>
        <w:rPr>
          <w:sz w:val="15"/>
          <w:szCs w:val="15"/>
        </w:rPr>
      </w:pPr>
      <w:r>
        <w:rPr>
          <w:sz w:val="15"/>
          <w:szCs w:val="15"/>
        </w:rPr>
        <w:t>[118]Jairath   V,Kahan   BC,Logan    </w:t>
      </w:r>
      <w:r>
        <w:rPr>
          <w:sz w:val="15"/>
          <w:szCs w:val="15"/>
          <w:spacing w:val="-1"/>
        </w:rPr>
        <w:t>RF,et    al.Outcomes   following    acute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nonvariceal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upper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gastrointestinal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bleeding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relation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time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endoscopy:results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</w:rPr>
        <w:t>from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</w:rPr>
        <w:t>a     nationwide      study[J].End</w:t>
      </w:r>
      <w:r>
        <w:rPr>
          <w:sz w:val="15"/>
          <w:szCs w:val="15"/>
          <w:spacing w:val="-1"/>
        </w:rPr>
        <w:t>oscopy,</w:t>
      </w:r>
    </w:p>
    <w:p>
      <w:pPr>
        <w:spacing w:line="338" w:lineRule="auto"/>
        <w:sectPr>
          <w:type w:val="continuous"/>
          <w:pgSz w:w="10720" w:h="15880"/>
          <w:pgMar w:top="818" w:right="550" w:bottom="0" w:left="509" w:header="510" w:footer="0" w:gutter="0"/>
          <w:cols w:equalWidth="0" w:num="2">
            <w:col w:w="4931" w:space="100"/>
            <w:col w:w="4630" w:space="0"/>
          </w:cols>
        </w:sectPr>
        <w:rPr>
          <w:sz w:val="15"/>
          <w:szCs w:val="15"/>
        </w:rPr>
      </w:pPr>
    </w:p>
    <w:p>
      <w:pPr>
        <w:spacing w:before="118"/>
        <w:rPr/>
      </w:pPr>
      <w:r/>
    </w:p>
    <w:p>
      <w:pPr>
        <w:sectPr>
          <w:headerReference w:type="default" r:id="rId24"/>
          <w:pgSz w:w="10720" w:h="15880"/>
          <w:pgMar w:top="774" w:right="523" w:bottom="0" w:left="509" w:header="544" w:footer="0" w:gutter="0"/>
          <w:cols w:equalWidth="0" w:num="1">
            <w:col w:w="9687" w:space="0"/>
          </w:cols>
        </w:sectPr>
        <w:rPr/>
      </w:pPr>
    </w:p>
    <w:p>
      <w:pPr>
        <w:pStyle w:val="BodyText"/>
        <w:ind w:left="430"/>
        <w:spacing w:before="27" w:line="192" w:lineRule="auto"/>
        <w:rPr>
          <w:sz w:val="15"/>
          <w:szCs w:val="15"/>
        </w:rPr>
      </w:pPr>
      <w:r>
        <w:rPr>
          <w:sz w:val="15"/>
          <w:szCs w:val="15"/>
        </w:rPr>
        <w:t>2012,44(8):723-730.DOI:10.1055/s-0032-1309736.</w:t>
      </w:r>
    </w:p>
    <w:p>
      <w:pPr>
        <w:pStyle w:val="BodyText"/>
        <w:ind w:left="430" w:right="315" w:hanging="430"/>
        <w:spacing w:before="161" w:line="310" w:lineRule="auto"/>
        <w:rPr>
          <w:sz w:val="15"/>
          <w:szCs w:val="15"/>
        </w:rPr>
      </w:pPr>
      <w:r>
        <w:rPr>
          <w:sz w:val="15"/>
          <w:szCs w:val="15"/>
        </w:rPr>
        <w:t>[119]Lau   JYW,YuY,Tang   RSY,et   al.Timing   of   endoscopy   fo</w:t>
      </w:r>
      <w:r>
        <w:rPr>
          <w:sz w:val="15"/>
          <w:szCs w:val="15"/>
          <w:spacing w:val="-1"/>
        </w:rPr>
        <w:t>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-1"/>
        </w:rPr>
        <w:t>acute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upper     gastrointestinal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</w:rPr>
        <w:t>bleeding     [J].N    </w:t>
      </w:r>
      <w:r>
        <w:rPr>
          <w:sz w:val="15"/>
          <w:szCs w:val="15"/>
          <w:spacing w:val="-1"/>
        </w:rPr>
        <w:t xml:space="preserve"> Engl     J     Med,2020,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382(14):1299-1308.DOI:10.1056/NEJMoa1912484.</w:t>
      </w:r>
    </w:p>
    <w:p>
      <w:pPr>
        <w:pStyle w:val="BodyText"/>
        <w:ind w:left="430" w:right="299" w:hanging="430"/>
        <w:spacing w:before="131" w:line="319" w:lineRule="auto"/>
        <w:rPr>
          <w:sz w:val="15"/>
          <w:szCs w:val="15"/>
        </w:rPr>
      </w:pPr>
      <w:r>
        <w:rPr>
          <w:sz w:val="15"/>
          <w:szCs w:val="15"/>
        </w:rPr>
        <w:t>[120]Wysocki   JD,Srivastav   S,Winstead   NS.A   nationwide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</w:rPr>
        <w:t>analysis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of </w:t>
      </w:r>
      <w:r>
        <w:rPr>
          <w:sz w:val="15"/>
          <w:szCs w:val="15"/>
        </w:rPr>
        <w:t>risk   factors    for   mortality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and   time    to   e</w:t>
      </w:r>
      <w:r>
        <w:rPr>
          <w:sz w:val="15"/>
          <w:szCs w:val="15"/>
          <w:spacing w:val="-1"/>
        </w:rPr>
        <w:t>ndoscopy    in   upper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gastrointestinal    haemorrhage[J].Aliment    Pharmacol     Th</w:t>
      </w:r>
      <w:r>
        <w:rPr>
          <w:sz w:val="15"/>
          <w:szCs w:val="15"/>
          <w:spacing w:val="-1"/>
        </w:rPr>
        <w:t>er,2012,</w:t>
      </w:r>
    </w:p>
    <w:p>
      <w:pPr>
        <w:pStyle w:val="BodyText"/>
        <w:ind w:left="430"/>
        <w:spacing w:before="162" w:line="192" w:lineRule="auto"/>
        <w:rPr>
          <w:sz w:val="15"/>
          <w:szCs w:val="15"/>
        </w:rPr>
      </w:pPr>
      <w:r>
        <w:rPr>
          <w:sz w:val="15"/>
          <w:szCs w:val="15"/>
        </w:rPr>
        <w:t>36(1):30-36.DOI:10.1111/j.1365-2036.2012.</w:t>
      </w:r>
      <w:r>
        <w:rPr>
          <w:sz w:val="15"/>
          <w:szCs w:val="15"/>
          <w:spacing w:val="-1"/>
        </w:rPr>
        <w:t>05129.x.</w:t>
      </w:r>
    </w:p>
    <w:p>
      <w:pPr>
        <w:pStyle w:val="BodyText"/>
        <w:ind w:left="430" w:right="315" w:hanging="430"/>
        <w:spacing w:before="131" w:line="330" w:lineRule="auto"/>
        <w:rPr>
          <w:sz w:val="15"/>
          <w:szCs w:val="15"/>
        </w:rPr>
      </w:pPr>
      <w:r>
        <w:rPr>
          <w:sz w:val="15"/>
          <w:szCs w:val="15"/>
        </w:rPr>
        <w:t>[121]Sachar   H,Vaidya   K,Laine   L    Intermittent   vs   continuous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-1"/>
        </w:rPr>
        <w:t>proton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pump  inhibitor  therapy  for  high-risk  bleeding  ulcers:a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systematic </w:t>
      </w:r>
      <w:r>
        <w:rPr>
          <w:sz w:val="15"/>
          <w:szCs w:val="15"/>
        </w:rPr>
        <w:t>review    and    meta-analysis[J].JAMA    Intern    Med,2014,1</w:t>
      </w:r>
      <w:r>
        <w:rPr>
          <w:sz w:val="15"/>
          <w:szCs w:val="15"/>
          <w:spacing w:val="-1"/>
        </w:rPr>
        <w:t>74(11):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1755-1762.DOI:10.1001/jamainternmed.</w:t>
      </w:r>
      <w:r>
        <w:rPr>
          <w:sz w:val="15"/>
          <w:szCs w:val="15"/>
          <w:spacing w:val="-1"/>
        </w:rPr>
        <w:t>2014.4056.</w:t>
      </w:r>
    </w:p>
    <w:p>
      <w:pPr>
        <w:pStyle w:val="BodyText"/>
        <w:ind w:left="430" w:right="314" w:hanging="430"/>
        <w:spacing w:before="132" w:line="339" w:lineRule="auto"/>
        <w:rPr>
          <w:sz w:val="15"/>
          <w:szCs w:val="15"/>
        </w:rPr>
      </w:pPr>
      <w:r>
        <w:rPr>
          <w:sz w:val="15"/>
          <w:szCs w:val="15"/>
        </w:rPr>
        <w:t>[122]Yen     HH,Yang     CW,Su     WW,et     al.Oral</w:t>
      </w:r>
      <w:r>
        <w:rPr>
          <w:sz w:val="15"/>
          <w:szCs w:val="15"/>
          <w:spacing w:val="-1"/>
        </w:rPr>
        <w:t xml:space="preserve">     versus     intravenous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proton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pump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inhibitors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</w:rPr>
        <w:t>preventing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re-blee</w:t>
      </w:r>
      <w:r>
        <w:rPr>
          <w:sz w:val="15"/>
          <w:szCs w:val="15"/>
          <w:spacing w:val="-1"/>
        </w:rPr>
        <w:t>ding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patients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peptic  ulcer  bleeding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after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successful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</w:rPr>
        <w:t>endoscopic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therapy[J/OL].  </w:t>
      </w:r>
      <w:r>
        <w:rPr>
          <w:sz w:val="15"/>
          <w:szCs w:val="15"/>
        </w:rPr>
        <w:t>BMC                Gastroenterol,2012,12:66(2012-06-08)[2023-01-14].</w:t>
      </w:r>
      <w:r>
        <w:rPr>
          <w:sz w:val="15"/>
          <w:szCs w:val="15"/>
          <w:spacing w:val="5"/>
        </w:rPr>
        <w:t xml:space="preserve">   </w:t>
      </w:r>
      <w:hyperlink w:history="true" r:id="rId25">
        <w:r>
          <w:rPr>
            <w:sz w:val="15"/>
            <w:szCs w:val="15"/>
          </w:rPr>
          <w:t>https://doi.org/10.1186/1471-230X-12-</w:t>
        </w:r>
        <w:r>
          <w:rPr>
            <w:sz w:val="15"/>
            <w:szCs w:val="15"/>
            <w:spacing w:val="-1"/>
          </w:rPr>
          <w:t>66.</w:t>
        </w:r>
      </w:hyperlink>
    </w:p>
    <w:p>
      <w:pPr>
        <w:pStyle w:val="BodyText"/>
        <w:ind w:left="430" w:right="315" w:hanging="430"/>
        <w:spacing w:before="143" w:line="340" w:lineRule="auto"/>
        <w:rPr>
          <w:sz w:val="15"/>
          <w:szCs w:val="15"/>
        </w:rPr>
      </w:pPr>
      <w:r>
        <w:rPr>
          <w:sz w:val="15"/>
          <w:szCs w:val="15"/>
        </w:rPr>
        <w:t>[123]Sung   JJ,Suen   BY,Wu   JC,et   al.Effects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of   intravenous   an</w:t>
      </w:r>
      <w:r>
        <w:rPr>
          <w:sz w:val="15"/>
          <w:szCs w:val="15"/>
          <w:spacing w:val="-1"/>
        </w:rPr>
        <w:t>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-1"/>
        </w:rPr>
        <w:t>oral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esomeprazole  in  the  prevention  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recurrent  bleeding  from </w:t>
      </w:r>
      <w:r>
        <w:rPr>
          <w:sz w:val="15"/>
          <w:szCs w:val="15"/>
          <w:spacing w:val="-1"/>
        </w:rPr>
        <w:t xml:space="preserve"> peptic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ulcers     after     endoscopic     therapy[J].AmJ     Gastroe</w:t>
      </w:r>
      <w:r>
        <w:rPr>
          <w:sz w:val="15"/>
          <w:szCs w:val="15"/>
          <w:spacing w:val="-1"/>
        </w:rPr>
        <w:t>nterol,2014,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109(7):1005-1010.DOI:10.1038/ajg.</w:t>
      </w:r>
      <w:r>
        <w:rPr>
          <w:sz w:val="15"/>
          <w:szCs w:val="15"/>
          <w:spacing w:val="-1"/>
        </w:rPr>
        <w:t>2014.105.</w:t>
      </w:r>
    </w:p>
    <w:p>
      <w:pPr>
        <w:pStyle w:val="BodyText"/>
        <w:ind w:left="430" w:right="315" w:hanging="430"/>
        <w:spacing w:before="132" w:line="339" w:lineRule="auto"/>
        <w:rPr>
          <w:sz w:val="15"/>
          <w:szCs w:val="15"/>
        </w:rPr>
      </w:pPr>
      <w:r>
        <w:rPr>
          <w:sz w:val="15"/>
          <w:szCs w:val="15"/>
        </w:rPr>
        <w:t>[124]Cheng   HC,Wu    CT,Chang    WL,et</w:t>
      </w:r>
      <w:r>
        <w:rPr>
          <w:sz w:val="15"/>
          <w:szCs w:val="15"/>
          <w:spacing w:val="-1"/>
        </w:rPr>
        <w:t xml:space="preserve">   al.Double    oral    esomeprazole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after  a  3-day  intravenous </w:t>
      </w:r>
      <w:r>
        <w:rPr>
          <w:sz w:val="15"/>
          <w:szCs w:val="15"/>
          <w:spacing w:val="-1"/>
        </w:rPr>
        <w:t xml:space="preserve"> esomeprazole  infusion  reduces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recurrent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peptic    ulcer     bleeding     in     high-risk    patients:a     randomised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controlled                     study[J].Gut,2014,63(12):1864-1872.DOI:10.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1136/gutjnl-2013-306531.</w:t>
      </w:r>
    </w:p>
    <w:p>
      <w:pPr>
        <w:pStyle w:val="BodyText"/>
        <w:ind w:left="430" w:right="273" w:hanging="430"/>
        <w:spacing w:before="145" w:line="31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5"/>
        </w:rPr>
        <w:t>[125]2019阿司匹林在心血管疾病一级预防中的应用中国专家共</w:t>
      </w:r>
      <w:r>
        <w:rPr>
          <w:rFonts w:ascii="SimSun" w:hAnsi="SimSun" w:eastAsia="SimSun" w:cs="SimSun"/>
          <w:sz w:val="15"/>
          <w:szCs w:val="15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3"/>
        </w:rPr>
        <w:t>识写作组.2019阿司匹林在心血管疾病一级预防中的应用中</w:t>
      </w:r>
      <w:r>
        <w:rPr>
          <w:rFonts w:ascii="SimSun" w:hAnsi="SimSun" w:eastAsia="SimSun" w:cs="SimSun"/>
          <w:sz w:val="15"/>
          <w:szCs w:val="15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6"/>
        </w:rPr>
        <w:t>国专家共识</w:t>
      </w:r>
      <w:r>
        <w:rPr>
          <w:sz w:val="15"/>
          <w:szCs w:val="15"/>
          <w:spacing w:val="16"/>
        </w:rPr>
        <w:t>[J/</w:t>
      </w:r>
      <w:r>
        <w:rPr>
          <w:sz w:val="15"/>
          <w:szCs w:val="15"/>
        </w:rPr>
        <w:t>OL</w:t>
      </w:r>
      <w:r>
        <w:rPr>
          <w:sz w:val="15"/>
          <w:szCs w:val="15"/>
          <w:spacing w:val="16"/>
        </w:rPr>
        <w:t>].      </w:t>
      </w:r>
      <w:r>
        <w:rPr>
          <w:rFonts w:ascii="SimSun" w:hAnsi="SimSun" w:eastAsia="SimSun" w:cs="SimSun"/>
          <w:sz w:val="15"/>
          <w:szCs w:val="15"/>
          <w:spacing w:val="16"/>
        </w:rPr>
        <w:t>中华心血管病杂志(网络版),2019,</w:t>
      </w:r>
      <w:r>
        <w:rPr>
          <w:rFonts w:ascii="SimSun" w:hAnsi="SimSun" w:eastAsia="SimSun" w:cs="SimSun"/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2(1):e1000020(2020-05-18)[2023-01-14].DOI:10.</w:t>
      </w:r>
      <w:r>
        <w:rPr>
          <w:sz w:val="15"/>
          <w:szCs w:val="15"/>
          <w:spacing w:val="-1"/>
        </w:rPr>
        <w:t>3760/</w:t>
      </w:r>
    </w:p>
    <w:p>
      <w:pPr>
        <w:pStyle w:val="BodyText"/>
        <w:ind w:left="430"/>
        <w:spacing w:before="142" w:line="192" w:lineRule="auto"/>
        <w:rPr>
          <w:sz w:val="15"/>
          <w:szCs w:val="15"/>
        </w:rPr>
      </w:pPr>
      <w:r>
        <w:rPr>
          <w:sz w:val="15"/>
          <w:szCs w:val="15"/>
        </w:rPr>
        <w:t>cma.j.issn.2096-1588.2019.1000020.</w:t>
      </w:r>
    </w:p>
    <w:p>
      <w:pPr>
        <w:pStyle w:val="BodyText"/>
        <w:ind w:left="430" w:right="314" w:hanging="430"/>
        <w:spacing w:before="111" w:line="330" w:lineRule="auto"/>
        <w:rPr>
          <w:sz w:val="15"/>
          <w:szCs w:val="15"/>
        </w:rPr>
      </w:pPr>
      <w:r>
        <w:rPr>
          <w:sz w:val="15"/>
          <w:szCs w:val="15"/>
        </w:rPr>
        <w:t>[126]Derogar   M,Sandblom    G,LundellL,et    al.Discontinuation   </w:t>
      </w:r>
      <w:r>
        <w:rPr>
          <w:sz w:val="15"/>
          <w:szCs w:val="15"/>
          <w:spacing w:val="-1"/>
        </w:rPr>
        <w:t xml:space="preserve"> of   low-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dose  aspirin  therapy  after  peptic  ulcer  bleeding  increases  risk  of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</w:rPr>
        <w:t>death    and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</w:rPr>
        <w:t>acute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</w:rPr>
        <w:t>cardiovascular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</w:rPr>
        <w:t>events[J</w:t>
      </w:r>
      <w:r>
        <w:rPr>
          <w:sz w:val="15"/>
          <w:szCs w:val="15"/>
          <w:spacing w:val="-1"/>
        </w:rPr>
        <w:t>].Clin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-1"/>
        </w:rPr>
        <w:t>Gastroenterol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Hepatol,2013,11(1):38-42.DOI:10.1016/j.cgh.2012.08.034.</w:t>
      </w:r>
    </w:p>
    <w:p>
      <w:pPr>
        <w:pStyle w:val="BodyText"/>
        <w:ind w:left="430" w:right="315" w:hanging="430"/>
        <w:spacing w:before="133" w:line="340" w:lineRule="auto"/>
        <w:rPr>
          <w:sz w:val="15"/>
          <w:szCs w:val="15"/>
        </w:rPr>
      </w:pPr>
      <w:r>
        <w:rPr>
          <w:sz w:val="15"/>
          <w:szCs w:val="15"/>
        </w:rPr>
        <w:t>[127]Kim    SY,Hyun    JJ,Suh     SJ,et    al.Risk    of    vascular    thr</w:t>
      </w:r>
      <w:r>
        <w:rPr>
          <w:sz w:val="15"/>
          <w:szCs w:val="15"/>
          <w:spacing w:val="-1"/>
        </w:rPr>
        <w:t>ombotic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events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following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</w:rPr>
        <w:t>discontinuation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</w:rPr>
        <w:t>of  antithrombotic</w:t>
      </w:r>
      <w:r>
        <w:rPr>
          <w:sz w:val="15"/>
          <w:szCs w:val="15"/>
          <w:spacing w:val="-1"/>
        </w:rPr>
        <w:t>s   after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peptic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ulcer      bleeding[J].J       Clin       Gastroenterol,2016,50(4):</w:t>
      </w:r>
      <w:r>
        <w:rPr>
          <w:sz w:val="15"/>
          <w:szCs w:val="15"/>
          <w:spacing w:val="-1"/>
        </w:rPr>
        <w:t>e40-e44.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DOI:10.1097/MCG.0000000000000354.</w:t>
      </w:r>
    </w:p>
    <w:p>
      <w:pPr>
        <w:pStyle w:val="BodyText"/>
        <w:ind w:left="430" w:right="315" w:hanging="430"/>
        <w:spacing w:before="151" w:line="330" w:lineRule="auto"/>
        <w:rPr>
          <w:sz w:val="15"/>
          <w:szCs w:val="15"/>
        </w:rPr>
      </w:pPr>
      <w:r>
        <w:rPr>
          <w:sz w:val="15"/>
          <w:szCs w:val="15"/>
        </w:rPr>
        <w:t>[128]Siau     K,Hannah     JL,Hodson      J,et    </w:t>
      </w:r>
      <w:r>
        <w:rPr>
          <w:sz w:val="15"/>
          <w:szCs w:val="15"/>
          <w:spacing w:val="-1"/>
        </w:rPr>
        <w:t xml:space="preserve"> al.Stopping      antithrombotic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therapy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after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acute  upper   gastrointestinal </w:t>
      </w:r>
      <w:r>
        <w:rPr>
          <w:sz w:val="15"/>
          <w:szCs w:val="15"/>
          <w:spacing w:val="-1"/>
        </w:rPr>
        <w:t xml:space="preserve"> bleeding   is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associated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with      reduced      survival[J].Postgrad</w:t>
      </w:r>
      <w:r>
        <w:rPr>
          <w:sz w:val="15"/>
          <w:szCs w:val="15"/>
          <w:spacing w:val="2"/>
        </w:rPr>
        <w:t xml:space="preserve">      </w:t>
      </w:r>
      <w:r>
        <w:rPr>
          <w:sz w:val="15"/>
          <w:szCs w:val="15"/>
        </w:rPr>
        <w:t>Med</w:t>
      </w:r>
      <w:r>
        <w:rPr>
          <w:sz w:val="15"/>
          <w:szCs w:val="15"/>
          <w:spacing w:val="2"/>
        </w:rPr>
        <w:t xml:space="preserve">      </w:t>
      </w:r>
      <w:r>
        <w:rPr>
          <w:sz w:val="15"/>
          <w:szCs w:val="15"/>
        </w:rPr>
        <w:t>J,2018,94(1109):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137-142.DOI:10.1136/postgradmedj-201</w:t>
      </w:r>
      <w:r>
        <w:rPr>
          <w:sz w:val="15"/>
          <w:szCs w:val="15"/>
          <w:spacing w:val="-1"/>
        </w:rPr>
        <w:t>7-135276.</w:t>
      </w:r>
    </w:p>
    <w:p>
      <w:pPr>
        <w:pStyle w:val="BodyText"/>
        <w:ind w:left="430" w:right="315" w:hanging="430"/>
        <w:spacing w:before="133" w:line="340" w:lineRule="auto"/>
        <w:rPr>
          <w:sz w:val="15"/>
          <w:szCs w:val="15"/>
        </w:rPr>
      </w:pPr>
      <w:r>
        <w:rPr>
          <w:sz w:val="15"/>
          <w:szCs w:val="15"/>
        </w:rPr>
        <w:t>[129]Patrono   C,Morais   J,Baigent    </w:t>
      </w:r>
      <w:r>
        <w:rPr>
          <w:sz w:val="15"/>
          <w:szCs w:val="15"/>
          <w:spacing w:val="-1"/>
        </w:rPr>
        <w:t>C,et   al.Antiplatelet    agents    for 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treatment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prevention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</w:rPr>
        <w:t>of  coronary   atherothrombo</w:t>
      </w:r>
      <w:r>
        <w:rPr>
          <w:sz w:val="15"/>
          <w:szCs w:val="15"/>
          <w:spacing w:val="-1"/>
        </w:rPr>
        <w:t>sis[J].J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Am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Coll                    Cardiol,2017,70(14):1760-1776.DOI:10.101</w:t>
      </w:r>
      <w:r>
        <w:rPr>
          <w:sz w:val="15"/>
          <w:szCs w:val="15"/>
          <w:spacing w:val="-1"/>
        </w:rPr>
        <w:t>6/j.jacc.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2017.08.037.</w:t>
      </w:r>
    </w:p>
    <w:p>
      <w:pPr>
        <w:pStyle w:val="BodyText"/>
        <w:ind w:left="430" w:right="314" w:hanging="430"/>
        <w:spacing w:before="141" w:line="330" w:lineRule="auto"/>
        <w:rPr>
          <w:sz w:val="15"/>
          <w:szCs w:val="15"/>
        </w:rPr>
      </w:pPr>
      <w:r>
        <w:rPr>
          <w:sz w:val="15"/>
          <w:szCs w:val="15"/>
        </w:rPr>
        <w:t>[130]Burger    W,Chemnitius    JM,Kneissl     GD,et   </w:t>
      </w:r>
      <w:r>
        <w:rPr>
          <w:sz w:val="15"/>
          <w:szCs w:val="15"/>
          <w:spacing w:val="-1"/>
        </w:rPr>
        <w:t xml:space="preserve">  al.Low-dose    aspirin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for  secondary  cardiovascular  prevention-cardiovascular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risks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after </w:t>
      </w:r>
      <w:r>
        <w:rPr>
          <w:sz w:val="15"/>
          <w:szCs w:val="15"/>
        </w:rPr>
        <w:t>its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</w:rPr>
        <w:t>perioperative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withdrawal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</w:rPr>
        <w:t>versus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</w:rPr>
        <w:t>ble</w:t>
      </w:r>
      <w:r>
        <w:rPr>
          <w:sz w:val="15"/>
          <w:szCs w:val="15"/>
          <w:spacing w:val="-1"/>
        </w:rPr>
        <w:t>eding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-1"/>
        </w:rPr>
        <w:t>risks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-1"/>
        </w:rPr>
        <w:t>its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continuation-review      and      meta-analysis[J].JI</w:t>
      </w:r>
      <w:r>
        <w:rPr>
          <w:sz w:val="15"/>
          <w:szCs w:val="15"/>
          <w:spacing w:val="-1"/>
        </w:rPr>
        <w:t>ntern      Med,2005,</w:t>
      </w:r>
    </w:p>
    <w:p>
      <w:pPr>
        <w:pStyle w:val="BodyText"/>
        <w:ind w:left="430"/>
        <w:spacing w:before="172" w:line="192" w:lineRule="auto"/>
        <w:rPr>
          <w:sz w:val="15"/>
          <w:szCs w:val="15"/>
        </w:rPr>
      </w:pPr>
      <w:r>
        <w:rPr>
          <w:sz w:val="15"/>
          <w:szCs w:val="15"/>
        </w:rPr>
        <w:t>257(5):399414.DOI:10.1111/j.1365-2796.2005.014</w:t>
      </w:r>
      <w:r>
        <w:rPr>
          <w:sz w:val="15"/>
          <w:szCs w:val="15"/>
          <w:spacing w:val="-1"/>
        </w:rPr>
        <w:t>77.x.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0" w:right="38" w:hanging="440"/>
        <w:spacing w:before="26" w:line="340" w:lineRule="auto"/>
        <w:rPr>
          <w:sz w:val="15"/>
          <w:szCs w:val="15"/>
        </w:rPr>
      </w:pPr>
      <w:r>
        <w:rPr>
          <w:sz w:val="15"/>
          <w:szCs w:val="15"/>
        </w:rPr>
        <w:t>[131]Sostres     C,Marcén      B,Laredo     V,et      al.Risk      of     reb</w:t>
      </w:r>
      <w:r>
        <w:rPr>
          <w:sz w:val="15"/>
          <w:szCs w:val="15"/>
          <w:spacing w:val="-1"/>
        </w:rPr>
        <w:t>leeding,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vascular   events    and    death   after    gastrointestinal</w:t>
      </w:r>
      <w:r>
        <w:rPr>
          <w:sz w:val="15"/>
          <w:szCs w:val="15"/>
          <w:spacing w:val="-1"/>
        </w:rPr>
        <w:t xml:space="preserve">    bleeding 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anticoagulant    and/or     antiplatelet     users[J].Aliment    Pharmacol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Ther,2019,50(8):919-929.DOI:10.1111/apt.15441.</w:t>
      </w:r>
    </w:p>
    <w:p>
      <w:pPr>
        <w:pStyle w:val="BodyText"/>
        <w:ind w:left="440" w:right="41" w:hanging="440"/>
        <w:spacing w:before="124" w:line="336" w:lineRule="auto"/>
        <w:rPr>
          <w:sz w:val="15"/>
          <w:szCs w:val="15"/>
        </w:rPr>
      </w:pPr>
      <w:r>
        <w:rPr>
          <w:sz w:val="15"/>
          <w:szCs w:val="15"/>
        </w:rPr>
        <w:t>[132]Abraham   NS,Hartman   C,Richardson   P,et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al.Risk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of   lower   and </w:t>
      </w:r>
      <w:r>
        <w:rPr>
          <w:sz w:val="15"/>
          <w:szCs w:val="15"/>
        </w:rPr>
        <w:t>upper    gastrointestinal    bleeding,transfusions,and    hospita</w:t>
      </w:r>
      <w:r>
        <w:rPr>
          <w:sz w:val="15"/>
          <w:szCs w:val="15"/>
          <w:spacing w:val="-1"/>
        </w:rPr>
        <w:t>lizations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with   complex   antithrombotic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</w:rPr>
        <w:t>therapy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in    elderly  </w:t>
      </w:r>
      <w:r>
        <w:rPr>
          <w:sz w:val="15"/>
          <w:szCs w:val="15"/>
          <w:spacing w:val="-1"/>
        </w:rPr>
        <w:t xml:space="preserve"> patients   [J].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Circulation,2013,128(17):1869-1877.DOI:</w:t>
      </w:r>
      <w:r>
        <w:rPr>
          <w:sz w:val="15"/>
          <w:szCs w:val="15"/>
          <w:spacing w:val="-1"/>
        </w:rPr>
        <w:t>10.1161/</w:t>
      </w:r>
    </w:p>
    <w:p>
      <w:pPr>
        <w:pStyle w:val="BodyText"/>
        <w:ind w:left="440"/>
        <w:spacing w:before="144" w:line="188" w:lineRule="auto"/>
        <w:rPr>
          <w:sz w:val="15"/>
          <w:szCs w:val="15"/>
        </w:rPr>
      </w:pPr>
      <w:r>
        <w:rPr>
          <w:sz w:val="15"/>
          <w:szCs w:val="15"/>
        </w:rPr>
        <w:t>CIRCULATIONAHA.113.004747.</w:t>
      </w:r>
    </w:p>
    <w:p>
      <w:pPr>
        <w:pStyle w:val="BodyText"/>
        <w:ind w:left="440" w:right="40" w:hanging="440"/>
        <w:spacing w:before="122" w:line="340" w:lineRule="auto"/>
        <w:rPr>
          <w:sz w:val="15"/>
          <w:szCs w:val="15"/>
        </w:rPr>
      </w:pPr>
      <w:r>
        <w:rPr>
          <w:sz w:val="15"/>
          <w:szCs w:val="15"/>
        </w:rPr>
        <w:t>[133]Eisenberg    MJ,Richard     PR,Libersan    D,et </w:t>
      </w:r>
      <w:r>
        <w:rPr>
          <w:sz w:val="15"/>
          <w:szCs w:val="15"/>
          <w:spacing w:val="-1"/>
        </w:rPr>
        <w:t xml:space="preserve">    al.Safety    of     short-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term  discontinuation  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</w:rPr>
        <w:t>antiplatelet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therapy  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pat</w:t>
      </w:r>
      <w:r>
        <w:rPr>
          <w:sz w:val="15"/>
          <w:szCs w:val="15"/>
          <w:spacing w:val="-1"/>
        </w:rPr>
        <w:t>ients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with  drug-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eluting                         stents[J].Circulation,2009,119(12):1634</w:t>
      </w:r>
      <w:r>
        <w:rPr>
          <w:sz w:val="15"/>
          <w:szCs w:val="15"/>
          <w:spacing w:val="-1"/>
        </w:rPr>
        <w:t>-1642.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DOI:10.1161/CIRCULATIONAHA.108.813667.</w:t>
      </w:r>
    </w:p>
    <w:p>
      <w:pPr>
        <w:pStyle w:val="BodyText"/>
        <w:ind w:left="440" w:hanging="440"/>
        <w:spacing w:before="116" w:line="29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7"/>
        </w:rPr>
        <w:t>[134]中华心血管病杂志(网络版)编辑委员会.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口服抗栓药物相关消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化道损伤防治专家共识</w:t>
      </w:r>
      <w:r>
        <w:rPr>
          <w:sz w:val="15"/>
          <w:szCs w:val="15"/>
          <w:spacing w:val="3"/>
        </w:rPr>
        <w:t>[J].    </w:t>
      </w:r>
      <w:r>
        <w:rPr>
          <w:rFonts w:ascii="SimSun" w:hAnsi="SimSun" w:eastAsia="SimSun" w:cs="SimSun"/>
          <w:sz w:val="15"/>
          <w:szCs w:val="15"/>
          <w:spacing w:val="3"/>
        </w:rPr>
        <w:t>中华心血管病杂志(网络版),2021,</w:t>
      </w:r>
      <w:r>
        <w:rPr>
          <w:rFonts w:ascii="SimSun" w:hAnsi="SimSun" w:eastAsia="SimSun" w:cs="SimSun"/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4(1):1-8.DOI:10.3760/cma.j.cnl16031.2021.1000081.</w:t>
      </w:r>
    </w:p>
    <w:p>
      <w:pPr>
        <w:pStyle w:val="BodyText"/>
        <w:ind w:left="440" w:right="26" w:hanging="440"/>
        <w:spacing w:before="132" w:line="345" w:lineRule="auto"/>
        <w:rPr>
          <w:sz w:val="15"/>
          <w:szCs w:val="15"/>
        </w:rPr>
      </w:pPr>
      <w:r>
        <w:rPr>
          <w:sz w:val="15"/>
          <w:szCs w:val="15"/>
        </w:rPr>
        <w:t>[135]Goldstein      JN,Refaai       MA,Milling       T      Jr,et    </w:t>
      </w:r>
      <w:r>
        <w:rPr>
          <w:sz w:val="15"/>
          <w:szCs w:val="15"/>
          <w:spacing w:val="-1"/>
        </w:rPr>
        <w:t xml:space="preserve">   al.Four-factor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prothrombin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complex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concentrate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versus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plasma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rapid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vitamin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</w:rPr>
        <w:t>K  </w:t>
      </w:r>
      <w:r>
        <w:rPr>
          <w:sz w:val="15"/>
          <w:szCs w:val="15"/>
        </w:rPr>
        <w:t>antagonist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reversal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nee</w:t>
      </w:r>
      <w:r>
        <w:rPr>
          <w:sz w:val="15"/>
          <w:szCs w:val="15"/>
          <w:spacing w:val="-1"/>
        </w:rPr>
        <w:t>ding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urgent  surgical  or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invasive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interventions:a            phase             3b,open-label,  </w:t>
      </w:r>
      <w:r>
        <w:rPr>
          <w:sz w:val="15"/>
          <w:szCs w:val="15"/>
          <w:spacing w:val="-1"/>
        </w:rPr>
        <w:t xml:space="preserve">   non-inferiority,</w:t>
      </w:r>
      <w:r>
        <w:rPr>
          <w:sz w:val="15"/>
          <w:szCs w:val="15"/>
        </w:rPr>
        <w:t xml:space="preserve">   </w:t>
      </w:r>
      <w:r>
        <w:rPr>
          <w:sz w:val="15"/>
          <w:szCs w:val="15"/>
        </w:rPr>
        <w:t>randomised                       trial[J].Lancet,2015,385(9982):2077-2087.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DOI:10.1016/S0140-6736(14)61685-8.</w:t>
      </w:r>
    </w:p>
    <w:p>
      <w:pPr>
        <w:pStyle w:val="BodyText"/>
        <w:ind w:left="440" w:right="26" w:hanging="440"/>
        <w:spacing w:before="175" w:line="338" w:lineRule="auto"/>
        <w:rPr>
          <w:sz w:val="15"/>
          <w:szCs w:val="15"/>
        </w:rPr>
      </w:pPr>
      <w:r>
        <w:rPr>
          <w:sz w:val="15"/>
          <w:szCs w:val="15"/>
        </w:rPr>
        <w:t>[136]Ta   rasconi      A,Baiocchi      GL,Pattonieri      V,et      </w:t>
      </w:r>
      <w:r>
        <w:rPr>
          <w:sz w:val="15"/>
          <w:szCs w:val="15"/>
          <w:spacing w:val="-1"/>
        </w:rPr>
        <w:t>al.Transcatheter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arterial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</w:rPr>
        <w:t>embolization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versus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</w:rPr>
        <w:t>s</w:t>
      </w:r>
      <w:r>
        <w:rPr>
          <w:sz w:val="15"/>
          <w:szCs w:val="15"/>
          <w:spacing w:val="-1"/>
        </w:rPr>
        <w:t>urgery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refractory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non-variceal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upper    gastrointestinal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</w:rPr>
        <w:t>bleeding:a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</w:rPr>
        <w:t>meta-analysis[J/OL</w:t>
      </w:r>
      <w:r>
        <w:rPr>
          <w:sz w:val="15"/>
          <w:szCs w:val="15"/>
          <w:spacing w:val="-1"/>
        </w:rPr>
        <w:t>].World    J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Emerg                     Surg,2019,14:3(2019-02-01)[2023-01-14].</w:t>
      </w:r>
      <w:hyperlink w:history="true" r:id="rId26">
        <w:r>
          <w:rPr>
            <w:sz w:val="15"/>
            <w:szCs w:val="15"/>
          </w:rPr>
          <w:t>https://</w:t>
        </w:r>
      </w:hyperlink>
      <w:r>
        <w:rPr>
          <w:sz w:val="15"/>
          <w:szCs w:val="15"/>
          <w:spacing w:val="1"/>
        </w:rPr>
        <w:t xml:space="preserve">  </w:t>
      </w:r>
      <w:hyperlink w:history="true" r:id="rId26">
        <w:r>
          <w:rPr>
            <w:sz w:val="15"/>
            <w:szCs w:val="15"/>
          </w:rPr>
          <w:t>doi.org/10.1186/s13017-019-</w:t>
        </w:r>
        <w:r>
          <w:rPr>
            <w:sz w:val="15"/>
            <w:szCs w:val="15"/>
            <w:spacing w:val="-1"/>
          </w:rPr>
          <w:t>0223-8.</w:t>
        </w:r>
      </w:hyperlink>
    </w:p>
    <w:p>
      <w:pPr>
        <w:pStyle w:val="BodyText"/>
        <w:ind w:left="440" w:right="42" w:hanging="440"/>
        <w:spacing w:before="163" w:line="314" w:lineRule="auto"/>
        <w:rPr>
          <w:sz w:val="15"/>
          <w:szCs w:val="15"/>
        </w:rPr>
      </w:pPr>
      <w:r>
        <w:rPr>
          <w:sz w:val="15"/>
          <w:szCs w:val="15"/>
        </w:rPr>
        <w:t>[137]Soreide    K,Thorsen     K,Ssreide   </w:t>
      </w:r>
      <w:r>
        <w:rPr>
          <w:sz w:val="15"/>
          <w:szCs w:val="15"/>
          <w:spacing w:val="-1"/>
        </w:rPr>
        <w:t xml:space="preserve">  JA.Strategies    to     improve   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outcome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emergency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surgery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perforated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peptic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ulcer</w:t>
      </w:r>
      <w:r>
        <w:rPr>
          <w:sz w:val="15"/>
          <w:szCs w:val="15"/>
          <w:spacing w:val="1"/>
        </w:rPr>
        <w:t>[J].</w:t>
      </w:r>
      <w:r>
        <w:rPr>
          <w:sz w:val="15"/>
          <w:szCs w:val="15"/>
        </w:rPr>
        <w:t>BrJ </w:t>
      </w:r>
      <w:r>
        <w:rPr>
          <w:sz w:val="15"/>
          <w:szCs w:val="15"/>
        </w:rPr>
        <w:t>Surg,2014,101(1):e51-e64.DOI:10.1002/bjs.9368.</w:t>
      </w:r>
    </w:p>
    <w:p>
      <w:pPr>
        <w:pStyle w:val="BodyText"/>
        <w:ind w:left="440" w:right="26" w:hanging="440"/>
        <w:spacing w:before="131" w:line="315" w:lineRule="auto"/>
        <w:rPr>
          <w:sz w:val="15"/>
          <w:szCs w:val="15"/>
        </w:rPr>
      </w:pPr>
      <w:r>
        <w:rPr>
          <w:sz w:val="15"/>
          <w:szCs w:val="15"/>
        </w:rPr>
        <w:t>[138]Yeung     KW,Chang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</w:rPr>
        <w:t>MS,Hsiao      CP,et     al.CT      evalu</w:t>
      </w:r>
      <w:r>
        <w:rPr>
          <w:sz w:val="15"/>
          <w:szCs w:val="15"/>
          <w:spacing w:val="-1"/>
        </w:rPr>
        <w:t>ation    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gastrointestinal     tract      perforation[J].Clin     Imaging,2004,28(5):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329-333.DOI:10.1016/S0899-7071(03)00204-3.</w:t>
      </w:r>
    </w:p>
    <w:p>
      <w:pPr>
        <w:pStyle w:val="BodyText"/>
        <w:ind w:left="440" w:right="46" w:hanging="440"/>
        <w:spacing w:before="162" w:line="284" w:lineRule="auto"/>
        <w:rPr>
          <w:sz w:val="15"/>
          <w:szCs w:val="15"/>
        </w:rPr>
      </w:pPr>
      <w:r>
        <w:rPr>
          <w:sz w:val="15"/>
          <w:szCs w:val="15"/>
        </w:rPr>
        <w:t>[139]Cecconi    M,Evans    L,Levy     M,et    al.S</w:t>
      </w:r>
      <w:r>
        <w:rPr>
          <w:sz w:val="15"/>
          <w:szCs w:val="15"/>
          <w:spacing w:val="-1"/>
        </w:rPr>
        <w:t>epsis    and     septic    shock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[J].Lancet,2018,392(10141):75-87.DOI:10.10</w:t>
      </w:r>
      <w:r>
        <w:rPr>
          <w:sz w:val="15"/>
          <w:szCs w:val="15"/>
          <w:spacing w:val="-1"/>
        </w:rPr>
        <w:t>16/S0140-</w:t>
      </w:r>
    </w:p>
    <w:p>
      <w:pPr>
        <w:pStyle w:val="BodyText"/>
        <w:ind w:left="440"/>
        <w:spacing w:before="132" w:line="192" w:lineRule="auto"/>
        <w:rPr>
          <w:sz w:val="15"/>
          <w:szCs w:val="15"/>
        </w:rPr>
      </w:pPr>
      <w:r>
        <w:rPr>
          <w:sz w:val="15"/>
          <w:szCs w:val="15"/>
        </w:rPr>
        <w:t>6736(18)30696-2.</w:t>
      </w:r>
    </w:p>
    <w:p>
      <w:pPr>
        <w:pStyle w:val="BodyText"/>
        <w:ind w:left="440" w:right="38" w:hanging="440"/>
        <w:spacing w:before="141" w:line="330" w:lineRule="auto"/>
        <w:rPr>
          <w:sz w:val="15"/>
          <w:szCs w:val="15"/>
        </w:rPr>
      </w:pPr>
      <w:r>
        <w:rPr>
          <w:sz w:val="15"/>
          <w:szCs w:val="15"/>
        </w:rPr>
        <w:t>[140]Seymour    CW,LiuVX,Iwashyna    TJ,et    al.Assessment    of   clinical </w:t>
      </w:r>
      <w:r>
        <w:rPr>
          <w:sz w:val="15"/>
          <w:szCs w:val="15"/>
        </w:rPr>
        <w:t>criteria  for  sepsis:for  the  third  international  consensus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defi</w:t>
      </w:r>
      <w:r>
        <w:rPr>
          <w:sz w:val="15"/>
          <w:szCs w:val="15"/>
          <w:spacing w:val="-1"/>
        </w:rPr>
        <w:t>nitions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for        sepsis        and        septic </w:t>
      </w:r>
      <w:r>
        <w:rPr>
          <w:sz w:val="15"/>
          <w:szCs w:val="15"/>
          <w:spacing w:val="-1"/>
        </w:rPr>
        <w:t xml:space="preserve">       shock(sepsis-3)[J].JAMA,2016,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315(8):762-774.DOI:10.1001/jama.2016.0288.</w:t>
      </w:r>
    </w:p>
    <w:p>
      <w:pPr>
        <w:pStyle w:val="BodyText"/>
        <w:ind w:left="440" w:right="45" w:hanging="440"/>
        <w:spacing w:before="143" w:line="314" w:lineRule="auto"/>
        <w:rPr>
          <w:sz w:val="15"/>
          <w:szCs w:val="15"/>
        </w:rPr>
      </w:pPr>
      <w:r>
        <w:rPr>
          <w:sz w:val="15"/>
          <w:szCs w:val="15"/>
        </w:rPr>
        <w:t>[141]Buck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</w:rPr>
        <w:t>DL,Vester-Andersen    M,Moller</w:t>
      </w:r>
      <w:r>
        <w:rPr>
          <w:sz w:val="15"/>
          <w:szCs w:val="15"/>
          <w:spacing w:val="-1"/>
        </w:rPr>
        <w:t xml:space="preserve">    MH.Surgical    delay    is    a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critical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determinant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survival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perforated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peptic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ulcer</w:t>
      </w:r>
      <w:r>
        <w:rPr>
          <w:sz w:val="15"/>
          <w:szCs w:val="15"/>
          <w:spacing w:val="1"/>
        </w:rPr>
        <w:t>[J].</w:t>
      </w:r>
      <w:r>
        <w:rPr>
          <w:sz w:val="15"/>
          <w:szCs w:val="15"/>
        </w:rPr>
        <w:t>BrJ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Surg,2013,100(8):1045-1049.DOI:10.1002/bjs.9175.</w:t>
      </w:r>
    </w:p>
    <w:p>
      <w:pPr>
        <w:pStyle w:val="BodyText"/>
        <w:ind w:left="440" w:right="42" w:hanging="440"/>
        <w:spacing w:before="133" w:line="314" w:lineRule="auto"/>
        <w:rPr>
          <w:sz w:val="15"/>
          <w:szCs w:val="15"/>
        </w:rPr>
      </w:pPr>
      <w:r>
        <w:rPr>
          <w:sz w:val="15"/>
          <w:szCs w:val="15"/>
        </w:rPr>
        <w:t>[142]Bergstrom      M,Arroyo      Vázquez      JA,Park</w:t>
      </w:r>
      <w:r>
        <w:rPr>
          <w:sz w:val="15"/>
          <w:szCs w:val="15"/>
          <w:spacing w:val="-1"/>
        </w:rPr>
        <w:t xml:space="preserve">      P0.Self-expandable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metal  stents  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new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treatment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option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perfora</w:t>
      </w:r>
      <w:r>
        <w:rPr>
          <w:sz w:val="15"/>
          <w:szCs w:val="15"/>
          <w:spacing w:val="-1"/>
        </w:rPr>
        <w:t>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duodenal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ulcer[J].Endoscopy,2013,45(3):222-225.DOI:10.1055</w:t>
      </w:r>
      <w:r>
        <w:rPr>
          <w:sz w:val="15"/>
          <w:szCs w:val="15"/>
          <w:spacing w:val="-1"/>
        </w:rPr>
        <w:t>/s-</w:t>
      </w:r>
    </w:p>
    <w:p>
      <w:pPr>
        <w:pStyle w:val="BodyText"/>
        <w:ind w:left="440"/>
        <w:spacing w:before="165" w:line="1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0032-1325885.</w:t>
      </w:r>
    </w:p>
    <w:p>
      <w:pPr>
        <w:pStyle w:val="BodyText"/>
        <w:ind w:left="440" w:right="43" w:hanging="440"/>
        <w:spacing w:before="152" w:line="330" w:lineRule="auto"/>
        <w:rPr>
          <w:sz w:val="15"/>
          <w:szCs w:val="15"/>
        </w:rPr>
      </w:pPr>
      <w:r>
        <w:rPr>
          <w:sz w:val="15"/>
          <w:szCs w:val="15"/>
        </w:rPr>
        <w:t>[143]Sivaram       P,Sreekumar       A.Preoperative   </w:t>
      </w:r>
      <w:r>
        <w:rPr>
          <w:sz w:val="15"/>
          <w:szCs w:val="15"/>
          <w:spacing w:val="-1"/>
        </w:rPr>
        <w:t xml:space="preserve">    factors       influencing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mortality   and    morbidity   in    peptic   ulcer   perforation[J]</w:t>
      </w:r>
      <w:r>
        <w:rPr>
          <w:sz w:val="15"/>
          <w:szCs w:val="15"/>
          <w:spacing w:val="-1"/>
        </w:rPr>
        <w:t>.Eur    J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Trauma            Emerg            Surg,2018,44(2):251-257.DOI:10.1007/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s00068-017-0777-7.</w:t>
      </w:r>
    </w:p>
    <w:p>
      <w:pPr>
        <w:pStyle w:val="BodyText"/>
        <w:spacing w:before="152" w:line="192" w:lineRule="auto"/>
        <w:rPr>
          <w:sz w:val="15"/>
          <w:szCs w:val="15"/>
        </w:rPr>
      </w:pPr>
      <w:r>
        <w:rPr>
          <w:sz w:val="15"/>
          <w:szCs w:val="15"/>
        </w:rPr>
        <w:t>[144]Yoon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</w:rPr>
        <w:t>H,Kim     SG,Jung     HC,et     al.High    recurrence     rat</w:t>
      </w:r>
      <w:r>
        <w:rPr>
          <w:sz w:val="15"/>
          <w:szCs w:val="15"/>
          <w:spacing w:val="-1"/>
        </w:rPr>
        <w:t>e     of</w:t>
      </w:r>
    </w:p>
    <w:p>
      <w:pPr>
        <w:spacing w:line="192" w:lineRule="auto"/>
        <w:sectPr>
          <w:type w:val="continuous"/>
          <w:pgSz w:w="10720" w:h="15880"/>
          <w:pgMar w:top="774" w:right="523" w:bottom="0" w:left="509" w:header="544" w:footer="0" w:gutter="0"/>
          <w:cols w:equalWidth="0" w:num="2">
            <w:col w:w="4931" w:space="100"/>
            <w:col w:w="4657" w:space="0"/>
          </w:cols>
        </w:sectPr>
        <w:rPr>
          <w:sz w:val="15"/>
          <w:szCs w:val="15"/>
        </w:rPr>
      </w:pPr>
    </w:p>
    <w:p>
      <w:pPr>
        <w:spacing w:before="84"/>
        <w:rPr/>
      </w:pPr>
      <w:r/>
    </w:p>
    <w:p>
      <w:pPr>
        <w:sectPr>
          <w:headerReference w:type="default" r:id="rId27"/>
          <w:pgSz w:w="10720" w:h="15880"/>
          <w:pgMar w:top="818" w:right="537" w:bottom="0" w:left="363" w:header="510" w:footer="0" w:gutter="0"/>
          <w:cols w:equalWidth="0" w:num="1">
            <w:col w:w="9819" w:space="0"/>
          </w:cols>
        </w:sectPr>
        <w:rPr/>
      </w:pPr>
    </w:p>
    <w:p>
      <w:pPr>
        <w:pStyle w:val="BodyText"/>
        <w:ind w:left="576" w:right="342"/>
        <w:spacing w:before="27" w:line="360" w:lineRule="auto"/>
        <w:rPr>
          <w:sz w:val="15"/>
          <w:szCs w:val="15"/>
        </w:rPr>
      </w:pPr>
      <w:r>
        <w:rPr>
          <w:sz w:val="15"/>
          <w:szCs w:val="15"/>
        </w:rPr>
        <w:t>idiopathic   peptic   ulcers    in   long-term    follow-up[J].Gut   Liver, </w:t>
      </w:r>
      <w:r>
        <w:rPr>
          <w:sz w:val="15"/>
          <w:szCs w:val="15"/>
        </w:rPr>
        <w:t>2013,7(2):175-181.DOI:10.5009/gnl.2013.7.2.175.</w:t>
      </w:r>
    </w:p>
    <w:p>
      <w:pPr>
        <w:pStyle w:val="BodyText"/>
        <w:ind w:left="575" w:right="310" w:hanging="440"/>
        <w:spacing w:before="26" w:line="338" w:lineRule="auto"/>
        <w:rPr>
          <w:sz w:val="15"/>
          <w:szCs w:val="15"/>
        </w:rPr>
      </w:pPr>
      <w:r>
        <w:rPr>
          <w:sz w:val="15"/>
          <w:szCs w:val="15"/>
        </w:rPr>
        <w:t>[145]Sverdén    E,Brusselaers     N,Wahlin     K,et    al.Time     late</w:t>
      </w:r>
      <w:r>
        <w:rPr>
          <w:sz w:val="15"/>
          <w:szCs w:val="15"/>
          <w:spacing w:val="-1"/>
        </w:rPr>
        <w:t>ncies   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Helicobacter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</w:rPr>
        <w:t>pylori   eradication   after   peptic   ulcer   and   ri</w:t>
      </w:r>
      <w:r>
        <w:rPr>
          <w:sz w:val="15"/>
          <w:szCs w:val="15"/>
          <w:spacing w:val="-1"/>
        </w:rPr>
        <w:t>sk 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recurrent     ulcer,ulcer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</w:rPr>
        <w:t>adverse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</w:rPr>
        <w:t>events,and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</w:rPr>
        <w:t>gas</w:t>
      </w:r>
      <w:r>
        <w:rPr>
          <w:sz w:val="15"/>
          <w:szCs w:val="15"/>
          <w:spacing w:val="-1"/>
        </w:rPr>
        <w:t>tric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-1"/>
        </w:rPr>
        <w:t>cancer:a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population-based      cohort      study[J].Gastrointest    </w:t>
      </w:r>
      <w:r>
        <w:rPr>
          <w:sz w:val="15"/>
          <w:szCs w:val="15"/>
          <w:spacing w:val="-1"/>
        </w:rPr>
        <w:t xml:space="preserve">   Endosc,2018,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88(2):242-250.el.DOI:10.1016/j.gie.2017.11.035.</w:t>
      </w:r>
    </w:p>
    <w:p>
      <w:pPr>
        <w:pStyle w:val="BodyText"/>
        <w:ind w:left="575" w:right="323" w:hanging="440"/>
        <w:spacing w:before="131" w:line="330" w:lineRule="auto"/>
        <w:rPr>
          <w:sz w:val="15"/>
          <w:szCs w:val="15"/>
        </w:rPr>
      </w:pPr>
      <w:r>
        <w:rPr>
          <w:sz w:val="15"/>
          <w:szCs w:val="15"/>
        </w:rPr>
        <w:t>[146]Chang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</w:rPr>
        <w:t>SS,Hu  HY.Helicobacter  pyl</w:t>
      </w:r>
      <w:r>
        <w:rPr>
          <w:sz w:val="15"/>
          <w:szCs w:val="15"/>
          <w:spacing w:val="-1"/>
        </w:rPr>
        <w:t>ori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eradication  within   120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days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is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associated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decreased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com</w:t>
      </w:r>
      <w:r>
        <w:rPr>
          <w:sz w:val="15"/>
          <w:szCs w:val="15"/>
          <w:spacing w:val="-1"/>
        </w:rPr>
        <w:t>plicated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recurrent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peptic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ulcers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peptic     ulcer      bleeding     patients[J].Gut      Liver,2015,9(3):346-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352.DOI:10.5009/gnll3451.</w:t>
      </w:r>
    </w:p>
    <w:p>
      <w:pPr>
        <w:pStyle w:val="BodyText"/>
        <w:ind w:left="575" w:right="310" w:hanging="440"/>
        <w:spacing w:before="151" w:line="328" w:lineRule="auto"/>
        <w:rPr>
          <w:sz w:val="15"/>
          <w:szCs w:val="15"/>
        </w:rPr>
      </w:pPr>
      <w:r>
        <w:rPr>
          <w:sz w:val="15"/>
          <w:szCs w:val="15"/>
        </w:rPr>
        <w:t>[147]Sakamoto      C,Kawai       T,Nakamura      S,et       al.Compar</w:t>
      </w:r>
      <w:r>
        <w:rPr>
          <w:sz w:val="15"/>
          <w:szCs w:val="15"/>
          <w:spacing w:val="-1"/>
        </w:rPr>
        <w:t>ison    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gastroduodenal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ulcer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incidence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healthy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Japanese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subjects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taking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celecoxib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</w:rPr>
        <w:t>or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loxoprofen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</w:rPr>
        <w:t>evaluated   by    endos</w:t>
      </w:r>
      <w:r>
        <w:rPr>
          <w:sz w:val="15"/>
          <w:szCs w:val="15"/>
          <w:spacing w:val="-1"/>
        </w:rPr>
        <w:t>copy:a    placebo-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controlled,double-blind      2-week       study[J].Aiment      Ph</w:t>
      </w:r>
      <w:r>
        <w:rPr>
          <w:sz w:val="15"/>
          <w:szCs w:val="15"/>
          <w:spacing w:val="-1"/>
        </w:rPr>
        <w:t>armacol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Ther,2013,37(3):346-354.DOI:10.1111/apt.12174.</w:t>
      </w:r>
    </w:p>
    <w:p>
      <w:pPr>
        <w:pStyle w:val="BodyText"/>
        <w:ind w:left="575" w:right="310" w:hanging="440"/>
        <w:spacing w:before="122" w:line="319" w:lineRule="auto"/>
        <w:rPr>
          <w:sz w:val="15"/>
          <w:szCs w:val="15"/>
        </w:rPr>
      </w:pPr>
      <w:r>
        <w:rPr>
          <w:sz w:val="15"/>
          <w:szCs w:val="15"/>
        </w:rPr>
        <w:t>[148]Goldstein   JL,Kivitz   AJ,Verburg   KM,et   al.A   comparison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</w:rPr>
        <w:t>o</w:t>
      </w:r>
      <w:r>
        <w:rPr>
          <w:sz w:val="15"/>
          <w:szCs w:val="15"/>
          <w:spacing w:val="-1"/>
        </w:rPr>
        <w:t>f   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upper  gastrointestinal  mucosal  effects  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valdecoxib,naproxen  and </w:t>
      </w:r>
      <w:r>
        <w:rPr>
          <w:sz w:val="15"/>
          <w:szCs w:val="15"/>
        </w:rPr>
        <w:t>placebo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</w:rPr>
        <w:t>healthy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</w:rPr>
        <w:t>elderly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</w:rPr>
        <w:t>sub</w:t>
      </w:r>
      <w:r>
        <w:rPr>
          <w:sz w:val="15"/>
          <w:szCs w:val="15"/>
          <w:spacing w:val="-1"/>
        </w:rPr>
        <w:t>jects[J].Aliment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Pharmacol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Ther,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2003,18(1):125-132.DOI:10.1046/j.1365-2036.2003.</w:t>
      </w:r>
    </w:p>
    <w:p>
      <w:pPr>
        <w:pStyle w:val="BodyText"/>
        <w:ind w:left="576"/>
        <w:spacing w:before="156" w:line="1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01650.x.</w:t>
      </w:r>
    </w:p>
    <w:p>
      <w:pPr>
        <w:pStyle w:val="BodyText"/>
        <w:ind w:left="575" w:right="322" w:hanging="440"/>
        <w:spacing w:before="201" w:line="330" w:lineRule="auto"/>
        <w:rPr>
          <w:sz w:val="15"/>
          <w:szCs w:val="15"/>
        </w:rPr>
      </w:pPr>
      <w:r>
        <w:rPr>
          <w:sz w:val="15"/>
          <w:szCs w:val="15"/>
        </w:rPr>
        <w:t>[149]Ross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SJ,Elgendy  IY,Bavry  AA.Cardiovascular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sa</w:t>
      </w:r>
      <w:r>
        <w:rPr>
          <w:sz w:val="15"/>
          <w:szCs w:val="15"/>
          <w:spacing w:val="-1"/>
        </w:rPr>
        <w:t>fety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bleeding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risk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associated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nonsteroidal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anti-i</w:t>
      </w:r>
      <w:r>
        <w:rPr>
          <w:sz w:val="15"/>
          <w:szCs w:val="15"/>
          <w:spacing w:val="-1"/>
        </w:rPr>
        <w:t>nflammatory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medications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patients   with   cardiovascular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</w:rPr>
        <w:t>disease[J].Curr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Cardiol   Rep,2017,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19(1):8.DOI:10.1007/s11886-01</w:t>
      </w:r>
      <w:r>
        <w:rPr>
          <w:sz w:val="15"/>
          <w:szCs w:val="15"/>
          <w:spacing w:val="-1"/>
        </w:rPr>
        <w:t>7-0814-5.</w:t>
      </w:r>
    </w:p>
    <w:p>
      <w:pPr>
        <w:pStyle w:val="BodyText"/>
        <w:ind w:left="575" w:right="317" w:hanging="440"/>
        <w:spacing w:before="151" w:line="331" w:lineRule="auto"/>
        <w:rPr>
          <w:sz w:val="15"/>
          <w:szCs w:val="15"/>
        </w:rPr>
      </w:pPr>
      <w:r>
        <w:rPr>
          <w:sz w:val="15"/>
          <w:szCs w:val="15"/>
        </w:rPr>
        <w:t>[150]Yuan     JQ,Tsoi     KK,Yang     M,et      al.Systematic     revi</w:t>
      </w:r>
      <w:r>
        <w:rPr>
          <w:sz w:val="15"/>
          <w:szCs w:val="15"/>
          <w:spacing w:val="-1"/>
        </w:rPr>
        <w:t>ew   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network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meta</w:t>
      </w:r>
      <w:r>
        <w:rPr>
          <w:sz w:val="15"/>
          <w:szCs w:val="15"/>
          <w:spacing w:val="1"/>
        </w:rPr>
        <w:t>-</w:t>
      </w:r>
      <w:r>
        <w:rPr>
          <w:sz w:val="15"/>
          <w:szCs w:val="15"/>
        </w:rPr>
        <w:t>analysis</w:t>
      </w:r>
      <w:r>
        <w:rPr>
          <w:sz w:val="15"/>
          <w:szCs w:val="15"/>
          <w:spacing w:val="1"/>
        </w:rPr>
        <w:t>:</w:t>
      </w:r>
      <w:r>
        <w:rPr>
          <w:sz w:val="15"/>
          <w:szCs w:val="15"/>
        </w:rPr>
        <w:t>comparative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effectiveness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safety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strategies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preventing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NSAID-assocated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gas</w:t>
      </w:r>
      <w:r>
        <w:rPr>
          <w:sz w:val="15"/>
          <w:szCs w:val="15"/>
          <w:spacing w:val="-1"/>
        </w:rPr>
        <w:t>trointestinal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toxicity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[J].Aliment          Pharmacol          Ther,2016,43(12):1262-1275.DOI: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"/>
        </w:rPr>
        <w:t>10.1111/apt.13642.</w:t>
      </w:r>
    </w:p>
    <w:p>
      <w:pPr>
        <w:pStyle w:val="BodyText"/>
        <w:ind w:left="575" w:right="325" w:hanging="440"/>
        <w:spacing w:before="172" w:line="314" w:lineRule="auto"/>
        <w:rPr>
          <w:sz w:val="15"/>
          <w:szCs w:val="15"/>
        </w:rPr>
      </w:pPr>
      <w:r>
        <w:rPr>
          <w:sz w:val="15"/>
          <w:szCs w:val="15"/>
        </w:rPr>
        <w:t>[151]Kawai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</w:rPr>
        <w:t>T,Oda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</w:rPr>
        <w:t>K,Funao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</w:rPr>
        <w:t>N,et   </w:t>
      </w:r>
      <w:r>
        <w:rPr>
          <w:sz w:val="15"/>
          <w:szCs w:val="15"/>
          <w:spacing w:val="-1"/>
        </w:rPr>
        <w:t xml:space="preserve"> al.Vonoprazan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-1"/>
        </w:rPr>
        <w:t>prevents    ow-dose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aspirin-associated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</w:rPr>
        <w:t>ulcer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</w:rPr>
        <w:t>recurrence:r</w:t>
      </w:r>
      <w:r>
        <w:rPr>
          <w:sz w:val="15"/>
          <w:szCs w:val="15"/>
          <w:spacing w:val="-1"/>
        </w:rPr>
        <w:t>andomised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phase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3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study[J]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Gut,2018,67(6):1033-1041.DOI:10.1136/gutjnl-2017-314852.</w:t>
      </w:r>
    </w:p>
    <w:p>
      <w:pPr>
        <w:pStyle w:val="BodyText"/>
        <w:ind w:left="575" w:right="322" w:hanging="440"/>
        <w:spacing w:before="131" w:line="315" w:lineRule="auto"/>
        <w:rPr>
          <w:sz w:val="15"/>
          <w:szCs w:val="15"/>
        </w:rPr>
      </w:pPr>
      <w:r>
        <w:rPr>
          <w:sz w:val="15"/>
          <w:szCs w:val="15"/>
        </w:rPr>
        <w:t>[152]Patrono     C,Garcia     Rodriguez     LA,Landolfi </w:t>
      </w:r>
      <w:r>
        <w:rPr>
          <w:sz w:val="15"/>
          <w:szCs w:val="15"/>
          <w:spacing w:val="-1"/>
        </w:rPr>
        <w:t xml:space="preserve">    R,et     al.Low-dose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aspirin  for  the  prevention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</w:rPr>
        <w:t>of  atherothrombosis[J].N  Engl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J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Med,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2005,353(22):2373-2383.DOI:10.1056/NEJMra052717.</w:t>
      </w:r>
    </w:p>
    <w:p>
      <w:pPr>
        <w:pStyle w:val="BodyText"/>
        <w:ind w:left="575" w:right="322" w:hanging="440"/>
        <w:spacing w:before="132" w:line="284" w:lineRule="auto"/>
        <w:rPr>
          <w:sz w:val="15"/>
          <w:szCs w:val="15"/>
        </w:rPr>
      </w:pPr>
      <w:r>
        <w:rPr>
          <w:sz w:val="15"/>
          <w:szCs w:val="15"/>
        </w:rPr>
        <w:t>[153]Patrono   C.Aspirin   </w:t>
      </w:r>
      <w:r>
        <w:rPr>
          <w:sz w:val="15"/>
          <w:szCs w:val="15"/>
          <w:spacing w:val="-1"/>
        </w:rPr>
        <w:t>as   an   antiplatelet   drug[J].NEngl   J   Med,1994,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330(18):1287-1294.DOI:10.1056/NEJM199405053301808.</w:t>
      </w:r>
    </w:p>
    <w:p>
      <w:pPr>
        <w:pStyle w:val="BodyText"/>
        <w:ind w:left="135"/>
        <w:spacing w:before="132" w:line="192" w:lineRule="auto"/>
        <w:rPr>
          <w:sz w:val="15"/>
          <w:szCs w:val="15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99087</wp:posOffset>
            </wp:positionH>
            <wp:positionV relativeFrom="paragraph">
              <wp:posOffset>298105</wp:posOffset>
            </wp:positionV>
            <wp:extent cx="6134103" cy="635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4103" cy="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</w:rPr>
        <w:t>[154]Jeong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</w:rPr>
        <w:t>YH,Kim    RB,Tantry    U,et    al</w:t>
      </w:r>
      <w:r>
        <w:rPr>
          <w:sz w:val="15"/>
          <w:szCs w:val="15"/>
          <w:spacing w:val="-1"/>
        </w:rPr>
        <w:t>.Low-dose    aspirin    for    the</w:t>
      </w:r>
    </w:p>
    <w:p>
      <w:pPr>
        <w:spacing w:line="3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0" w:right="26"/>
        <w:spacing w:before="26" w:line="365" w:lineRule="auto"/>
        <w:jc w:val="both"/>
        <w:rPr>
          <w:sz w:val="15"/>
          <w:szCs w:val="15"/>
        </w:rPr>
      </w:pPr>
      <w:r>
        <w:rPr>
          <w:sz w:val="15"/>
          <w:szCs w:val="15"/>
        </w:rPr>
        <w:t>primary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prevention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of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cardiovascular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events</w:t>
      </w:r>
      <w:r>
        <w:rPr>
          <w:sz w:val="15"/>
          <w:szCs w:val="15"/>
          <w:spacing w:val="1"/>
        </w:rPr>
        <w:t>:</w:t>
      </w:r>
      <w:r>
        <w:rPr>
          <w:sz w:val="15"/>
          <w:szCs w:val="15"/>
        </w:rPr>
        <w:t>a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systemic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meta</w:t>
      </w:r>
      <w:r>
        <w:rPr>
          <w:sz w:val="15"/>
          <w:szCs w:val="15"/>
          <w:spacing w:val="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analysis   comparing   East   Asian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versus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Westen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population[J].J </w:t>
      </w:r>
      <w:r>
        <w:rPr>
          <w:sz w:val="15"/>
          <w:szCs w:val="15"/>
        </w:rPr>
        <w:t>Am     Coll     Cardiol,2016,67(13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</w:rPr>
        <w:t>Suppl):1840.</w:t>
      </w:r>
    </w:p>
    <w:p>
      <w:pPr>
        <w:pStyle w:val="BodyText"/>
        <w:ind w:left="440" w:right="28" w:hanging="440"/>
        <w:spacing w:before="25" w:line="329" w:lineRule="auto"/>
        <w:rPr>
          <w:sz w:val="15"/>
          <w:szCs w:val="15"/>
        </w:rPr>
      </w:pPr>
      <w:r>
        <w:rPr>
          <w:sz w:val="15"/>
          <w:szCs w:val="15"/>
        </w:rPr>
        <w:t>[155]Ma    C.Current     antithrombotic     treatment     in     E</w:t>
      </w:r>
      <w:r>
        <w:rPr>
          <w:sz w:val="15"/>
          <w:szCs w:val="15"/>
          <w:spacing w:val="-1"/>
        </w:rPr>
        <w:t>ast    Asia:some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perspectives   on    anticoagulation    and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</w:rPr>
        <w:t>antiplatele</w:t>
      </w:r>
      <w:r>
        <w:rPr>
          <w:sz w:val="15"/>
          <w:szCs w:val="15"/>
          <w:spacing w:val="-1"/>
        </w:rPr>
        <w:t>t   therapy    [J].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Thromb</w:t>
      </w:r>
      <w:r>
        <w:rPr>
          <w:sz w:val="15"/>
          <w:szCs w:val="15"/>
          <w:spacing w:val="1"/>
        </w:rPr>
        <w:t xml:space="preserve">                     </w:t>
      </w:r>
      <w:r>
        <w:rPr>
          <w:sz w:val="15"/>
          <w:szCs w:val="15"/>
        </w:rPr>
        <w:t>Haemost</w:t>
      </w:r>
      <w:r>
        <w:rPr>
          <w:sz w:val="15"/>
          <w:szCs w:val="15"/>
          <w:spacing w:val="1"/>
        </w:rPr>
        <w:t>,2</w:t>
      </w:r>
      <w:r>
        <w:rPr>
          <w:sz w:val="15"/>
          <w:szCs w:val="15"/>
        </w:rPr>
        <w:t>012,107(6):1014-1018.DOI:10.1160/ </w:t>
      </w:r>
      <w:r>
        <w:rPr>
          <w:sz w:val="15"/>
          <w:szCs w:val="15"/>
        </w:rPr>
        <w:t>TH11-04-0214.</w:t>
      </w:r>
    </w:p>
    <w:p>
      <w:pPr>
        <w:pStyle w:val="BodyText"/>
        <w:ind w:left="440" w:right="6" w:hanging="440"/>
        <w:spacing w:before="141" w:line="330" w:lineRule="auto"/>
        <w:rPr>
          <w:sz w:val="15"/>
          <w:szCs w:val="15"/>
        </w:rPr>
      </w:pPr>
      <w:r>
        <w:rPr>
          <w:sz w:val="15"/>
          <w:szCs w:val="15"/>
        </w:rPr>
        <w:t>[156]Chan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</w:rPr>
        <w:t>FK,Ching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</w:rPr>
        <w:t>JY,Suen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</w:rPr>
        <w:t>BY,et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</w:rPr>
        <w:t>al.Effects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</w:rPr>
        <w:t>of    Helicobac</w:t>
      </w:r>
      <w:r>
        <w:rPr>
          <w:sz w:val="15"/>
          <w:szCs w:val="15"/>
          <w:spacing w:val="-1"/>
        </w:rPr>
        <w:t>ter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pylori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infection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long-term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</w:rPr>
        <w:t>risk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peptic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ulc</w:t>
      </w:r>
      <w:r>
        <w:rPr>
          <w:sz w:val="15"/>
          <w:szCs w:val="15"/>
          <w:spacing w:val="-1"/>
        </w:rPr>
        <w:t>er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bleeding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low-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dose           aspirin            users[J].Gastroenterology,2013,144</w:t>
      </w:r>
      <w:r>
        <w:rPr>
          <w:sz w:val="15"/>
          <w:szCs w:val="15"/>
          <w:spacing w:val="-1"/>
        </w:rPr>
        <w:t>(3):528-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535.DOI:10.1053/j.gastro.2012.12.038.</w:t>
      </w:r>
    </w:p>
    <w:p>
      <w:pPr>
        <w:pStyle w:val="BodyText"/>
        <w:ind w:left="440" w:right="24" w:hanging="440"/>
        <w:spacing w:before="131" w:line="324" w:lineRule="auto"/>
        <w:rPr>
          <w:sz w:val="15"/>
          <w:szCs w:val="15"/>
        </w:rPr>
      </w:pPr>
      <w:r>
        <w:rPr>
          <w:sz w:val="15"/>
          <w:szCs w:val="15"/>
        </w:rPr>
        <w:t>[157]Joo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</w:rPr>
        <w:t>MK,Park    CH,</w:t>
      </w:r>
      <w:r>
        <w:rPr>
          <w:sz w:val="15"/>
          <w:szCs w:val="15"/>
          <w:spacing w:val="-1"/>
        </w:rPr>
        <w:t>Kim</w:t>
      </w:r>
      <w:r>
        <w:rPr>
          <w:sz w:val="15"/>
          <w:szCs w:val="15"/>
          <w:spacing w:val="11"/>
          <w:w w:val="102"/>
        </w:rPr>
        <w:t xml:space="preserve">   </w:t>
      </w:r>
      <w:r>
        <w:rPr>
          <w:sz w:val="15"/>
          <w:szCs w:val="15"/>
          <w:spacing w:val="-1"/>
        </w:rPr>
        <w:t>JS,et    al.Clinical    guidelines    for    drug-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related    peptic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</w:rPr>
        <w:t>ulcer,2020     revsed    edition[J].Gut     Liv</w:t>
      </w:r>
      <w:r>
        <w:rPr>
          <w:sz w:val="15"/>
          <w:szCs w:val="15"/>
          <w:spacing w:val="-1"/>
        </w:rPr>
        <w:t>er,2020,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14(6):707-726.DOI:10.5009/</w:t>
      </w:r>
      <w:r>
        <w:rPr>
          <w:sz w:val="15"/>
          <w:szCs w:val="15"/>
          <w:spacing w:val="-1"/>
        </w:rPr>
        <w:t>gnl20246.</w:t>
      </w:r>
    </w:p>
    <w:p>
      <w:pPr>
        <w:pStyle w:val="BodyText"/>
        <w:ind w:left="440" w:right="11" w:hanging="440"/>
        <w:spacing w:before="120" w:line="353" w:lineRule="auto"/>
        <w:rPr>
          <w:sz w:val="15"/>
          <w:szCs w:val="15"/>
        </w:rPr>
      </w:pPr>
      <w:r>
        <w:rPr>
          <w:sz w:val="15"/>
          <w:szCs w:val="15"/>
        </w:rPr>
        <w:t>[158]Abraham    NS,Hlatky     MA,Antman     EM,et </w:t>
      </w:r>
      <w:r>
        <w:rPr>
          <w:sz w:val="15"/>
          <w:szCs w:val="15"/>
          <w:spacing w:val="-1"/>
        </w:rPr>
        <w:t xml:space="preserve">    al.ACCF/ACG/AHA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2010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expert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consensus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document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concom</w:t>
      </w:r>
      <w:r>
        <w:rPr>
          <w:sz w:val="15"/>
          <w:szCs w:val="15"/>
          <w:spacing w:val="-1"/>
        </w:rPr>
        <w:t>itant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use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of proton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pump   inhibitors   and   thienopyridines:a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focused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</w:rPr>
        <w:t>update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of   the </w:t>
      </w:r>
      <w:r>
        <w:rPr>
          <w:sz w:val="15"/>
          <w:szCs w:val="15"/>
        </w:rPr>
        <w:t>ACCF/ACG/AHA  2008  expert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consensus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document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reducing  </w:t>
      </w:r>
      <w:r>
        <w:rPr>
          <w:sz w:val="15"/>
          <w:szCs w:val="15"/>
        </w:rPr>
        <w:t>the  gastrointestinal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risks  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antiplatelet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therapy  an</w:t>
      </w:r>
      <w:r>
        <w:rPr>
          <w:sz w:val="15"/>
          <w:szCs w:val="15"/>
          <w:spacing w:val="-1"/>
        </w:rPr>
        <w:t>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NSAID  use:a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report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American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</w:rPr>
        <w:t>College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Cardiology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Foundation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Task  </w:t>
      </w:r>
      <w:r>
        <w:rPr>
          <w:sz w:val="15"/>
          <w:szCs w:val="15"/>
        </w:rPr>
        <w:t>Force    on    expert    consensus    documents[J].</w:t>
      </w:r>
      <w:r>
        <w:rPr>
          <w:sz w:val="15"/>
          <w:szCs w:val="15"/>
          <w:spacing w:val="-1"/>
        </w:rPr>
        <w:t>Circulation,2010,122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(24):2619-2633.DOI:10.1161/CIR.0b013e318202f701.</w:t>
      </w:r>
    </w:p>
    <w:p>
      <w:pPr>
        <w:pStyle w:val="BodyText"/>
        <w:ind w:left="440" w:right="26" w:hanging="440"/>
        <w:spacing w:before="133" w:line="340" w:lineRule="auto"/>
        <w:rPr>
          <w:sz w:val="15"/>
          <w:szCs w:val="15"/>
        </w:rPr>
      </w:pPr>
      <w:r>
        <w:rPr>
          <w:sz w:val="15"/>
          <w:szCs w:val="15"/>
        </w:rPr>
        <w:t>[159]Sung     JJ,Lau     JY,Ching     JY,et     al.Continuation</w:t>
      </w:r>
      <w:r>
        <w:rPr>
          <w:sz w:val="15"/>
          <w:szCs w:val="15"/>
          <w:spacing w:val="-1"/>
        </w:rPr>
        <w:t xml:space="preserve">     of     low-dose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aspirin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</w:rPr>
        <w:t>therapy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peptic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ulcer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</w:rPr>
        <w:t>bleeding:a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</w:rPr>
        <w:t>ra</w:t>
      </w:r>
      <w:r>
        <w:rPr>
          <w:sz w:val="15"/>
          <w:szCs w:val="15"/>
          <w:spacing w:val="-1"/>
        </w:rPr>
        <w:t>ndomized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trial[J].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Ann         Intern         Med,2010,152(1):1-9.DOI:10.7326/0003-4819-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152-1-201001050-00179.</w:t>
      </w:r>
    </w:p>
    <w:p>
      <w:pPr>
        <w:pStyle w:val="BodyText"/>
        <w:ind w:left="440" w:right="24" w:hanging="440"/>
        <w:spacing w:before="122" w:line="339" w:lineRule="auto"/>
        <w:rPr>
          <w:sz w:val="15"/>
          <w:szCs w:val="15"/>
        </w:rPr>
      </w:pPr>
      <w:r>
        <w:rPr>
          <w:sz w:val="15"/>
          <w:szCs w:val="15"/>
        </w:rPr>
        <w:t>[160]Sakurai     Y,Shiino      M,HoriiS,et      al.Pharmacokinetic     drug</w:t>
      </w:r>
      <w:r>
        <w:rPr>
          <w:sz w:val="15"/>
          <w:szCs w:val="15"/>
          <w:spacing w:val="-1"/>
        </w:rPr>
        <w:t>-drug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interactions    between    vonoprazan     and    low-dose     aspirin </w:t>
      </w:r>
      <w:r>
        <w:rPr>
          <w:sz w:val="15"/>
          <w:szCs w:val="15"/>
          <w:spacing w:val="-1"/>
        </w:rPr>
        <w:t xml:space="preserve">   or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nonsteroidal     anti-inflammatory     drugs:a      phase     2,o</w:t>
      </w:r>
      <w:r>
        <w:rPr>
          <w:sz w:val="15"/>
          <w:szCs w:val="15"/>
          <w:spacing w:val="-1"/>
        </w:rPr>
        <w:t>pen-label,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study    in    healthy    Japanese    men[J].Clin    Dru</w:t>
      </w:r>
      <w:r>
        <w:rPr>
          <w:sz w:val="15"/>
          <w:szCs w:val="15"/>
          <w:spacing w:val="-1"/>
        </w:rPr>
        <w:t>g    Investig,2017,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37(1):3949.DOI:10.1007/s40261-016-0455-2.</w:t>
      </w:r>
    </w:p>
    <w:p>
      <w:pPr>
        <w:pStyle w:val="BodyText"/>
        <w:ind w:left="440" w:right="29" w:hanging="440"/>
        <w:spacing w:before="151" w:line="330" w:lineRule="auto"/>
        <w:rPr>
          <w:sz w:val="15"/>
          <w:szCs w:val="15"/>
        </w:rPr>
      </w:pPr>
      <w:r>
        <w:rPr>
          <w:sz w:val="15"/>
          <w:szCs w:val="15"/>
        </w:rPr>
        <w:t>[161]Wan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</w:rPr>
        <w:t>JJ,Fei    SJ,Lv    SX,et    al.Role    of   gastroscopic</w:t>
      </w:r>
      <w:r>
        <w:rPr>
          <w:sz w:val="15"/>
          <w:szCs w:val="15"/>
          <w:spacing w:val="-1"/>
        </w:rPr>
        <w:t xml:space="preserve">    biopsy  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gastric  ulcer  margins  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healed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sites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diagnosis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of  early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gastric   cancer:a   clinical   controlled   study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</w:rPr>
        <w:t>o</w:t>
      </w:r>
      <w:r>
        <w:rPr>
          <w:sz w:val="15"/>
          <w:szCs w:val="15"/>
          <w:spacing w:val="-1"/>
        </w:rPr>
        <w:t>f513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-1"/>
        </w:rPr>
        <w:t>cases[J].Oncol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Lett,2018,16(4):4211-4218.DOI:10.3892/ol.2018.9156.</w:t>
      </w:r>
    </w:p>
    <w:p>
      <w:pPr>
        <w:ind w:left="2660"/>
        <w:spacing w:before="126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(收稿日期：2023-01-15)</w:t>
      </w:r>
    </w:p>
    <w:p>
      <w:pPr>
        <w:ind w:left="2700"/>
        <w:spacing w:before="91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0"/>
        </w:rPr>
        <w:t>(本文编辑：许海燕)</w:t>
      </w:r>
    </w:p>
    <w:p>
      <w:pPr>
        <w:spacing w:line="219" w:lineRule="auto"/>
        <w:sectPr>
          <w:type w:val="continuous"/>
          <w:pgSz w:w="10720" w:h="15880"/>
          <w:pgMar w:top="818" w:right="537" w:bottom="0" w:left="363" w:header="510" w:footer="0" w:gutter="0"/>
          <w:cols w:equalWidth="0" w:num="2">
            <w:col w:w="5077" w:space="100"/>
            <w:col w:w="4643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before="107" w:line="219" w:lineRule="auto"/>
        <w:jc w:val="right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41"/>
        </w:rPr>
        <w:t>·</w:t>
      </w:r>
      <w:r>
        <w:rPr>
          <w:rFonts w:ascii="SimSun" w:hAnsi="SimSun" w:eastAsia="SimSun" w:cs="SimSun"/>
          <w:sz w:val="33"/>
          <w:szCs w:val="33"/>
          <w:spacing w:val="-11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1"/>
        </w:rPr>
        <w:t>读者 ·</w:t>
      </w:r>
      <w:r>
        <w:rPr>
          <w:rFonts w:ascii="SimSun" w:hAnsi="SimSun" w:eastAsia="SimSun" w:cs="SimSun"/>
          <w:sz w:val="33"/>
          <w:szCs w:val="33"/>
          <w:spacing w:val="-12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1"/>
        </w:rPr>
        <w:t>作者 ·</w:t>
      </w:r>
      <w:r>
        <w:rPr>
          <w:rFonts w:ascii="SimSun" w:hAnsi="SimSun" w:eastAsia="SimSun" w:cs="SimSun"/>
          <w:sz w:val="33"/>
          <w:szCs w:val="33"/>
          <w:spacing w:val="-122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1"/>
        </w:rPr>
        <w:t>编者</w:t>
      </w:r>
      <w:r>
        <w:rPr>
          <w:rFonts w:ascii="SimSun" w:hAnsi="SimSun" w:eastAsia="SimSun" w:cs="SimSun"/>
          <w:sz w:val="33"/>
          <w:szCs w:val="33"/>
          <w:spacing w:val="-10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1"/>
        </w:rPr>
        <w:t>·</w:t>
      </w:r>
    </w:p>
    <w:p>
      <w:pPr>
        <w:spacing w:before="40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2"/>
        </w:rPr>
        <w:t>《中华消化杂志》2023年第3期继教论坛答题说明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135" w:firstLine="380"/>
        <w:spacing w:before="49" w:line="339" w:lineRule="auto"/>
        <w:jc w:val="both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7"/>
        </w:rPr>
        <w:t>经全国继续医学教育委员会批准，本刊开设继教</w:t>
      </w:r>
      <w:r>
        <w:rPr>
          <w:rFonts w:ascii="SimSun" w:hAnsi="SimSun" w:eastAsia="SimSun" w:cs="SimSun"/>
          <w:sz w:val="15"/>
          <w:szCs w:val="15"/>
          <w:spacing w:val="26"/>
        </w:rPr>
        <w:t>专栏，完成1篇继教专栏论文文末答题可获得Ⅱ类学分0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6"/>
        </w:rPr>
        <w:t>.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6"/>
        </w:rPr>
        <w:t>5分，全年共刊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8"/>
        </w:rPr>
        <w:t>登10篇，最多可获得Ⅱ类学分5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8"/>
        </w:rPr>
        <w:t>.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8"/>
        </w:rPr>
        <w:t>0分。完成本期2篇继教论坛题目回答，可获得Ⅱ类学分1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8"/>
        </w:rPr>
        <w:t>.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8"/>
        </w:rPr>
        <w:t>0分，需通过扫描二维码完成答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7"/>
        </w:rPr>
        <w:t>题。纸刊用户可通过本期宣传插页获取答题二维码，其他用户可发送邮件至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</w:rPr>
        <w:t>zhangiingtcm</w:t>
      </w:r>
      <w:r>
        <w:rPr>
          <w:sz w:val="15"/>
          <w:szCs w:val="15"/>
          <w:spacing w:val="17"/>
        </w:rPr>
        <w:t>@163.</w:t>
      </w:r>
      <w:r>
        <w:rPr>
          <w:sz w:val="15"/>
          <w:szCs w:val="15"/>
        </w:rPr>
        <w:t>com</w:t>
      </w:r>
      <w:r>
        <w:rPr>
          <w:sz w:val="15"/>
          <w:szCs w:val="15"/>
          <w:spacing w:val="17"/>
        </w:rPr>
        <w:t xml:space="preserve">        </w:t>
      </w:r>
      <w:r>
        <w:rPr>
          <w:rFonts w:ascii="SimSun" w:hAnsi="SimSun" w:eastAsia="SimSun" w:cs="SimSun"/>
          <w:sz w:val="15"/>
          <w:szCs w:val="15"/>
          <w:spacing w:val="17"/>
        </w:rPr>
        <w:t>获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7"/>
        </w:rPr>
        <w:t>悉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7"/>
        </w:rPr>
        <w:t>答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7"/>
        </w:rPr>
        <w:t>题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7"/>
        </w:rPr>
        <w:t>二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7"/>
        </w:rPr>
        <w:t>维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6"/>
        </w:rPr>
        <w:t>码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6"/>
        </w:rPr>
        <w:t>获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6"/>
        </w:rPr>
        <w:t>取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6"/>
        </w:rPr>
        <w:t>方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式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，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每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个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答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题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二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维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码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仅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限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使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用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1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次</w:t>
      </w:r>
      <w:r>
        <w:rPr>
          <w:rFonts w:ascii="SimSun" w:hAnsi="SimSun" w:eastAsia="SimSun" w:cs="SimSun"/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。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本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期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共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刊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登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2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篇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继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教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论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坛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论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文</w:t>
      </w:r>
      <w:r>
        <w:rPr>
          <w:rFonts w:ascii="SimSun" w:hAnsi="SimSun" w:eastAsia="SimSun" w:cs="SimSun"/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。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答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案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如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下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：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《 自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身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免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疫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性 胃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炎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临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床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诊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断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值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得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重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视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与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认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识的问题》(正确答案：1.</w:t>
      </w:r>
      <w:r>
        <w:rPr>
          <w:sz w:val="15"/>
          <w:szCs w:val="15"/>
          <w:spacing w:val="-1"/>
        </w:rPr>
        <w:t>D;2.D;3.C;4.B;5.C)</w:t>
      </w:r>
      <w:r>
        <w:rPr>
          <w:rFonts w:ascii="SimSun" w:hAnsi="SimSun" w:eastAsia="SimSun" w:cs="SimSun"/>
          <w:sz w:val="15"/>
          <w:szCs w:val="15"/>
          <w:spacing w:val="-1"/>
        </w:rPr>
        <w:t>。《</w:t>
      </w:r>
      <w:r>
        <w:rPr>
          <w:sz w:val="15"/>
          <w:szCs w:val="15"/>
          <w:spacing w:val="-1"/>
        </w:rPr>
        <w:t>T                    </w:t>
      </w:r>
      <w:r>
        <w:rPr>
          <w:rFonts w:ascii="SimSun" w:hAnsi="SimSun" w:eastAsia="SimSun" w:cs="SimSun"/>
          <w:sz w:val="15"/>
          <w:szCs w:val="15"/>
          <w:spacing w:val="-1"/>
        </w:rPr>
        <w:t>细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胞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组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库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技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术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在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炎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症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性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肠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病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研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究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中</w:t>
      </w:r>
      <w:r>
        <w:rPr>
          <w:rFonts w:ascii="SimSun" w:hAnsi="SimSun" w:eastAsia="SimSun" w:cs="SimSun"/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的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应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用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》 (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正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确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答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案</w:t>
      </w:r>
      <w:r>
        <w:rPr>
          <w:rFonts w:ascii="SimSun" w:hAnsi="SimSun" w:eastAsia="SimSun" w:cs="SimSun"/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：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1</w:t>
      </w:r>
      <w:r>
        <w:rPr>
          <w:rFonts w:ascii="SimSun" w:hAnsi="SimSun" w:eastAsia="SimSun" w:cs="SimSun"/>
          <w:sz w:val="15"/>
          <w:szCs w:val="15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.</w:t>
      </w:r>
      <w:r>
        <w:rPr>
          <w:sz w:val="15"/>
          <w:szCs w:val="15"/>
          <w:spacing w:val="-2"/>
        </w:rPr>
        <w:t>C;2.D;</w:t>
      </w:r>
    </w:p>
    <w:p>
      <w:pPr>
        <w:pStyle w:val="BodyText"/>
        <w:ind w:left="135"/>
        <w:spacing w:before="5" w:line="183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"/>
        </w:rPr>
        <w:t>3.B;4.D;5.A)</w:t>
      </w:r>
      <w:r>
        <w:rPr>
          <w:rFonts w:ascii="SimSun" w:hAnsi="SimSun" w:eastAsia="SimSun" w:cs="SimSun"/>
          <w:sz w:val="20"/>
          <w:szCs w:val="20"/>
          <w:spacing w:val="-1"/>
        </w:rPr>
        <w:t>。</w:t>
      </w:r>
    </w:p>
    <w:p>
      <w:pPr>
        <w:ind w:left="7871"/>
        <w:spacing w:before="119" w:line="192" w:lineRule="auto"/>
        <w:rPr>
          <w:rFonts w:ascii="KaiTi" w:hAnsi="KaiTi" w:eastAsia="KaiTi" w:cs="KaiTi"/>
          <w:sz w:val="15"/>
          <w:szCs w:val="15"/>
        </w:rPr>
      </w:pPr>
      <w:r>
        <w:rPr>
          <w:rFonts w:ascii="KaiTi" w:hAnsi="KaiTi" w:eastAsia="KaiTi" w:cs="KaiTi"/>
          <w:sz w:val="15"/>
          <w:szCs w:val="15"/>
          <w:spacing w:val="24"/>
        </w:rPr>
        <w:t>《中华消化杂志》编辑部</w:t>
      </w:r>
    </w:p>
    <w:sectPr>
      <w:type w:val="continuous"/>
      <w:pgSz w:w="10720" w:h="15880"/>
      <w:pgMar w:top="818" w:right="537" w:bottom="0" w:left="363" w:header="510" w:footer="0" w:gutter="0"/>
      <w:cols w:equalWidth="0" w:num="1">
        <w:col w:w="981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"/>
      <w:spacing w:before="31" w:line="190" w:lineRule="auto"/>
      <w:rPr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8"/>
        <w:position w:val="-6"/>
      </w:rPr>
      <w:t>— </w:t>
    </w:r>
    <w:r>
      <w:rPr>
        <w:sz w:val="20"/>
        <w:szCs w:val="20"/>
        <w:spacing w:val="-8"/>
        <w:position w:val="-6"/>
      </w:rPr>
      <w:t>180</w:t>
    </w:r>
    <w:r>
      <w:rPr>
        <w:sz w:val="20"/>
        <w:szCs w:val="20"/>
        <w:u w:val="dotted" w:color="auto"/>
        <w:spacing w:val="-8"/>
        <w:position w:val="-6"/>
      </w:rPr>
      <w:t xml:space="preserve">    </w:t>
    </w:r>
    <w:r>
      <w:rPr>
        <w:sz w:val="20"/>
        <w:szCs w:val="20"/>
        <w:position w:val="-6"/>
      </w:rPr>
      <w:t xml:space="preserve">                                                               </w:t>
    </w:r>
    <w:r>
      <w:rPr>
        <w:rFonts w:ascii="SimSun" w:hAnsi="SimSun" w:eastAsia="SimSun" w:cs="SimSun"/>
        <w:sz w:val="20"/>
        <w:szCs w:val="20"/>
        <w:u w:val="single" w:color="auto"/>
        <w:spacing w:val="-68"/>
      </w:rPr>
      <w:t xml:space="preserve"> </w:t>
    </w:r>
    <w:r>
      <w:rPr>
        <w:rFonts w:ascii="SimSun" w:hAnsi="SimSun" w:eastAsia="SimSun" w:cs="SimSun"/>
        <w:sz w:val="20"/>
        <w:szCs w:val="20"/>
        <w:u w:val="single" w:color="auto"/>
        <w:spacing w:val="-8"/>
      </w:rPr>
      <w:t>中华消化杂志</w:t>
    </w:r>
    <w:r>
      <w:rPr>
        <w:sz w:val="20"/>
        <w:szCs w:val="20"/>
        <w:u w:val="single" w:color="auto"/>
        <w:spacing w:val="-8"/>
      </w:rPr>
      <w:t>2023</w:t>
    </w:r>
    <w:r>
      <w:rPr>
        <w:rFonts w:ascii="SimSun" w:hAnsi="SimSun" w:eastAsia="SimSun" w:cs="SimSun"/>
        <w:sz w:val="20"/>
        <w:szCs w:val="20"/>
        <w:u w:val="single" w:color="auto"/>
        <w:spacing w:val="-8"/>
      </w:rPr>
      <w:t>年</w:t>
    </w:r>
    <w:r>
      <w:rPr>
        <w:sz w:val="20"/>
        <w:szCs w:val="20"/>
        <w:u w:val="single" w:color="auto"/>
        <w:spacing w:val="-8"/>
      </w:rPr>
      <w:t>3</w:t>
    </w:r>
    <w:r>
      <w:rPr>
        <w:rFonts w:ascii="SimSun" w:hAnsi="SimSun" w:eastAsia="SimSun" w:cs="SimSun"/>
        <w:sz w:val="20"/>
        <w:szCs w:val="20"/>
        <w:u w:val="single" w:color="auto"/>
        <w:spacing w:val="-8"/>
      </w:rPr>
      <w:t>月第</w:t>
    </w:r>
    <w:r>
      <w:rPr>
        <w:sz w:val="20"/>
        <w:szCs w:val="20"/>
        <w:u w:val="single" w:color="auto"/>
        <w:spacing w:val="-8"/>
      </w:rPr>
      <w:t>43</w:t>
    </w:r>
    <w:r>
      <w:rPr>
        <w:rFonts w:ascii="SimSun" w:hAnsi="SimSun" w:eastAsia="SimSun" w:cs="SimSun"/>
        <w:sz w:val="20"/>
        <w:szCs w:val="20"/>
        <w:u w:val="single" w:color="auto"/>
        <w:spacing w:val="-8"/>
      </w:rPr>
      <w:t>卷第</w:t>
    </w:r>
    <w:r>
      <w:rPr>
        <w:sz w:val="20"/>
        <w:szCs w:val="20"/>
        <w:u w:val="single" w:color="auto"/>
        <w:spacing w:val="-8"/>
      </w:rPr>
      <w:t>3</w:t>
    </w:r>
    <w:r>
      <w:rPr>
        <w:rFonts w:ascii="SimSun" w:hAnsi="SimSun" w:eastAsia="SimSun" w:cs="SimSun"/>
        <w:sz w:val="20"/>
        <w:szCs w:val="20"/>
        <w:u w:val="single" w:color="auto"/>
        <w:spacing w:val="-8"/>
      </w:rPr>
      <w:t>期</w:t>
    </w:r>
    <w:r>
      <w:rPr>
        <w:sz w:val="20"/>
        <w:szCs w:val="20"/>
        <w:u w:val="single" w:color="auto"/>
        <w:spacing w:val="-8"/>
      </w:rPr>
      <w:t>Chin JDig,March 2023,Vol.4</w:t>
    </w:r>
    <w:r>
      <w:rPr>
        <w:sz w:val="20"/>
        <w:szCs w:val="20"/>
        <w:u w:val="single" w:color="auto"/>
        <w:spacing w:val="-9"/>
      </w:rPr>
      <w:t>3,No.3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1" w:line="204" w:lineRule="auto"/>
      <w:rPr>
        <w:sz w:val="20"/>
        <w:szCs w:val="20"/>
      </w:rPr>
    </w:pPr>
    <w:r>
      <w:rPr>
        <w:rFonts w:ascii="SimSun" w:hAnsi="SimSun" w:eastAsia="SimSun" w:cs="SimSun"/>
        <w:sz w:val="20"/>
        <w:szCs w:val="20"/>
        <w:u w:val="single" w:color="auto"/>
        <w:spacing w:val="-9"/>
      </w:rPr>
      <w:t>中华消化杂志</w:t>
    </w:r>
    <w:r>
      <w:rPr>
        <w:sz w:val="20"/>
        <w:szCs w:val="20"/>
        <w:u w:val="single" w:color="auto"/>
        <w:spacing w:val="-9"/>
      </w:rPr>
      <w:t>2023</w:t>
    </w:r>
    <w:r>
      <w:rPr>
        <w:rFonts w:ascii="SimSun" w:hAnsi="SimSun" w:eastAsia="SimSun" w:cs="SimSun"/>
        <w:sz w:val="20"/>
        <w:szCs w:val="20"/>
        <w:u w:val="single" w:color="auto"/>
        <w:spacing w:val="-9"/>
      </w:rPr>
      <w:t>年</w:t>
    </w:r>
    <w:r>
      <w:rPr>
        <w:sz w:val="20"/>
        <w:szCs w:val="20"/>
        <w:u w:val="single" w:color="auto"/>
        <w:spacing w:val="-9"/>
      </w:rPr>
      <w:t>3</w:t>
    </w:r>
    <w:r>
      <w:rPr>
        <w:rFonts w:ascii="SimSun" w:hAnsi="SimSun" w:eastAsia="SimSun" w:cs="SimSun"/>
        <w:sz w:val="20"/>
        <w:szCs w:val="20"/>
        <w:u w:val="single" w:color="auto"/>
        <w:spacing w:val="-9"/>
      </w:rPr>
      <w:t>月第</w:t>
    </w:r>
    <w:r>
      <w:rPr>
        <w:sz w:val="20"/>
        <w:szCs w:val="20"/>
        <w:u w:val="single" w:color="auto"/>
        <w:spacing w:val="-9"/>
      </w:rPr>
      <w:t>43</w:t>
    </w:r>
    <w:r>
      <w:rPr>
        <w:rFonts w:ascii="SimSun" w:hAnsi="SimSun" w:eastAsia="SimSun" w:cs="SimSun"/>
        <w:sz w:val="20"/>
        <w:szCs w:val="20"/>
        <w:u w:val="single" w:color="auto"/>
        <w:spacing w:val="-9"/>
      </w:rPr>
      <w:t>卷第</w:t>
    </w:r>
    <w:r>
      <w:rPr>
        <w:sz w:val="20"/>
        <w:szCs w:val="20"/>
        <w:u w:val="single" w:color="auto"/>
        <w:spacing w:val="-9"/>
      </w:rPr>
      <w:t>3</w:t>
    </w:r>
    <w:r>
      <w:rPr>
        <w:rFonts w:ascii="SimSun" w:hAnsi="SimSun" w:eastAsia="SimSun" w:cs="SimSun"/>
        <w:sz w:val="20"/>
        <w:szCs w:val="20"/>
        <w:u w:val="single" w:color="auto"/>
        <w:spacing w:val="-9"/>
      </w:rPr>
      <w:t>期</w:t>
    </w:r>
    <w:r>
      <w:rPr>
        <w:sz w:val="20"/>
        <w:szCs w:val="20"/>
        <w:u w:val="single" w:color="auto"/>
        <w:spacing w:val="-9"/>
      </w:rPr>
      <w:t>Chin J Dig,March 2023,Vol.43,</w:t>
    </w:r>
    <w:r>
      <w:rPr>
        <w:sz w:val="20"/>
        <w:szCs w:val="20"/>
        <w:u w:val="single" w:color="auto"/>
        <w:spacing w:val="-10"/>
      </w:rPr>
      <w:t>No.3</w:t>
    </w:r>
    <w:r>
      <w:rPr>
        <w:sz w:val="20"/>
        <w:szCs w:val="20"/>
      </w:rPr>
      <w:t xml:space="preserve">                                                              </w:t>
    </w:r>
    <w:r>
      <w:rPr>
        <w:sz w:val="20"/>
        <w:szCs w:val="20"/>
        <w:u w:val="dotted" w:color="auto"/>
        <w:spacing w:val="4"/>
      </w:rPr>
      <w:t xml:space="preserve">    </w:t>
    </w:r>
    <w:r>
      <w:rPr>
        <w:sz w:val="20"/>
        <w:szCs w:val="20"/>
        <w:spacing w:val="-26"/>
      </w:rPr>
      <w:t xml:space="preserve"> </w:t>
    </w:r>
    <w:r>
      <w:rPr>
        <w:sz w:val="20"/>
        <w:szCs w:val="20"/>
        <w:spacing w:val="-10"/>
        <w:position w:val="-6"/>
      </w:rPr>
      <w:t>185</w:t>
    </w:r>
    <w:r>
      <w:rPr>
        <w:sz w:val="20"/>
        <w:szCs w:val="20"/>
        <w:u w:val="dotted" w:color="auto"/>
        <w:spacing w:val="-10"/>
        <w:position w:val="-6"/>
      </w:rPr>
      <w:t xml:space="preserve">     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"/>
      <w:spacing w:before="58" w:line="226" w:lineRule="auto"/>
      <w:tabs>
        <w:tab w:val="left" w:pos="292"/>
      </w:tabs>
      <w:rPr>
        <w:sz w:val="15"/>
        <w:szCs w:val="15"/>
      </w:rPr>
    </w:pPr>
    <w:r>
      <w:rPr>
        <w:sz w:val="20"/>
        <w:szCs w:val="20"/>
        <w:b/>
        <w:bCs/>
        <w:u w:val="dotted" w:color="auto"/>
        <w:position w:val="-5"/>
      </w:rPr>
      <w:tab/>
    </w:r>
    <w:r>
      <w:rPr>
        <w:sz w:val="20"/>
        <w:szCs w:val="20"/>
        <w:b/>
        <w:bCs/>
        <w:spacing w:val="-36"/>
        <w:position w:val="-5"/>
      </w:rPr>
      <w:t xml:space="preserve"> </w:t>
    </w:r>
    <w:r>
      <w:rPr>
        <w:sz w:val="20"/>
        <w:szCs w:val="20"/>
        <w:b/>
        <w:bCs/>
        <w:spacing w:val="17"/>
        <w:position w:val="-5"/>
      </w:rPr>
      <w:t>188</w:t>
    </w:r>
    <w:r>
      <w:rPr>
        <w:sz w:val="20"/>
        <w:szCs w:val="20"/>
        <w:b/>
        <w:bCs/>
        <w:u w:val="dotted" w:color="auto"/>
        <w:spacing w:val="17"/>
        <w:position w:val="-5"/>
      </w:rPr>
      <w:t xml:space="preserve">   </w:t>
    </w:r>
    <w:r>
      <w:rPr>
        <w:sz w:val="20"/>
        <w:szCs w:val="20"/>
        <w:b/>
        <w:bCs/>
        <w:position w:val="-5"/>
      </w:rPr>
      <w:t xml:space="preserve">                                                                </w:t>
    </w:r>
    <w:r>
      <w:rPr>
        <w:rFonts w:ascii="SimSun" w:hAnsi="SimSun" w:eastAsia="SimSun" w:cs="SimSun"/>
        <w:sz w:val="15"/>
        <w:szCs w:val="15"/>
        <w:b/>
        <w:bCs/>
        <w:u w:val="single" w:color="auto"/>
        <w:spacing w:val="-39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17"/>
      </w:rPr>
      <w:t>中华消化杂志</w:t>
    </w:r>
    <w:r>
      <w:rPr>
        <w:sz w:val="15"/>
        <w:szCs w:val="15"/>
        <w:u w:val="single" w:color="auto"/>
        <w:spacing w:val="17"/>
      </w:rPr>
      <w:t>2023</w:t>
    </w:r>
    <w:r>
      <w:rPr>
        <w:rFonts w:ascii="SimSun" w:hAnsi="SimSun" w:eastAsia="SimSun" w:cs="SimSun"/>
        <w:sz w:val="15"/>
        <w:szCs w:val="15"/>
        <w:u w:val="single" w:color="auto"/>
        <w:spacing w:val="17"/>
      </w:rPr>
      <w:t>年</w:t>
    </w:r>
    <w:r>
      <w:rPr>
        <w:sz w:val="15"/>
        <w:szCs w:val="15"/>
        <w:u w:val="single" w:color="auto"/>
        <w:spacing w:val="17"/>
      </w:rPr>
      <w:t>3</w:t>
    </w:r>
    <w:r>
      <w:rPr>
        <w:rFonts w:ascii="SimSun" w:hAnsi="SimSun" w:eastAsia="SimSun" w:cs="SimSun"/>
        <w:sz w:val="15"/>
        <w:szCs w:val="15"/>
        <w:u w:val="single" w:color="auto"/>
        <w:spacing w:val="17"/>
      </w:rPr>
      <w:t>月第</w:t>
    </w:r>
    <w:r>
      <w:rPr>
        <w:sz w:val="15"/>
        <w:szCs w:val="15"/>
        <w:u w:val="single" w:color="auto"/>
        <w:spacing w:val="17"/>
      </w:rPr>
      <w:t>43</w:t>
    </w:r>
    <w:r>
      <w:rPr>
        <w:rFonts w:ascii="SimSun" w:hAnsi="SimSun" w:eastAsia="SimSun" w:cs="SimSun"/>
        <w:sz w:val="15"/>
        <w:szCs w:val="15"/>
        <w:u w:val="single" w:color="auto"/>
        <w:spacing w:val="17"/>
      </w:rPr>
      <w:t>卷第</w:t>
    </w:r>
    <w:r>
      <w:rPr>
        <w:sz w:val="15"/>
        <w:szCs w:val="15"/>
        <w:u w:val="single" w:color="auto"/>
        <w:spacing w:val="17"/>
      </w:rPr>
      <w:t>3</w:t>
    </w:r>
    <w:r>
      <w:rPr>
        <w:rFonts w:ascii="SimSun" w:hAnsi="SimSun" w:eastAsia="SimSun" w:cs="SimSun"/>
        <w:sz w:val="15"/>
        <w:szCs w:val="15"/>
        <w:u w:val="single" w:color="auto"/>
        <w:spacing w:val="17"/>
      </w:rPr>
      <w:t>期</w:t>
    </w:r>
    <w:r>
      <w:rPr>
        <w:sz w:val="15"/>
        <w:szCs w:val="15"/>
        <w:u w:val="single" w:color="auto"/>
      </w:rPr>
      <w:t>Chin</w:t>
    </w:r>
    <w:r>
      <w:rPr>
        <w:sz w:val="15"/>
        <w:szCs w:val="15"/>
        <w:u w:val="single" w:color="auto"/>
        <w:spacing w:val="17"/>
      </w:rPr>
      <w:t xml:space="preserve">  </w:t>
    </w:r>
    <w:r>
      <w:rPr>
        <w:sz w:val="15"/>
        <w:szCs w:val="15"/>
        <w:u w:val="single" w:color="auto"/>
      </w:rPr>
      <w:t>JDig</w:t>
    </w:r>
    <w:r>
      <w:rPr>
        <w:sz w:val="15"/>
        <w:szCs w:val="15"/>
        <w:u w:val="single" w:color="auto"/>
        <w:spacing w:val="17"/>
      </w:rPr>
      <w:t>,</w:t>
    </w:r>
    <w:r>
      <w:rPr>
        <w:sz w:val="15"/>
        <w:szCs w:val="15"/>
        <w:u w:val="single" w:color="auto"/>
      </w:rPr>
      <w:t>March</w:t>
    </w:r>
    <w:r>
      <w:rPr>
        <w:sz w:val="15"/>
        <w:szCs w:val="15"/>
        <w:u w:val="single" w:color="auto"/>
        <w:spacing w:val="17"/>
      </w:rPr>
      <w:t xml:space="preserve">  2023,</w:t>
    </w:r>
    <w:r>
      <w:rPr>
        <w:sz w:val="15"/>
        <w:szCs w:val="15"/>
        <w:u w:val="single" w:color="auto"/>
      </w:rPr>
      <w:t>Vol</w:t>
    </w:r>
    <w:r>
      <w:rPr>
        <w:sz w:val="15"/>
        <w:szCs w:val="15"/>
        <w:u w:val="single" w:color="auto"/>
        <w:spacing w:val="-6"/>
      </w:rPr>
      <w:t xml:space="preserve"> </w:t>
    </w:r>
    <w:r>
      <w:rPr>
        <w:sz w:val="15"/>
        <w:szCs w:val="15"/>
        <w:u w:val="single" w:color="auto"/>
        <w:spacing w:val="17"/>
      </w:rPr>
      <w:t>.</w:t>
    </w:r>
    <w:r>
      <w:rPr>
        <w:sz w:val="15"/>
        <w:szCs w:val="15"/>
        <w:u w:val="single" w:color="auto"/>
        <w:spacing w:val="-14"/>
      </w:rPr>
      <w:t xml:space="preserve"> </w:t>
    </w:r>
    <w:r>
      <w:rPr>
        <w:sz w:val="15"/>
        <w:szCs w:val="15"/>
        <w:u w:val="single" w:color="auto"/>
        <w:spacing w:val="17"/>
      </w:rPr>
      <w:t>43,</w:t>
    </w:r>
    <w:r>
      <w:rPr>
        <w:sz w:val="15"/>
        <w:szCs w:val="15"/>
        <w:u w:val="single" w:color="auto"/>
      </w:rPr>
      <w:t>No</w:t>
    </w:r>
    <w:r>
      <w:rPr>
        <w:sz w:val="15"/>
        <w:szCs w:val="15"/>
        <w:u w:val="single" w:color="auto"/>
        <w:spacing w:val="-6"/>
      </w:rPr>
      <w:t xml:space="preserve"> </w:t>
    </w:r>
    <w:r>
      <w:rPr>
        <w:sz w:val="15"/>
        <w:szCs w:val="15"/>
        <w:u w:val="single" w:color="auto"/>
        <w:spacing w:val="17"/>
      </w:rPr>
      <w:t>.</w:t>
    </w:r>
    <w:r>
      <w:rPr>
        <w:sz w:val="15"/>
        <w:szCs w:val="15"/>
        <w:u w:val="single" w:color="auto"/>
        <w:spacing w:val="-10"/>
      </w:rPr>
      <w:t xml:space="preserve"> </w:t>
    </w:r>
    <w:r>
      <w:rPr>
        <w:sz w:val="15"/>
        <w:szCs w:val="15"/>
        <w:u w:val="single" w:color="auto"/>
        <w:spacing w:val="17"/>
      </w:rPr>
      <w:t>3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8" w:line="221" w:lineRule="auto"/>
      <w:rPr>
        <w:sz w:val="20"/>
        <w:szCs w:val="20"/>
      </w:rPr>
    </w:pPr>
    <w:r>
      <w:rPr>
        <w:rFonts w:ascii="SimSun" w:hAnsi="SimSun" w:eastAsia="SimSun" w:cs="SimSun"/>
        <w:sz w:val="15"/>
        <w:szCs w:val="15"/>
        <w:u w:val="single" w:color="auto"/>
        <w:spacing w:val="15"/>
      </w:rPr>
      <w:t>中华消化杂志</w:t>
    </w:r>
    <w:r>
      <w:rPr>
        <w:sz w:val="15"/>
        <w:szCs w:val="15"/>
        <w:u w:val="single" w:color="auto"/>
        <w:spacing w:val="15"/>
      </w:rPr>
      <w:t>2023</w:t>
    </w:r>
    <w:r>
      <w:rPr>
        <w:rFonts w:ascii="SimSun" w:hAnsi="SimSun" w:eastAsia="SimSun" w:cs="SimSun"/>
        <w:sz w:val="15"/>
        <w:szCs w:val="15"/>
        <w:u w:val="single" w:color="auto"/>
        <w:spacing w:val="15"/>
      </w:rPr>
      <w:t>年</w:t>
    </w:r>
    <w:r>
      <w:rPr>
        <w:sz w:val="15"/>
        <w:szCs w:val="15"/>
        <w:u w:val="single" w:color="auto"/>
        <w:spacing w:val="15"/>
      </w:rPr>
      <w:t>3</w:t>
    </w:r>
    <w:r>
      <w:rPr>
        <w:rFonts w:ascii="SimSun" w:hAnsi="SimSun" w:eastAsia="SimSun" w:cs="SimSun"/>
        <w:sz w:val="15"/>
        <w:szCs w:val="15"/>
        <w:u w:val="single" w:color="auto"/>
        <w:spacing w:val="15"/>
      </w:rPr>
      <w:t>月第</w:t>
    </w:r>
    <w:r>
      <w:rPr>
        <w:sz w:val="15"/>
        <w:szCs w:val="15"/>
        <w:u w:val="single" w:color="auto"/>
        <w:spacing w:val="15"/>
      </w:rPr>
      <w:t>43</w:t>
    </w:r>
    <w:r>
      <w:rPr>
        <w:rFonts w:ascii="SimSun" w:hAnsi="SimSun" w:eastAsia="SimSun" w:cs="SimSun"/>
        <w:sz w:val="15"/>
        <w:szCs w:val="15"/>
        <w:u w:val="single" w:color="auto"/>
        <w:spacing w:val="15"/>
      </w:rPr>
      <w:t>卷第</w:t>
    </w:r>
    <w:r>
      <w:rPr>
        <w:sz w:val="15"/>
        <w:szCs w:val="15"/>
        <w:u w:val="single" w:color="auto"/>
        <w:spacing w:val="15"/>
      </w:rPr>
      <w:t>3</w:t>
    </w:r>
    <w:r>
      <w:rPr>
        <w:rFonts w:ascii="SimSun" w:hAnsi="SimSun" w:eastAsia="SimSun" w:cs="SimSun"/>
        <w:sz w:val="15"/>
        <w:szCs w:val="15"/>
        <w:u w:val="single" w:color="auto"/>
        <w:spacing w:val="15"/>
      </w:rPr>
      <w:t>期</w:t>
    </w:r>
    <w:r>
      <w:rPr>
        <w:sz w:val="15"/>
        <w:szCs w:val="15"/>
        <w:u w:val="single" w:color="auto"/>
      </w:rPr>
      <w:t>Chin</w:t>
    </w:r>
    <w:r>
      <w:rPr>
        <w:sz w:val="15"/>
        <w:szCs w:val="15"/>
        <w:u w:val="single" w:color="auto"/>
        <w:spacing w:val="3"/>
      </w:rPr>
      <w:t xml:space="preserve">  </w:t>
    </w:r>
    <w:r>
      <w:rPr>
        <w:sz w:val="15"/>
        <w:szCs w:val="15"/>
        <w:u w:val="single" w:color="auto"/>
      </w:rPr>
      <w:t>J</w:t>
    </w:r>
    <w:r>
      <w:rPr>
        <w:sz w:val="15"/>
        <w:szCs w:val="15"/>
        <w:u w:val="single" w:color="auto"/>
        <w:spacing w:val="3"/>
      </w:rPr>
      <w:t xml:space="preserve">  </w:t>
    </w:r>
    <w:r>
      <w:rPr>
        <w:sz w:val="15"/>
        <w:szCs w:val="15"/>
        <w:u w:val="single" w:color="auto"/>
      </w:rPr>
      <w:t>Dig</w:t>
    </w:r>
    <w:r>
      <w:rPr>
        <w:sz w:val="15"/>
        <w:szCs w:val="15"/>
        <w:u w:val="single" w:color="auto"/>
        <w:spacing w:val="15"/>
      </w:rPr>
      <w:t>,</w:t>
    </w:r>
    <w:r>
      <w:rPr>
        <w:sz w:val="15"/>
        <w:szCs w:val="15"/>
        <w:u w:val="single" w:color="auto"/>
      </w:rPr>
      <w:t>March</w:t>
    </w:r>
    <w:r>
      <w:rPr>
        <w:sz w:val="15"/>
        <w:szCs w:val="15"/>
        <w:u w:val="single" w:color="auto"/>
        <w:spacing w:val="3"/>
      </w:rPr>
      <w:t xml:space="preserve">  </w:t>
    </w:r>
    <w:r>
      <w:rPr>
        <w:sz w:val="15"/>
        <w:szCs w:val="15"/>
        <w:u w:val="single" w:color="auto"/>
        <w:spacing w:val="15"/>
      </w:rPr>
      <w:t>2023,</w:t>
    </w:r>
    <w:r>
      <w:rPr>
        <w:sz w:val="15"/>
        <w:szCs w:val="15"/>
        <w:u w:val="single" w:color="auto"/>
      </w:rPr>
      <w:t>Vol</w:t>
    </w:r>
    <w:r>
      <w:rPr>
        <w:sz w:val="15"/>
        <w:szCs w:val="15"/>
        <w:u w:val="single" w:color="auto"/>
        <w:spacing w:val="-7"/>
      </w:rPr>
      <w:t xml:space="preserve"> </w:t>
    </w:r>
    <w:r>
      <w:rPr>
        <w:sz w:val="15"/>
        <w:szCs w:val="15"/>
        <w:u w:val="single" w:color="auto"/>
        <w:spacing w:val="15"/>
      </w:rPr>
      <w:t>.</w:t>
    </w:r>
    <w:r>
      <w:rPr>
        <w:sz w:val="15"/>
        <w:szCs w:val="15"/>
        <w:u w:val="single" w:color="auto"/>
        <w:spacing w:val="-15"/>
      </w:rPr>
      <w:t xml:space="preserve"> </w:t>
    </w:r>
    <w:r>
      <w:rPr>
        <w:sz w:val="15"/>
        <w:szCs w:val="15"/>
        <w:u w:val="single" w:color="auto"/>
        <w:spacing w:val="15"/>
      </w:rPr>
      <w:t>4</w:t>
    </w:r>
    <w:r>
      <w:rPr>
        <w:sz w:val="15"/>
        <w:szCs w:val="15"/>
        <w:u w:val="single" w:color="auto"/>
        <w:spacing w:val="14"/>
      </w:rPr>
      <w:t>3,</w:t>
    </w:r>
    <w:r>
      <w:rPr>
        <w:sz w:val="15"/>
        <w:szCs w:val="15"/>
        <w:u w:val="single" w:color="auto"/>
      </w:rPr>
      <w:t>No</w:t>
    </w:r>
    <w:r>
      <w:rPr>
        <w:sz w:val="15"/>
        <w:szCs w:val="15"/>
        <w:u w:val="single" w:color="auto"/>
        <w:spacing w:val="-6"/>
      </w:rPr>
      <w:t xml:space="preserve"> </w:t>
    </w:r>
    <w:r>
      <w:rPr>
        <w:sz w:val="15"/>
        <w:szCs w:val="15"/>
        <w:u w:val="single" w:color="auto"/>
        <w:spacing w:val="14"/>
      </w:rPr>
      <w:t>.</w:t>
    </w:r>
    <w:r>
      <w:rPr>
        <w:sz w:val="15"/>
        <w:szCs w:val="15"/>
        <w:u w:val="single" w:color="auto"/>
        <w:spacing w:val="-11"/>
      </w:rPr>
      <w:t xml:space="preserve"> </w:t>
    </w:r>
    <w:r>
      <w:rPr>
        <w:sz w:val="15"/>
        <w:szCs w:val="15"/>
        <w:u w:val="single" w:color="auto"/>
        <w:spacing w:val="14"/>
      </w:rPr>
      <w:t>3</w:t>
    </w:r>
    <w:r>
      <w:rPr>
        <w:sz w:val="15"/>
        <w:szCs w:val="15"/>
        <w:spacing w:val="1"/>
      </w:rPr>
      <w:t xml:space="preserve">                             </w:t>
    </w:r>
    <w:r>
      <w:rPr>
        <w:sz w:val="15"/>
        <w:szCs w:val="15"/>
      </w:rPr>
      <w:t xml:space="preserve">                                                          </w:t>
    </w:r>
    <w:r>
      <w:rPr>
        <w:rFonts w:ascii="SimSun" w:hAnsi="SimSun" w:eastAsia="SimSun" w:cs="SimSun"/>
        <w:sz w:val="20"/>
        <w:szCs w:val="20"/>
        <w:b/>
        <w:bCs/>
        <w:spacing w:val="14"/>
        <w:position w:val="-5"/>
      </w:rPr>
      <w:t>—</w:t>
    </w:r>
    <w:r>
      <w:rPr>
        <w:rFonts w:ascii="SimSun" w:hAnsi="SimSun" w:eastAsia="SimSun" w:cs="SimSun"/>
        <w:sz w:val="20"/>
        <w:szCs w:val="20"/>
        <w:spacing w:val="-16"/>
        <w:position w:val="-5"/>
      </w:rPr>
      <w:t xml:space="preserve"> </w:t>
    </w:r>
    <w:r>
      <w:rPr>
        <w:sz w:val="20"/>
        <w:szCs w:val="20"/>
        <w:b/>
        <w:bCs/>
        <w:spacing w:val="14"/>
        <w:position w:val="-5"/>
      </w:rPr>
      <w:t>189</w:t>
    </w:r>
    <w:r>
      <w:rPr>
        <w:sz w:val="20"/>
        <w:szCs w:val="20"/>
        <w:b/>
        <w:bCs/>
        <w:u w:val="dotted" w:color="auto"/>
        <w:spacing w:val="14"/>
        <w:position w:val="-5"/>
      </w:rPr>
      <w:t xml:space="preserve">    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"/>
      <w:spacing w:before="58" w:line="221" w:lineRule="auto"/>
      <w:rPr>
        <w:sz w:val="15"/>
        <w:szCs w:val="15"/>
      </w:rPr>
    </w:pPr>
    <w:r>
      <w:rPr>
        <w:rFonts w:ascii="SimSun" w:hAnsi="SimSun" w:eastAsia="SimSun" w:cs="SimSun"/>
        <w:sz w:val="20"/>
        <w:szCs w:val="20"/>
        <w:b/>
        <w:bCs/>
        <w:spacing w:val="17"/>
        <w:position w:val="-5"/>
      </w:rPr>
      <w:t>—</w:t>
    </w:r>
    <w:r>
      <w:rPr>
        <w:rFonts w:ascii="SimSun" w:hAnsi="SimSun" w:eastAsia="SimSun" w:cs="SimSun"/>
        <w:sz w:val="20"/>
        <w:szCs w:val="20"/>
        <w:spacing w:val="-16"/>
        <w:position w:val="-5"/>
      </w:rPr>
      <w:t xml:space="preserve"> </w:t>
    </w:r>
    <w:r>
      <w:rPr>
        <w:sz w:val="20"/>
        <w:szCs w:val="20"/>
        <w:b/>
        <w:bCs/>
        <w:spacing w:val="17"/>
        <w:position w:val="-5"/>
      </w:rPr>
      <w:t>190</w:t>
    </w:r>
    <w:r>
      <w:rPr>
        <w:sz w:val="20"/>
        <w:szCs w:val="20"/>
        <w:b/>
        <w:bCs/>
        <w:u w:val="dotted" w:color="auto"/>
        <w:spacing w:val="17"/>
        <w:position w:val="-5"/>
      </w:rPr>
      <w:t xml:space="preserve">   </w:t>
    </w:r>
    <w:r>
      <w:rPr>
        <w:sz w:val="20"/>
        <w:szCs w:val="20"/>
        <w:b/>
        <w:bCs/>
        <w:position w:val="-5"/>
      </w:rPr>
      <w:t xml:space="preserve">                                                               </w:t>
    </w:r>
    <w:r>
      <w:rPr>
        <w:rFonts w:ascii="SimSun" w:hAnsi="SimSun" w:eastAsia="SimSun" w:cs="SimSun"/>
        <w:sz w:val="15"/>
        <w:szCs w:val="15"/>
        <w:b/>
        <w:bCs/>
        <w:u w:val="single" w:color="auto"/>
        <w:spacing w:val="-44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17"/>
      </w:rPr>
      <w:t>中华消化杂志</w:t>
    </w:r>
    <w:r>
      <w:rPr>
        <w:sz w:val="15"/>
        <w:szCs w:val="15"/>
        <w:u w:val="single" w:color="auto"/>
        <w:spacing w:val="17"/>
      </w:rPr>
      <w:t>2023</w:t>
    </w:r>
    <w:r>
      <w:rPr>
        <w:rFonts w:ascii="SimSun" w:hAnsi="SimSun" w:eastAsia="SimSun" w:cs="SimSun"/>
        <w:sz w:val="15"/>
        <w:szCs w:val="15"/>
        <w:u w:val="single" w:color="auto"/>
        <w:spacing w:val="17"/>
      </w:rPr>
      <w:t>年</w:t>
    </w:r>
    <w:r>
      <w:rPr>
        <w:sz w:val="15"/>
        <w:szCs w:val="15"/>
        <w:u w:val="single" w:color="auto"/>
        <w:spacing w:val="17"/>
      </w:rPr>
      <w:t>3</w:t>
    </w:r>
    <w:r>
      <w:rPr>
        <w:rFonts w:ascii="SimSun" w:hAnsi="SimSun" w:eastAsia="SimSun" w:cs="SimSun"/>
        <w:sz w:val="15"/>
        <w:szCs w:val="15"/>
        <w:u w:val="single" w:color="auto"/>
        <w:spacing w:val="16"/>
      </w:rPr>
      <w:t>月第</w:t>
    </w:r>
    <w:r>
      <w:rPr>
        <w:sz w:val="15"/>
        <w:szCs w:val="15"/>
        <w:u w:val="single" w:color="auto"/>
        <w:spacing w:val="16"/>
      </w:rPr>
      <w:t>43</w:t>
    </w:r>
    <w:r>
      <w:rPr>
        <w:rFonts w:ascii="SimSun" w:hAnsi="SimSun" w:eastAsia="SimSun" w:cs="SimSun"/>
        <w:sz w:val="15"/>
        <w:szCs w:val="15"/>
        <w:u w:val="single" w:color="auto"/>
        <w:spacing w:val="16"/>
      </w:rPr>
      <w:t>卷第</w:t>
    </w:r>
    <w:r>
      <w:rPr>
        <w:sz w:val="15"/>
        <w:szCs w:val="15"/>
        <w:u w:val="single" w:color="auto"/>
        <w:spacing w:val="16"/>
      </w:rPr>
      <w:t>3</w:t>
    </w:r>
    <w:r>
      <w:rPr>
        <w:rFonts w:ascii="SimSun" w:hAnsi="SimSun" w:eastAsia="SimSun" w:cs="SimSun"/>
        <w:sz w:val="15"/>
        <w:szCs w:val="15"/>
        <w:u w:val="single" w:color="auto"/>
        <w:spacing w:val="16"/>
      </w:rPr>
      <w:t>期</w:t>
    </w:r>
    <w:r>
      <w:rPr>
        <w:sz w:val="15"/>
        <w:szCs w:val="15"/>
        <w:u w:val="single" w:color="auto"/>
      </w:rPr>
      <w:t>Chin</w:t>
    </w:r>
    <w:r>
      <w:rPr>
        <w:sz w:val="15"/>
        <w:szCs w:val="15"/>
        <w:u w:val="single" w:color="auto"/>
        <w:spacing w:val="16"/>
      </w:rPr>
      <w:t xml:space="preserve">  </w:t>
    </w:r>
    <w:r>
      <w:rPr>
        <w:sz w:val="15"/>
        <w:szCs w:val="15"/>
        <w:u w:val="single" w:color="auto"/>
      </w:rPr>
      <w:t>JDig</w:t>
    </w:r>
    <w:r>
      <w:rPr>
        <w:sz w:val="15"/>
        <w:szCs w:val="15"/>
        <w:u w:val="single" w:color="auto"/>
        <w:spacing w:val="16"/>
      </w:rPr>
      <w:t>,</w:t>
    </w:r>
    <w:r>
      <w:rPr>
        <w:sz w:val="15"/>
        <w:szCs w:val="15"/>
        <w:u w:val="single" w:color="auto"/>
      </w:rPr>
      <w:t>March</w:t>
    </w:r>
    <w:r>
      <w:rPr>
        <w:sz w:val="15"/>
        <w:szCs w:val="15"/>
        <w:u w:val="single" w:color="auto"/>
        <w:spacing w:val="16"/>
      </w:rPr>
      <w:t xml:space="preserve">  2023,</w:t>
    </w:r>
    <w:r>
      <w:rPr>
        <w:sz w:val="15"/>
        <w:szCs w:val="15"/>
        <w:u w:val="single" w:color="auto"/>
      </w:rPr>
      <w:t>Vol</w:t>
    </w:r>
    <w:r>
      <w:rPr>
        <w:sz w:val="15"/>
        <w:szCs w:val="15"/>
        <w:u w:val="single" w:color="auto"/>
        <w:spacing w:val="-6"/>
      </w:rPr>
      <w:t xml:space="preserve"> </w:t>
    </w:r>
    <w:r>
      <w:rPr>
        <w:sz w:val="15"/>
        <w:szCs w:val="15"/>
        <w:u w:val="single" w:color="auto"/>
        <w:spacing w:val="16"/>
      </w:rPr>
      <w:t>.</w:t>
    </w:r>
    <w:r>
      <w:rPr>
        <w:sz w:val="15"/>
        <w:szCs w:val="15"/>
        <w:u w:val="single" w:color="auto"/>
        <w:spacing w:val="-14"/>
      </w:rPr>
      <w:t xml:space="preserve"> </w:t>
    </w:r>
    <w:r>
      <w:rPr>
        <w:sz w:val="15"/>
        <w:szCs w:val="15"/>
        <w:u w:val="single" w:color="auto"/>
        <w:spacing w:val="16"/>
      </w:rPr>
      <w:t>43,</w:t>
    </w:r>
    <w:r>
      <w:rPr>
        <w:sz w:val="15"/>
        <w:szCs w:val="15"/>
        <w:u w:val="single" w:color="auto"/>
      </w:rPr>
      <w:t>No</w:t>
    </w:r>
    <w:r>
      <w:rPr>
        <w:sz w:val="15"/>
        <w:szCs w:val="15"/>
        <w:u w:val="single" w:color="auto"/>
        <w:spacing w:val="-6"/>
      </w:rPr>
      <w:t xml:space="preserve"> </w:t>
    </w:r>
    <w:r>
      <w:rPr>
        <w:sz w:val="15"/>
        <w:szCs w:val="15"/>
        <w:u w:val="single" w:color="auto"/>
        <w:spacing w:val="16"/>
      </w:rPr>
      <w:t>.</w:t>
    </w:r>
    <w:r>
      <w:rPr>
        <w:sz w:val="15"/>
        <w:szCs w:val="15"/>
        <w:u w:val="single" w:color="auto"/>
        <w:spacing w:val="-10"/>
      </w:rPr>
      <w:t xml:space="preserve"> </w:t>
    </w:r>
    <w:r>
      <w:rPr>
        <w:sz w:val="15"/>
        <w:szCs w:val="15"/>
        <w:u w:val="single" w:color="auto"/>
        <w:spacing w:val="16"/>
      </w:rPr>
      <w:t>3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4" w:line="192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u w:val="single" w:color="auto"/>
        <w:spacing w:val="15"/>
      </w:rPr>
      <w:t>中华消化杂志</w:t>
    </w:r>
    <w:r>
      <w:rPr>
        <w:sz w:val="15"/>
        <w:szCs w:val="15"/>
        <w:u w:val="single" w:color="auto"/>
        <w:spacing w:val="15"/>
      </w:rPr>
      <w:t>2023</w:t>
    </w:r>
    <w:r>
      <w:rPr>
        <w:rFonts w:ascii="SimSun" w:hAnsi="SimSun" w:eastAsia="SimSun" w:cs="SimSun"/>
        <w:sz w:val="15"/>
        <w:szCs w:val="15"/>
        <w:u w:val="single" w:color="auto"/>
        <w:spacing w:val="15"/>
      </w:rPr>
      <w:t>年</w:t>
    </w:r>
    <w:r>
      <w:rPr>
        <w:sz w:val="15"/>
        <w:szCs w:val="15"/>
        <w:u w:val="single" w:color="auto"/>
        <w:spacing w:val="15"/>
      </w:rPr>
      <w:t>3</w:t>
    </w:r>
    <w:r>
      <w:rPr>
        <w:rFonts w:ascii="SimSun" w:hAnsi="SimSun" w:eastAsia="SimSun" w:cs="SimSun"/>
        <w:sz w:val="15"/>
        <w:szCs w:val="15"/>
        <w:u w:val="single" w:color="auto"/>
        <w:spacing w:val="15"/>
      </w:rPr>
      <w:t>月第</w:t>
    </w:r>
    <w:r>
      <w:rPr>
        <w:sz w:val="15"/>
        <w:szCs w:val="15"/>
        <w:u w:val="single" w:color="auto"/>
        <w:spacing w:val="15"/>
      </w:rPr>
      <w:t>43</w:t>
    </w:r>
    <w:r>
      <w:rPr>
        <w:rFonts w:ascii="SimSun" w:hAnsi="SimSun" w:eastAsia="SimSun" w:cs="SimSun"/>
        <w:sz w:val="15"/>
        <w:szCs w:val="15"/>
        <w:u w:val="single" w:color="auto"/>
        <w:spacing w:val="15"/>
      </w:rPr>
      <w:t>卷第</w:t>
    </w:r>
    <w:r>
      <w:rPr>
        <w:sz w:val="15"/>
        <w:szCs w:val="15"/>
        <w:u w:val="single" w:color="auto"/>
        <w:spacing w:val="15"/>
      </w:rPr>
      <w:t>3</w:t>
    </w:r>
    <w:r>
      <w:rPr>
        <w:rFonts w:ascii="SimSun" w:hAnsi="SimSun" w:eastAsia="SimSun" w:cs="SimSun"/>
        <w:sz w:val="15"/>
        <w:szCs w:val="15"/>
        <w:u w:val="single" w:color="auto"/>
        <w:spacing w:val="15"/>
      </w:rPr>
      <w:t>期</w:t>
    </w:r>
    <w:r>
      <w:rPr>
        <w:sz w:val="15"/>
        <w:szCs w:val="15"/>
        <w:u w:val="single" w:color="auto"/>
      </w:rPr>
      <w:t>Chin</w:t>
    </w:r>
    <w:r>
      <w:rPr>
        <w:sz w:val="15"/>
        <w:szCs w:val="15"/>
        <w:u w:val="single" w:color="auto"/>
        <w:spacing w:val="3"/>
      </w:rPr>
      <w:t xml:space="preserve">  </w:t>
    </w:r>
    <w:r>
      <w:rPr>
        <w:sz w:val="15"/>
        <w:szCs w:val="15"/>
        <w:u w:val="single" w:color="auto"/>
      </w:rPr>
      <w:t>J</w:t>
    </w:r>
    <w:r>
      <w:rPr>
        <w:sz w:val="15"/>
        <w:szCs w:val="15"/>
        <w:u w:val="single" w:color="auto"/>
        <w:spacing w:val="2"/>
      </w:rPr>
      <w:t xml:space="preserve">  </w:t>
    </w:r>
    <w:r>
      <w:rPr>
        <w:sz w:val="15"/>
        <w:szCs w:val="15"/>
        <w:u w:val="single" w:color="auto"/>
      </w:rPr>
      <w:t>Dig</w:t>
    </w:r>
    <w:r>
      <w:rPr>
        <w:sz w:val="15"/>
        <w:szCs w:val="15"/>
        <w:u w:val="single" w:color="auto"/>
        <w:spacing w:val="15"/>
      </w:rPr>
      <w:t>,</w:t>
    </w:r>
    <w:r>
      <w:rPr>
        <w:sz w:val="15"/>
        <w:szCs w:val="15"/>
        <w:u w:val="single" w:color="auto"/>
      </w:rPr>
      <w:t>March</w:t>
    </w:r>
    <w:r>
      <w:rPr>
        <w:sz w:val="15"/>
        <w:szCs w:val="15"/>
        <w:u w:val="single" w:color="auto"/>
        <w:spacing w:val="4"/>
      </w:rPr>
      <w:t xml:space="preserve">  </w:t>
    </w:r>
    <w:r>
      <w:rPr>
        <w:sz w:val="15"/>
        <w:szCs w:val="15"/>
        <w:u w:val="single" w:color="auto"/>
        <w:spacing w:val="15"/>
      </w:rPr>
      <w:t>2023,</w:t>
    </w:r>
    <w:r>
      <w:rPr>
        <w:sz w:val="15"/>
        <w:szCs w:val="15"/>
        <w:u w:val="single" w:color="auto"/>
      </w:rPr>
      <w:t>Vol</w:t>
    </w:r>
    <w:r>
      <w:rPr>
        <w:sz w:val="15"/>
        <w:szCs w:val="15"/>
        <w:u w:val="single" w:color="auto"/>
        <w:spacing w:val="-7"/>
      </w:rPr>
      <w:t xml:space="preserve"> </w:t>
    </w:r>
    <w:r>
      <w:rPr>
        <w:sz w:val="15"/>
        <w:szCs w:val="15"/>
        <w:u w:val="single" w:color="auto"/>
        <w:spacing w:val="15"/>
      </w:rPr>
      <w:t>.</w:t>
    </w:r>
    <w:r>
      <w:rPr>
        <w:sz w:val="15"/>
        <w:szCs w:val="15"/>
        <w:u w:val="single" w:color="auto"/>
        <w:spacing w:val="-15"/>
      </w:rPr>
      <w:t xml:space="preserve"> </w:t>
    </w:r>
    <w:r>
      <w:rPr>
        <w:sz w:val="15"/>
        <w:szCs w:val="15"/>
        <w:u w:val="single" w:color="auto"/>
        <w:spacing w:val="15"/>
      </w:rPr>
      <w:t>43,</w:t>
    </w:r>
    <w:r>
      <w:rPr>
        <w:sz w:val="15"/>
        <w:szCs w:val="15"/>
        <w:u w:val="single" w:color="auto"/>
      </w:rPr>
      <w:t>No</w:t>
    </w:r>
    <w:r>
      <w:rPr>
        <w:sz w:val="15"/>
        <w:szCs w:val="15"/>
        <w:u w:val="single" w:color="auto"/>
        <w:spacing w:val="-6"/>
      </w:rPr>
      <w:t xml:space="preserve"> </w:t>
    </w:r>
    <w:r>
      <w:rPr>
        <w:sz w:val="15"/>
        <w:szCs w:val="15"/>
        <w:u w:val="single" w:color="auto"/>
        <w:spacing w:val="15"/>
      </w:rPr>
      <w:t>.</w:t>
    </w:r>
    <w:r>
      <w:rPr>
        <w:sz w:val="15"/>
        <w:szCs w:val="15"/>
        <w:u w:val="single" w:color="auto"/>
        <w:spacing w:val="-11"/>
      </w:rPr>
      <w:t xml:space="preserve"> </w:t>
    </w:r>
    <w:r>
      <w:rPr>
        <w:sz w:val="15"/>
        <w:szCs w:val="15"/>
        <w:u w:val="single" w:color="auto"/>
        <w:spacing w:val="15"/>
      </w:rPr>
      <w:t>3</w:t>
    </w:r>
    <w:r>
      <w:rPr>
        <w:sz w:val="15"/>
        <w:szCs w:val="15"/>
      </w:rPr>
      <w:t xml:space="preserve">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b/>
        <w:bCs/>
        <w:spacing w:val="15"/>
        <w:position w:val="-4"/>
      </w:rPr>
      <w:t>—</w:t>
    </w:r>
    <w:r>
      <w:rPr>
        <w:rFonts w:ascii="SimSun" w:hAnsi="SimSun" w:eastAsia="SimSun" w:cs="SimSun"/>
        <w:sz w:val="15"/>
        <w:szCs w:val="15"/>
        <w:spacing w:val="49"/>
        <w:position w:val="-4"/>
      </w:rPr>
      <w:t xml:space="preserve"> </w:t>
    </w:r>
    <w:r>
      <w:rPr>
        <w:sz w:val="15"/>
        <w:szCs w:val="15"/>
        <w:b/>
        <w:bCs/>
        <w:spacing w:val="14"/>
        <w:position w:val="-4"/>
      </w:rPr>
      <w:t>191</w:t>
    </w:r>
    <w:r>
      <w:rPr>
        <w:sz w:val="15"/>
        <w:szCs w:val="15"/>
        <w:b/>
        <w:bCs/>
        <w:u w:val="dotted" w:color="auto"/>
        <w:spacing w:val="14"/>
        <w:position w:val="-4"/>
      </w:rPr>
      <w:t xml:space="preserve">    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58" w:line="221" w:lineRule="auto"/>
      <w:rPr>
        <w:sz w:val="15"/>
        <w:szCs w:val="15"/>
      </w:rPr>
    </w:pPr>
    <w:r>
      <w:rPr>
        <w:rFonts w:ascii="SimSun" w:hAnsi="SimSun" w:eastAsia="SimSun" w:cs="SimSun"/>
        <w:sz w:val="20"/>
        <w:szCs w:val="20"/>
        <w:spacing w:val="16"/>
        <w:position w:val="-5"/>
      </w:rPr>
      <w:t>—</w:t>
    </w:r>
    <w:r>
      <w:rPr>
        <w:rFonts w:ascii="SimSun" w:hAnsi="SimSun" w:eastAsia="SimSun" w:cs="SimSun"/>
        <w:sz w:val="20"/>
        <w:szCs w:val="20"/>
        <w:spacing w:val="-3"/>
        <w:position w:val="-5"/>
      </w:rPr>
      <w:t xml:space="preserve"> </w:t>
    </w:r>
    <w:r>
      <w:rPr>
        <w:sz w:val="20"/>
        <w:szCs w:val="20"/>
        <w:spacing w:val="16"/>
        <w:position w:val="-5"/>
      </w:rPr>
      <w:t>192</w:t>
    </w:r>
    <w:r>
      <w:rPr>
        <w:sz w:val="20"/>
        <w:szCs w:val="20"/>
        <w:u w:val="dotted" w:color="auto"/>
        <w:spacing w:val="16"/>
        <w:position w:val="-5"/>
      </w:rPr>
      <w:t xml:space="preserve">   </w:t>
    </w:r>
    <w:r>
      <w:rPr>
        <w:sz w:val="20"/>
        <w:szCs w:val="20"/>
        <w:spacing w:val="1"/>
        <w:position w:val="-5"/>
      </w:rPr>
      <w:t xml:space="preserve">                     </w:t>
    </w:r>
    <w:r>
      <w:rPr>
        <w:sz w:val="20"/>
        <w:szCs w:val="20"/>
        <w:position w:val="-5"/>
      </w:rPr>
      <w:t xml:space="preserve">                                          </w:t>
    </w:r>
    <w:r>
      <w:rPr>
        <w:rFonts w:ascii="SimSun" w:hAnsi="SimSun" w:eastAsia="SimSun" w:cs="SimSun"/>
        <w:sz w:val="15"/>
        <w:szCs w:val="15"/>
        <w:u w:val="single" w:color="auto"/>
        <w:spacing w:val="-54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16"/>
      </w:rPr>
      <w:t>中华消化杂志</w:t>
    </w:r>
    <w:r>
      <w:rPr>
        <w:sz w:val="15"/>
        <w:szCs w:val="15"/>
        <w:u w:val="single" w:color="auto"/>
        <w:spacing w:val="16"/>
      </w:rPr>
      <w:t>2023</w:t>
    </w:r>
    <w:r>
      <w:rPr>
        <w:rFonts w:ascii="SimSun" w:hAnsi="SimSun" w:eastAsia="SimSun" w:cs="SimSun"/>
        <w:sz w:val="15"/>
        <w:szCs w:val="15"/>
        <w:u w:val="single" w:color="auto"/>
        <w:spacing w:val="16"/>
      </w:rPr>
      <w:t>年</w:t>
    </w:r>
    <w:r>
      <w:rPr>
        <w:sz w:val="15"/>
        <w:szCs w:val="15"/>
        <w:u w:val="single" w:color="auto"/>
        <w:spacing w:val="16"/>
      </w:rPr>
      <w:t>3</w:t>
    </w:r>
    <w:r>
      <w:rPr>
        <w:rFonts w:ascii="SimSun" w:hAnsi="SimSun" w:eastAsia="SimSun" w:cs="SimSun"/>
        <w:sz w:val="15"/>
        <w:szCs w:val="15"/>
        <w:u w:val="single" w:color="auto"/>
        <w:spacing w:val="16"/>
      </w:rPr>
      <w:t>月第</w:t>
    </w:r>
    <w:r>
      <w:rPr>
        <w:sz w:val="15"/>
        <w:szCs w:val="15"/>
        <w:u w:val="single" w:color="auto"/>
        <w:spacing w:val="16"/>
      </w:rPr>
      <w:t>43</w:t>
    </w:r>
    <w:r>
      <w:rPr>
        <w:rFonts w:ascii="SimSun" w:hAnsi="SimSun" w:eastAsia="SimSun" w:cs="SimSun"/>
        <w:sz w:val="15"/>
        <w:szCs w:val="15"/>
        <w:u w:val="single" w:color="auto"/>
        <w:spacing w:val="16"/>
      </w:rPr>
      <w:t>卷第</w:t>
    </w:r>
    <w:r>
      <w:rPr>
        <w:sz w:val="15"/>
        <w:szCs w:val="15"/>
        <w:u w:val="single" w:color="auto"/>
        <w:spacing w:val="16"/>
      </w:rPr>
      <w:t>3</w:t>
    </w:r>
    <w:r>
      <w:rPr>
        <w:rFonts w:ascii="SimSun" w:hAnsi="SimSun" w:eastAsia="SimSun" w:cs="SimSun"/>
        <w:sz w:val="15"/>
        <w:szCs w:val="15"/>
        <w:u w:val="single" w:color="auto"/>
        <w:spacing w:val="16"/>
      </w:rPr>
      <w:t>期</w:t>
    </w:r>
    <w:r>
      <w:rPr>
        <w:sz w:val="15"/>
        <w:szCs w:val="15"/>
        <w:u w:val="single" w:color="auto"/>
      </w:rPr>
      <w:t>Chin</w:t>
    </w:r>
    <w:r>
      <w:rPr>
        <w:sz w:val="15"/>
        <w:szCs w:val="15"/>
        <w:u w:val="single" w:color="auto"/>
        <w:spacing w:val="16"/>
      </w:rPr>
      <w:t xml:space="preserve">  </w:t>
    </w:r>
    <w:r>
      <w:rPr>
        <w:sz w:val="15"/>
        <w:szCs w:val="15"/>
        <w:u w:val="single" w:color="auto"/>
      </w:rPr>
      <w:t>JDig</w:t>
    </w:r>
    <w:r>
      <w:rPr>
        <w:sz w:val="15"/>
        <w:szCs w:val="15"/>
        <w:u w:val="single" w:color="auto"/>
        <w:spacing w:val="16"/>
      </w:rPr>
      <w:t>,</w:t>
    </w:r>
    <w:r>
      <w:rPr>
        <w:sz w:val="15"/>
        <w:szCs w:val="15"/>
        <w:u w:val="single" w:color="auto"/>
      </w:rPr>
      <w:t>March</w:t>
    </w:r>
    <w:r>
      <w:rPr>
        <w:sz w:val="15"/>
        <w:szCs w:val="15"/>
        <w:u w:val="single" w:color="auto"/>
        <w:spacing w:val="16"/>
      </w:rPr>
      <w:t xml:space="preserve">  2023,</w:t>
    </w:r>
    <w:r>
      <w:rPr>
        <w:sz w:val="15"/>
        <w:szCs w:val="15"/>
        <w:u w:val="single" w:color="auto"/>
      </w:rPr>
      <w:t>Vol</w:t>
    </w:r>
    <w:r>
      <w:rPr>
        <w:sz w:val="15"/>
        <w:szCs w:val="15"/>
        <w:u w:val="single" w:color="auto"/>
        <w:spacing w:val="-6"/>
      </w:rPr>
      <w:t xml:space="preserve"> </w:t>
    </w:r>
    <w:r>
      <w:rPr>
        <w:sz w:val="15"/>
        <w:szCs w:val="15"/>
        <w:u w:val="single" w:color="auto"/>
        <w:spacing w:val="16"/>
      </w:rPr>
      <w:t>.</w:t>
    </w:r>
    <w:r>
      <w:rPr>
        <w:sz w:val="15"/>
        <w:szCs w:val="15"/>
        <w:u w:val="single" w:color="auto"/>
        <w:spacing w:val="-14"/>
      </w:rPr>
      <w:t xml:space="preserve"> </w:t>
    </w:r>
    <w:r>
      <w:rPr>
        <w:sz w:val="15"/>
        <w:szCs w:val="15"/>
        <w:u w:val="single" w:color="auto"/>
        <w:spacing w:val="16"/>
      </w:rPr>
      <w:t>43,</w:t>
    </w:r>
    <w:r>
      <w:rPr>
        <w:sz w:val="15"/>
        <w:szCs w:val="15"/>
        <w:u w:val="single" w:color="auto"/>
      </w:rPr>
      <w:t>No</w:t>
    </w:r>
    <w:r>
      <w:rPr>
        <w:sz w:val="15"/>
        <w:szCs w:val="15"/>
        <w:u w:val="single" w:color="auto"/>
        <w:spacing w:val="-6"/>
      </w:rPr>
      <w:t xml:space="preserve"> </w:t>
    </w:r>
    <w:r>
      <w:rPr>
        <w:sz w:val="15"/>
        <w:szCs w:val="15"/>
        <w:u w:val="single" w:color="auto"/>
        <w:spacing w:val="16"/>
      </w:rPr>
      <w:t>.</w:t>
    </w:r>
    <w:r>
      <w:rPr>
        <w:sz w:val="15"/>
        <w:szCs w:val="15"/>
        <w:u w:val="single" w:color="auto"/>
        <w:spacing w:val="-10"/>
      </w:rPr>
      <w:t xml:space="preserve"> </w:t>
    </w:r>
    <w:r>
      <w:rPr>
        <w:sz w:val="15"/>
        <w:szCs w:val="15"/>
        <w:u w:val="single" w:color="auto"/>
        <w:spacing w:val="16"/>
      </w:rPr>
      <w:t>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header" Target="header2.xml"/><Relationship Id="rId5" Type="http://schemas.openxmlformats.org/officeDocument/2006/relationships/image" Target="media/image4.png"/><Relationship Id="rId4" Type="http://schemas.openxmlformats.org/officeDocument/2006/relationships/header" Target="header1.xml"/><Relationship Id="rId31" Type="http://schemas.openxmlformats.org/officeDocument/2006/relationships/fontTable" Target="fontTable.xml"/><Relationship Id="rId30" Type="http://schemas.openxmlformats.org/officeDocument/2006/relationships/styles" Target="styles.xml"/><Relationship Id="rId3" Type="http://schemas.openxmlformats.org/officeDocument/2006/relationships/image" Target="media/image3.png"/><Relationship Id="rId29" Type="http://schemas.openxmlformats.org/officeDocument/2006/relationships/settings" Target="settings.xml"/><Relationship Id="rId28" Type="http://schemas.openxmlformats.org/officeDocument/2006/relationships/image" Target="media/image11.jpeg"/><Relationship Id="rId27" Type="http://schemas.openxmlformats.org/officeDocument/2006/relationships/header" Target="header8.xml"/><Relationship Id="rId26" Type="http://schemas.openxmlformats.org/officeDocument/2006/relationships/hyperlink" Target="https://doi.org/10.1186/s13017-019-0223-8." TargetMode="External"/><Relationship Id="rId25" Type="http://schemas.openxmlformats.org/officeDocument/2006/relationships/hyperlink" Target="https://doi.org/10.1186/1471-230X-12-66." TargetMode="External"/><Relationship Id="rId24" Type="http://schemas.openxmlformats.org/officeDocument/2006/relationships/header" Target="header7.xml"/><Relationship Id="rId23" Type="http://schemas.openxmlformats.org/officeDocument/2006/relationships/hyperlink" Target="https://doi.org/10.1136/bmj.i1351." TargetMode="External"/><Relationship Id="rId22" Type="http://schemas.openxmlformats.org/officeDocument/2006/relationships/header" Target="header6.xml"/><Relationship Id="rId21" Type="http://schemas.openxmlformats.org/officeDocument/2006/relationships/hyperlink" Target="https://doi.org/10." TargetMode="External"/><Relationship Id="rId20" Type="http://schemas.openxmlformats.org/officeDocument/2006/relationships/hyperlink" Target="http://doi.org/" TargetMode="External"/><Relationship Id="rId2" Type="http://schemas.openxmlformats.org/officeDocument/2006/relationships/image" Target="media/image2.png"/><Relationship Id="rId19" Type="http://schemas.openxmlformats.org/officeDocument/2006/relationships/header" Target="header5.xml"/><Relationship Id="rId18" Type="http://schemas.openxmlformats.org/officeDocument/2006/relationships/hyperlink" Target="https://doi.org/" TargetMode="External"/><Relationship Id="rId17" Type="http://schemas.openxmlformats.org/officeDocument/2006/relationships/hyperlink" Target="https:/doi.org/10.1136/bmj" TargetMode="External"/><Relationship Id="rId16" Type="http://schemas.openxmlformats.org/officeDocument/2006/relationships/header" Target="header4.xml"/><Relationship Id="rId15" Type="http://schemas.openxmlformats.org/officeDocument/2006/relationships/hyperlink" Target="https:/doi.org/10.1186/s12876-022-" TargetMode="External"/><Relationship Id="rId14" Type="http://schemas.openxmlformats.org/officeDocument/2006/relationships/hyperlink" Target="https://doi.org/10.1111/hel.12803." TargetMode="Externa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header" Target="header3.xml"/><Relationship Id="rId10" Type="http://schemas.openxmlformats.org/officeDocument/2006/relationships/image" Target="media/image8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2025-10-29T09:27:15Z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2025-10-29T09:27:25</vt:filetime>
  </property>
  <property fmtid="{D5CDD505-2E9C-101B-9397-08002B2CF9AE}" pid="4" name="UsrData">
    <vt:lpwstr>69016d6cd9de81002008378bwl</vt:lpwstr>
  </property>
</Properties>
</file>