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7914"/>
        <w:spacing w:before="231" w:line="169" w:lineRule="auto"/>
        <w:outlineLvl w:val="0"/>
        <w:rPr>
          <w:rFonts w:ascii="Times New Roman" w:hAnsi="Times New Roman" w:eastAsia="Times New Roman" w:cs="Times New Roman"/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  <w:b/>
          <w:bCs/>
          <w:spacing w:val="-8"/>
          <w:position w:val="-4"/>
        </w:rPr>
        <w:t>·</w:t>
      </w:r>
      <w:r>
        <w:rPr>
          <w:rFonts w:ascii="Times New Roman" w:hAnsi="Times New Roman" w:eastAsia="Times New Roman" w:cs="Times New Roman"/>
          <w:sz w:val="42"/>
          <w:szCs w:val="42"/>
          <w:b/>
          <w:bCs/>
          <w:spacing w:val="-17"/>
          <w:position w:val="-4"/>
        </w:rPr>
        <w:t xml:space="preserve"> </w:t>
      </w:r>
      <w:r>
        <w:rPr>
          <w:rFonts w:ascii="LiSu" w:hAnsi="LiSu" w:eastAsia="LiSu" w:cs="LiSu"/>
          <w:sz w:val="31"/>
          <w:szCs w:val="31"/>
          <w:spacing w:val="-8"/>
        </w:rPr>
        <w:t>指南与共识</w:t>
      </w:r>
      <w:r>
        <w:rPr>
          <w:rFonts w:ascii="LiSu" w:hAnsi="LiSu" w:eastAsia="LiSu" w:cs="LiSu"/>
          <w:sz w:val="31"/>
          <w:szCs w:val="31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42"/>
          <w:szCs w:val="42"/>
          <w:b/>
          <w:bCs/>
          <w:spacing w:val="-8"/>
          <w:position w:val="-4"/>
        </w:rPr>
        <w:t>·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ind w:left="38" w:right="3684" w:firstLine="12"/>
        <w:spacing w:before="104" w:line="378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32"/>
          <w:szCs w:val="32"/>
          <w:spacing w:val="-10"/>
        </w:rPr>
        <w:t>中国抗癌协会胰腺癌整合诊治指南（精简版）</w:t>
      </w:r>
      <w:r>
        <w:rPr>
          <w:rFonts w:ascii="SimHei" w:hAnsi="SimHei" w:eastAsia="SimHei" w:cs="SimHei"/>
          <w:sz w:val="32"/>
          <w:szCs w:val="32"/>
          <w:spacing w:val="14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7"/>
        </w:rPr>
        <w:t>中国抗癌协会胰腺癌专业委员会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ind w:left="19" w:right="29"/>
        <w:spacing w:before="59" w:line="298" w:lineRule="auto"/>
        <w:jc w:val="both"/>
        <w:rPr>
          <w:rFonts w:ascii="KaiTi" w:hAnsi="KaiTi" w:eastAsia="KaiTi" w:cs="KaiT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6"/>
        </w:rPr>
        <w:t>摘要</w:t>
      </w:r>
      <w:r>
        <w:rPr>
          <w:rFonts w:ascii="SimHei" w:hAnsi="SimHei" w:eastAsia="SimHei" w:cs="SimHei"/>
          <w:sz w:val="18"/>
          <w:szCs w:val="18"/>
          <w:spacing w:val="-6"/>
        </w:rPr>
        <w:t xml:space="preserve">  </w:t>
      </w:r>
      <w:r>
        <w:rPr>
          <w:rFonts w:ascii="KaiTi" w:hAnsi="KaiTi" w:eastAsia="KaiTi" w:cs="KaiTi"/>
          <w:sz w:val="18"/>
          <w:szCs w:val="18"/>
          <w:spacing w:val="-6"/>
        </w:rPr>
        <w:t>胰腺癌在中国男性恶性肿瘤发病率居第</w:t>
      </w:r>
      <w:r>
        <w:rPr>
          <w:rFonts w:ascii="KaiTi" w:hAnsi="KaiTi" w:eastAsia="KaiTi" w:cs="KaiTi"/>
          <w:sz w:val="18"/>
          <w:szCs w:val="18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10 </w:t>
      </w:r>
      <w:r>
        <w:rPr>
          <w:rFonts w:ascii="KaiTi" w:hAnsi="KaiTi" w:eastAsia="KaiTi" w:cs="KaiTi"/>
          <w:sz w:val="18"/>
          <w:szCs w:val="18"/>
          <w:spacing w:val="-6"/>
        </w:rPr>
        <w:t>位，女性居第</w:t>
      </w:r>
      <w:r>
        <w:rPr>
          <w:rFonts w:ascii="KaiTi" w:hAnsi="KaiTi" w:eastAsia="KaiTi" w:cs="KaiTi"/>
          <w:sz w:val="18"/>
          <w:szCs w:val="18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12 </w:t>
      </w:r>
      <w:r>
        <w:rPr>
          <w:rFonts w:ascii="KaiTi" w:hAnsi="KaiTi" w:eastAsia="KaiTi" w:cs="KaiTi"/>
          <w:sz w:val="18"/>
          <w:szCs w:val="18"/>
          <w:spacing w:val="-6"/>
        </w:rPr>
        <w:t>位，恶性肿瘤死亡率居第</w:t>
      </w:r>
      <w:r>
        <w:rPr>
          <w:rFonts w:ascii="Times New Roman" w:hAnsi="Times New Roman" w:eastAsia="Times New Roman" w:cs="Times New Roman"/>
          <w:sz w:val="18"/>
          <w:szCs w:val="18"/>
          <w:spacing w:val="-6"/>
        </w:rPr>
        <w:t>6 </w:t>
      </w:r>
      <w:r>
        <w:rPr>
          <w:rFonts w:ascii="KaiTi" w:hAnsi="KaiTi" w:eastAsia="KaiTi" w:cs="KaiTi"/>
          <w:sz w:val="18"/>
          <w:szCs w:val="18"/>
          <w:spacing w:val="-6"/>
        </w:rPr>
        <w:t>位。胰腺癌恶性程度高，预后极差。</w:t>
      </w:r>
      <w:r>
        <w:rPr>
          <w:rFonts w:ascii="KaiTi" w:hAnsi="KaiTi" w:eastAsia="KaiTi" w:cs="KaiTi"/>
          <w:sz w:val="18"/>
          <w:szCs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-7"/>
        </w:rPr>
        <w:t>在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“</w:t>
      </w:r>
      <w:r>
        <w:rPr>
          <w:rFonts w:ascii="KaiTi" w:hAnsi="KaiTi" w:eastAsia="KaiTi" w:cs="KaiTi"/>
          <w:sz w:val="18"/>
          <w:szCs w:val="18"/>
          <w:spacing w:val="-7"/>
        </w:rPr>
        <w:t>整合医学</w:t>
      </w:r>
      <w:r>
        <w:rPr>
          <w:rFonts w:ascii="Times New Roman" w:hAnsi="Times New Roman" w:eastAsia="Times New Roman" w:cs="Times New Roman"/>
          <w:sz w:val="18"/>
          <w:szCs w:val="18"/>
          <w:spacing w:val="-7"/>
        </w:rPr>
        <w:t>”</w:t>
      </w:r>
      <w:r>
        <w:rPr>
          <w:rFonts w:ascii="KaiTi" w:hAnsi="KaiTi" w:eastAsia="KaiTi" w:cs="KaiTi"/>
          <w:sz w:val="18"/>
          <w:szCs w:val="18"/>
          <w:spacing w:val="-7"/>
        </w:rPr>
        <w:t>理念的推动下，中国抗癌协会胰腺癌专业委员会组织</w:t>
      </w:r>
      <w:r>
        <w:rPr>
          <w:rFonts w:ascii="KaiTi" w:hAnsi="KaiTi" w:eastAsia="KaiTi" w:cs="KaiTi"/>
          <w:sz w:val="18"/>
          <w:szCs w:val="18"/>
          <w:spacing w:val="-8"/>
        </w:rPr>
        <w:t>相关专家制订指南，旨在以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“</w:t>
      </w:r>
      <w:r>
        <w:rPr>
          <w:rFonts w:ascii="Times New Roman" w:hAnsi="Times New Roman" w:eastAsia="Times New Roman" w:cs="Times New Roman"/>
          <w:sz w:val="18"/>
          <w:szCs w:val="18"/>
          <w:spacing w:val="-28"/>
        </w:rPr>
        <w:t xml:space="preserve"> </w:t>
      </w:r>
      <w:r>
        <w:rPr>
          <w:rFonts w:ascii="KaiTi" w:hAnsi="KaiTi" w:eastAsia="KaiTi" w:cs="KaiTi"/>
          <w:sz w:val="18"/>
          <w:szCs w:val="18"/>
          <w:spacing w:val="-8"/>
        </w:rPr>
        <w:t>防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-</w:t>
      </w:r>
      <w:r>
        <w:rPr>
          <w:rFonts w:ascii="KaiTi" w:hAnsi="KaiTi" w:eastAsia="KaiTi" w:cs="KaiTi"/>
          <w:sz w:val="18"/>
          <w:szCs w:val="18"/>
          <w:spacing w:val="-8"/>
        </w:rPr>
        <w:t>筛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-</w:t>
      </w:r>
      <w:r>
        <w:rPr>
          <w:rFonts w:ascii="KaiTi" w:hAnsi="KaiTi" w:eastAsia="KaiTi" w:cs="KaiTi"/>
          <w:sz w:val="18"/>
          <w:szCs w:val="18"/>
          <w:spacing w:val="-8"/>
        </w:rPr>
        <w:t>诊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-</w:t>
      </w:r>
      <w:r>
        <w:rPr>
          <w:rFonts w:ascii="KaiTi" w:hAnsi="KaiTi" w:eastAsia="KaiTi" w:cs="KaiTi"/>
          <w:sz w:val="18"/>
          <w:szCs w:val="18"/>
          <w:spacing w:val="-8"/>
        </w:rPr>
        <w:t>治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-</w:t>
      </w:r>
      <w:r>
        <w:rPr>
          <w:rFonts w:ascii="KaiTi" w:hAnsi="KaiTi" w:eastAsia="KaiTi" w:cs="KaiTi"/>
          <w:sz w:val="18"/>
          <w:szCs w:val="18"/>
          <w:spacing w:val="-8"/>
        </w:rPr>
        <w:t>康</w:t>
      </w:r>
      <w:r>
        <w:rPr>
          <w:rFonts w:ascii="Times New Roman" w:hAnsi="Times New Roman" w:eastAsia="Times New Roman" w:cs="Times New Roman"/>
          <w:sz w:val="18"/>
          <w:szCs w:val="18"/>
          <w:spacing w:val="-8"/>
        </w:rPr>
        <w:t>”</w:t>
      </w:r>
      <w:r>
        <w:rPr>
          <w:rFonts w:ascii="KaiTi" w:hAnsi="KaiTi" w:eastAsia="KaiTi" w:cs="KaiTi"/>
          <w:sz w:val="18"/>
          <w:szCs w:val="18"/>
          <w:spacing w:val="-8"/>
        </w:rPr>
        <w:t>为基础，全面、全程</w:t>
      </w:r>
      <w:r>
        <w:rPr>
          <w:rFonts w:ascii="KaiTi" w:hAnsi="KaiTi" w:eastAsia="KaiTi" w:cs="KaiTi"/>
          <w:sz w:val="18"/>
          <w:szCs w:val="18"/>
        </w:rPr>
        <w:t xml:space="preserve">  </w:t>
      </w:r>
      <w:r>
        <w:rPr>
          <w:rFonts w:ascii="KaiTi" w:hAnsi="KaiTi" w:eastAsia="KaiTi" w:cs="KaiTi"/>
          <w:sz w:val="18"/>
          <w:szCs w:val="18"/>
          <w:spacing w:val="-5"/>
        </w:rPr>
        <w:t>地指导胰腺癌的整合治疗和康复管理。期望本指南可以为临床医师提供参考意见，从而提高国内胰腺癌患者的治疗效果。</w:t>
      </w:r>
    </w:p>
    <w:p>
      <w:pPr>
        <w:ind w:left="28"/>
        <w:spacing w:before="9" w:line="235" w:lineRule="auto"/>
        <w:rPr>
          <w:rFonts w:ascii="KaiTi" w:hAnsi="KaiTi" w:eastAsia="KaiTi" w:cs="KaiT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2"/>
        </w:rPr>
        <w:t>关键词</w:t>
      </w:r>
      <w:r>
        <w:rPr>
          <w:rFonts w:ascii="SimHei" w:hAnsi="SimHei" w:eastAsia="SimHei" w:cs="SimHei"/>
          <w:sz w:val="18"/>
          <w:szCs w:val="18"/>
          <w:spacing w:val="-2"/>
        </w:rPr>
        <w:t xml:space="preserve">  </w:t>
      </w:r>
      <w:r>
        <w:rPr>
          <w:rFonts w:ascii="KaiTi" w:hAnsi="KaiTi" w:eastAsia="KaiTi" w:cs="KaiTi"/>
          <w:sz w:val="18"/>
          <w:szCs w:val="18"/>
          <w:spacing w:val="-2"/>
        </w:rPr>
        <w:t>胰腺癌</w:t>
      </w:r>
      <w:r>
        <w:rPr>
          <w:rFonts w:ascii="KaiTi" w:hAnsi="KaiTi" w:eastAsia="KaiTi" w:cs="KaiTi"/>
          <w:sz w:val="18"/>
          <w:szCs w:val="18"/>
          <w:spacing w:val="-2"/>
        </w:rPr>
        <w:t xml:space="preserve">  </w:t>
      </w:r>
      <w:r>
        <w:rPr>
          <w:rFonts w:ascii="KaiTi" w:hAnsi="KaiTi" w:eastAsia="KaiTi" w:cs="KaiTi"/>
          <w:sz w:val="18"/>
          <w:szCs w:val="18"/>
          <w:spacing w:val="-2"/>
        </w:rPr>
        <w:t>整合诊治</w:t>
      </w:r>
      <w:r>
        <w:rPr>
          <w:rFonts w:ascii="KaiTi" w:hAnsi="KaiTi" w:eastAsia="KaiTi" w:cs="KaiTi"/>
          <w:sz w:val="18"/>
          <w:szCs w:val="18"/>
          <w:spacing w:val="10"/>
        </w:rPr>
        <w:t xml:space="preserve">  </w:t>
      </w:r>
      <w:r>
        <w:rPr>
          <w:rFonts w:ascii="KaiTi" w:hAnsi="KaiTi" w:eastAsia="KaiTi" w:cs="KaiTi"/>
          <w:sz w:val="18"/>
          <w:szCs w:val="18"/>
          <w:spacing w:val="-2"/>
        </w:rPr>
        <w:t>指南</w:t>
      </w:r>
    </w:p>
    <w:p>
      <w:pPr>
        <w:ind w:left="20"/>
        <w:spacing w:before="30" w:line="23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position w:val="3"/>
        </w:rPr>
        <w:t>doi:</w:t>
      </w:r>
      <w:hyperlink w:history="true" r:id="rId2">
        <w:r>
          <w:rPr>
            <w:rFonts w:ascii="Times New Roman" w:hAnsi="Times New Roman" w:eastAsia="Times New Roman" w:cs="Times New Roman"/>
            <w:sz w:val="18"/>
            <w:szCs w:val="18"/>
            <w:position w:val="3"/>
          </w:rPr>
          <w:t>10.12354/j.issn.1000-8179.2023.</w:t>
        </w:r>
        <w:r>
          <w:rPr>
            <w:rFonts w:ascii="Times New Roman" w:hAnsi="Times New Roman" w:eastAsia="Times New Roman" w:cs="Times New Roman"/>
            <w:sz w:val="18"/>
            <w:szCs w:val="18"/>
            <w:spacing w:val="-1"/>
            <w:position w:val="3"/>
          </w:rPr>
          <w:t>20221544</w:t>
        </w:r>
      </w:hyperlink>
    </w:p>
    <w:p>
      <w:pPr>
        <w:spacing w:line="241" w:lineRule="auto"/>
        <w:rPr>
          <w:rFonts w:ascii="Arial"/>
          <w:sz w:val="21"/>
        </w:rPr>
      </w:pPr>
      <w:r/>
    </w:p>
    <w:p>
      <w:pPr>
        <w:ind w:left="28" w:right="100" w:hanging="6"/>
        <w:spacing w:before="80" w:line="252" w:lineRule="auto"/>
        <w:rPr>
          <w:rFonts w:ascii="Segoe UI" w:hAnsi="Segoe UI" w:eastAsia="Segoe UI" w:cs="Segoe UI"/>
          <w:sz w:val="24"/>
          <w:szCs w:val="24"/>
        </w:rPr>
      </w:pPr>
      <w:r>
        <w:rPr>
          <w:rFonts w:ascii="Segoe UI" w:hAnsi="Segoe UI" w:eastAsia="Segoe UI" w:cs="Segoe UI"/>
          <w:sz w:val="24"/>
          <w:szCs w:val="24"/>
          <w:b/>
          <w:bCs/>
          <w:spacing w:val="-1"/>
        </w:rPr>
        <w:t>China</w:t>
      </w:r>
      <w:r>
        <w:rPr>
          <w:rFonts w:ascii="Segoe UI" w:hAnsi="Segoe UI" w:eastAsia="Segoe UI" w:cs="Segoe UI"/>
          <w:sz w:val="24"/>
          <w:szCs w:val="24"/>
          <w:b/>
          <w:bCs/>
          <w:spacing w:val="40"/>
        </w:rPr>
        <w:t xml:space="preserve"> </w:t>
      </w:r>
      <w:r>
        <w:rPr>
          <w:rFonts w:ascii="Segoe UI" w:hAnsi="Segoe UI" w:eastAsia="Segoe UI" w:cs="Segoe UI"/>
          <w:sz w:val="24"/>
          <w:szCs w:val="24"/>
          <w:b/>
          <w:bCs/>
          <w:spacing w:val="-1"/>
        </w:rPr>
        <w:t>Anti-Cancer</w:t>
      </w:r>
      <w:r>
        <w:rPr>
          <w:rFonts w:ascii="Segoe UI" w:hAnsi="Segoe UI" w:eastAsia="Segoe UI" w:cs="Segoe UI"/>
          <w:sz w:val="24"/>
          <w:szCs w:val="24"/>
          <w:b/>
          <w:bCs/>
          <w:spacing w:val="40"/>
        </w:rPr>
        <w:t xml:space="preserve"> </w:t>
      </w:r>
      <w:r>
        <w:rPr>
          <w:rFonts w:ascii="Segoe UI" w:hAnsi="Segoe UI" w:eastAsia="Segoe UI" w:cs="Segoe UI"/>
          <w:sz w:val="24"/>
          <w:szCs w:val="24"/>
          <w:b/>
          <w:bCs/>
          <w:spacing w:val="-1"/>
        </w:rPr>
        <w:t>Association</w:t>
      </w:r>
      <w:r>
        <w:rPr>
          <w:rFonts w:ascii="Segoe UI" w:hAnsi="Segoe UI" w:eastAsia="Segoe UI" w:cs="Segoe UI"/>
          <w:sz w:val="24"/>
          <w:szCs w:val="24"/>
          <w:b/>
          <w:bCs/>
          <w:spacing w:val="47"/>
          <w:w w:val="101"/>
        </w:rPr>
        <w:t xml:space="preserve"> </w:t>
      </w:r>
      <w:r>
        <w:rPr>
          <w:rFonts w:ascii="Segoe UI" w:hAnsi="Segoe UI" w:eastAsia="Segoe UI" w:cs="Segoe UI"/>
          <w:sz w:val="24"/>
          <w:szCs w:val="24"/>
          <w:b/>
          <w:bCs/>
          <w:spacing w:val="-1"/>
        </w:rPr>
        <w:t>guidelines</w:t>
      </w:r>
      <w:r>
        <w:rPr>
          <w:rFonts w:ascii="Segoe UI" w:hAnsi="Segoe UI" w:eastAsia="Segoe UI" w:cs="Segoe UI"/>
          <w:sz w:val="24"/>
          <w:szCs w:val="24"/>
          <w:b/>
          <w:bCs/>
          <w:spacing w:val="44"/>
        </w:rPr>
        <w:t xml:space="preserve"> </w:t>
      </w:r>
      <w:r>
        <w:rPr>
          <w:rFonts w:ascii="Segoe UI" w:hAnsi="Segoe UI" w:eastAsia="Segoe UI" w:cs="Segoe UI"/>
          <w:sz w:val="24"/>
          <w:szCs w:val="24"/>
          <w:b/>
          <w:bCs/>
          <w:spacing w:val="-1"/>
        </w:rPr>
        <w:t>for</w:t>
      </w:r>
      <w:r>
        <w:rPr>
          <w:rFonts w:ascii="Segoe UI" w:hAnsi="Segoe UI" w:eastAsia="Segoe UI" w:cs="Segoe UI"/>
          <w:sz w:val="24"/>
          <w:szCs w:val="24"/>
          <w:b/>
          <w:bCs/>
          <w:spacing w:val="44"/>
        </w:rPr>
        <w:t xml:space="preserve"> </w:t>
      </w:r>
      <w:r>
        <w:rPr>
          <w:rFonts w:ascii="Segoe UI" w:hAnsi="Segoe UI" w:eastAsia="Segoe UI" w:cs="Segoe UI"/>
          <w:sz w:val="24"/>
          <w:szCs w:val="24"/>
          <w:b/>
          <w:bCs/>
          <w:spacing w:val="-1"/>
        </w:rPr>
        <w:t>the</w:t>
      </w:r>
      <w:r>
        <w:rPr>
          <w:rFonts w:ascii="Segoe UI" w:hAnsi="Segoe UI" w:eastAsia="Segoe UI" w:cs="Segoe UI"/>
          <w:sz w:val="24"/>
          <w:szCs w:val="24"/>
          <w:b/>
          <w:bCs/>
          <w:spacing w:val="54"/>
        </w:rPr>
        <w:t xml:space="preserve"> </w:t>
      </w:r>
      <w:r>
        <w:rPr>
          <w:rFonts w:ascii="Segoe UI" w:hAnsi="Segoe UI" w:eastAsia="Segoe UI" w:cs="Segoe UI"/>
          <w:sz w:val="24"/>
          <w:szCs w:val="24"/>
          <w:b/>
          <w:bCs/>
          <w:spacing w:val="-1"/>
        </w:rPr>
        <w:t>holistic</w:t>
      </w:r>
      <w:r>
        <w:rPr>
          <w:rFonts w:ascii="Segoe UI" w:hAnsi="Segoe UI" w:eastAsia="Segoe UI" w:cs="Segoe UI"/>
          <w:sz w:val="24"/>
          <w:szCs w:val="24"/>
          <w:b/>
          <w:bCs/>
          <w:spacing w:val="52"/>
        </w:rPr>
        <w:t xml:space="preserve"> </w:t>
      </w:r>
      <w:r>
        <w:rPr>
          <w:rFonts w:ascii="Segoe UI" w:hAnsi="Segoe UI" w:eastAsia="Segoe UI" w:cs="Segoe UI"/>
          <w:sz w:val="24"/>
          <w:szCs w:val="24"/>
          <w:b/>
          <w:bCs/>
          <w:spacing w:val="-1"/>
        </w:rPr>
        <w:t>integrati</w:t>
      </w:r>
      <w:r>
        <w:rPr>
          <w:rFonts w:ascii="Segoe UI" w:hAnsi="Segoe UI" w:eastAsia="Segoe UI" w:cs="Segoe UI"/>
          <w:sz w:val="24"/>
          <w:szCs w:val="24"/>
          <w:b/>
          <w:bCs/>
          <w:spacing w:val="-2"/>
        </w:rPr>
        <w:t>ve</w:t>
      </w:r>
      <w:r>
        <w:rPr>
          <w:rFonts w:ascii="Segoe UI" w:hAnsi="Segoe UI" w:eastAsia="Segoe UI" w:cs="Segoe UI"/>
          <w:sz w:val="24"/>
          <w:szCs w:val="24"/>
          <w:b/>
          <w:bCs/>
          <w:spacing w:val="55"/>
        </w:rPr>
        <w:t xml:space="preserve"> </w:t>
      </w:r>
      <w:r>
        <w:rPr>
          <w:rFonts w:ascii="Segoe UI" w:hAnsi="Segoe UI" w:eastAsia="Segoe UI" w:cs="Segoe UI"/>
          <w:sz w:val="24"/>
          <w:szCs w:val="24"/>
          <w:b/>
          <w:bCs/>
          <w:spacing w:val="-2"/>
        </w:rPr>
        <w:t>management</w:t>
      </w:r>
      <w:r>
        <w:rPr>
          <w:rFonts w:ascii="Segoe UI" w:hAnsi="Segoe UI" w:eastAsia="Segoe UI" w:cs="Segoe UI"/>
          <w:sz w:val="24"/>
          <w:szCs w:val="24"/>
          <w:b/>
          <w:bCs/>
          <w:spacing w:val="47"/>
        </w:rPr>
        <w:t xml:space="preserve"> </w:t>
      </w:r>
      <w:r>
        <w:rPr>
          <w:rFonts w:ascii="Segoe UI" w:hAnsi="Segoe UI" w:eastAsia="Segoe UI" w:cs="Segoe UI"/>
          <w:sz w:val="24"/>
          <w:szCs w:val="24"/>
          <w:b/>
          <w:bCs/>
          <w:spacing w:val="-2"/>
        </w:rPr>
        <w:t>of</w:t>
      </w:r>
      <w:r>
        <w:rPr>
          <w:rFonts w:ascii="Segoe UI" w:hAnsi="Segoe UI" w:eastAsia="Segoe UI" w:cs="Segoe UI"/>
          <w:sz w:val="24"/>
          <w:szCs w:val="24"/>
          <w:b/>
          <w:bCs/>
        </w:rPr>
        <w:t xml:space="preserve"> </w:t>
      </w:r>
      <w:r>
        <w:rPr>
          <w:rFonts w:ascii="Segoe UI" w:hAnsi="Segoe UI" w:eastAsia="Segoe UI" w:cs="Segoe UI"/>
          <w:sz w:val="24"/>
          <w:szCs w:val="24"/>
          <w:b/>
          <w:bCs/>
          <w:spacing w:val="-1"/>
        </w:rPr>
        <w:t>pancreatic cancer</w:t>
      </w:r>
      <w:r>
        <w:rPr>
          <w:rFonts w:ascii="Segoe UI" w:hAnsi="Segoe UI" w:eastAsia="Segoe UI" w:cs="Segoe UI"/>
          <w:sz w:val="24"/>
          <w:szCs w:val="24"/>
          <w:b/>
          <w:bCs/>
          <w:spacing w:val="18"/>
        </w:rPr>
        <w:t xml:space="preserve"> </w:t>
      </w:r>
      <w:r>
        <w:rPr>
          <w:rFonts w:ascii="Segoe UI" w:hAnsi="Segoe UI" w:eastAsia="Segoe UI" w:cs="Segoe UI"/>
          <w:sz w:val="24"/>
          <w:szCs w:val="24"/>
          <w:b/>
          <w:bCs/>
          <w:spacing w:val="-1"/>
        </w:rPr>
        <w:t>(abridged vers</w:t>
      </w:r>
      <w:r>
        <w:rPr>
          <w:rFonts w:ascii="Segoe UI" w:hAnsi="Segoe UI" w:eastAsia="Segoe UI" w:cs="Segoe UI"/>
          <w:sz w:val="24"/>
          <w:szCs w:val="24"/>
          <w:b/>
          <w:bCs/>
          <w:spacing w:val="-2"/>
        </w:rPr>
        <w:t>ion)</w:t>
      </w:r>
    </w:p>
    <w:p>
      <w:pPr>
        <w:pStyle w:val="BodyText"/>
        <w:ind w:left="22" w:right="5254"/>
        <w:spacing w:before="48" w:line="296" w:lineRule="auto"/>
        <w:rPr/>
      </w:pPr>
      <w:r>
        <w:rPr/>
        <w:t>China Anti-Cancer Association C</w:t>
      </w:r>
      <w:r>
        <w:rPr>
          <w:spacing w:val="-1"/>
        </w:rPr>
        <w:t>ommittee of</w:t>
      </w:r>
      <w:r>
        <w:rPr>
          <w:spacing w:val="13"/>
          <w:w w:val="102"/>
        </w:rPr>
        <w:t xml:space="preserve"> </w:t>
      </w:r>
      <w:r>
        <w:rPr>
          <w:spacing w:val="-1"/>
        </w:rPr>
        <w:t>Pancreatic Cancer</w:t>
      </w:r>
      <w:r>
        <w:rPr/>
        <w:t xml:space="preserve">   </w:t>
      </w:r>
      <w:r>
        <w:rPr/>
        <w:t>Correspondence to: Xianjun Yu;</w:t>
      </w:r>
      <w:r>
        <w:rPr>
          <w:spacing w:val="15"/>
        </w:rPr>
        <w:t xml:space="preserve"> </w:t>
      </w:r>
      <w:r>
        <w:rPr/>
        <w:t>E</w:t>
      </w:r>
      <w:r>
        <w:rPr>
          <w:spacing w:val="-1"/>
        </w:rPr>
        <w:t>-mail: </w:t>
      </w:r>
      <w:hyperlink w:history="true" r:id="rId3">
        <w:r>
          <w:rPr>
            <w:spacing w:val="-1"/>
          </w:rPr>
          <w:t>yuxianjun@fudanpci.org</w:t>
        </w:r>
      </w:hyperlink>
    </w:p>
    <w:p>
      <w:pPr>
        <w:pStyle w:val="BodyText"/>
        <w:ind w:left="16" w:right="27"/>
        <w:spacing w:before="3" w:line="310" w:lineRule="auto"/>
        <w:jc w:val="both"/>
        <w:rPr/>
      </w:pPr>
      <w:r>
        <w:rPr>
          <w:b/>
          <w:bCs/>
          <w:spacing w:val="-5"/>
        </w:rPr>
        <w:t>Abstract     </w:t>
      </w:r>
      <w:r>
        <w:rPr>
          <w:spacing w:val="-5"/>
        </w:rPr>
        <w:t>Pancreatic</w:t>
      </w:r>
      <w:r>
        <w:rPr>
          <w:spacing w:val="12"/>
        </w:rPr>
        <w:t xml:space="preserve"> </w:t>
      </w:r>
      <w:r>
        <w:rPr>
          <w:spacing w:val="-5"/>
        </w:rPr>
        <w:t>cancer</w:t>
      </w:r>
      <w:r>
        <w:rPr>
          <w:spacing w:val="14"/>
          <w:w w:val="101"/>
        </w:rPr>
        <w:t xml:space="preserve"> </w:t>
      </w:r>
      <w:r>
        <w:rPr>
          <w:spacing w:val="-5"/>
        </w:rPr>
        <w:t>ranks</w:t>
      </w:r>
      <w:r>
        <w:rPr>
          <w:spacing w:val="16"/>
        </w:rPr>
        <w:t xml:space="preserve"> </w:t>
      </w:r>
      <w:r>
        <w:rPr>
          <w:spacing w:val="-5"/>
        </w:rPr>
        <w:t>10</w:t>
      </w:r>
      <w:r>
        <w:rPr>
          <w:sz w:val="10"/>
          <w:szCs w:val="10"/>
          <w:spacing w:val="5"/>
          <w:position w:val="9"/>
        </w:rPr>
        <w:t>th</w:t>
      </w:r>
      <w:r>
        <w:rPr>
          <w:sz w:val="10"/>
          <w:szCs w:val="10"/>
          <w:spacing w:val="4"/>
          <w:position w:val="9"/>
        </w:rPr>
        <w:t xml:space="preserve">  </w:t>
      </w:r>
      <w:r>
        <w:rPr>
          <w:spacing w:val="-5"/>
        </w:rPr>
        <w:t>in the</w:t>
      </w:r>
      <w:r>
        <w:rPr>
          <w:spacing w:val="13"/>
        </w:rPr>
        <w:t xml:space="preserve"> </w:t>
      </w:r>
      <w:r>
        <w:rPr>
          <w:spacing w:val="-5"/>
        </w:rPr>
        <w:t>incidence</w:t>
      </w:r>
      <w:r>
        <w:rPr>
          <w:spacing w:val="14"/>
          <w:w w:val="101"/>
        </w:rPr>
        <w:t xml:space="preserve"> </w:t>
      </w:r>
      <w:r>
        <w:rPr>
          <w:spacing w:val="-5"/>
        </w:rPr>
        <w:t>rate</w:t>
      </w:r>
      <w:r>
        <w:rPr>
          <w:spacing w:val="9"/>
        </w:rPr>
        <w:t xml:space="preserve"> </w:t>
      </w:r>
      <w:r>
        <w:rPr>
          <w:spacing w:val="-5"/>
        </w:rPr>
        <w:t>of</w:t>
      </w:r>
      <w:r>
        <w:rPr>
          <w:spacing w:val="12"/>
          <w:w w:val="102"/>
        </w:rPr>
        <w:t xml:space="preserve"> </w:t>
      </w:r>
      <w:r>
        <w:rPr>
          <w:spacing w:val="-5"/>
        </w:rPr>
        <w:t>malignant tumors</w:t>
      </w:r>
      <w:r>
        <w:rPr>
          <w:spacing w:val="12"/>
          <w:w w:val="101"/>
        </w:rPr>
        <w:t xml:space="preserve"> </w:t>
      </w:r>
      <w:r>
        <w:rPr>
          <w:spacing w:val="-5"/>
        </w:rPr>
        <w:t>i</w:t>
      </w:r>
      <w:r>
        <w:rPr>
          <w:spacing w:val="-6"/>
        </w:rPr>
        <w:t>n</w:t>
      </w:r>
      <w:r>
        <w:rPr>
          <w:spacing w:val="14"/>
          <w:w w:val="102"/>
        </w:rPr>
        <w:t xml:space="preserve"> </w:t>
      </w:r>
      <w:r>
        <w:rPr>
          <w:spacing w:val="-6"/>
        </w:rPr>
        <w:t>men</w:t>
      </w:r>
      <w:r>
        <w:rPr>
          <w:spacing w:val="9"/>
        </w:rPr>
        <w:t xml:space="preserve"> </w:t>
      </w:r>
      <w:r>
        <w:rPr>
          <w:spacing w:val="-6"/>
        </w:rPr>
        <w:t>and</w:t>
      </w:r>
      <w:r>
        <w:rPr>
          <w:spacing w:val="16"/>
          <w:w w:val="101"/>
        </w:rPr>
        <w:t xml:space="preserve"> </w:t>
      </w:r>
      <w:r>
        <w:rPr>
          <w:spacing w:val="-6"/>
        </w:rPr>
        <w:t>12</w:t>
      </w:r>
      <w:r>
        <w:rPr>
          <w:sz w:val="10"/>
          <w:szCs w:val="10"/>
          <w:spacing w:val="-2"/>
          <w:position w:val="9"/>
        </w:rPr>
        <w:t>th</w:t>
      </w:r>
      <w:r>
        <w:rPr>
          <w:sz w:val="10"/>
          <w:szCs w:val="10"/>
          <w:spacing w:val="4"/>
          <w:position w:val="9"/>
        </w:rPr>
        <w:t xml:space="preserve">  </w:t>
      </w:r>
      <w:r>
        <w:rPr>
          <w:spacing w:val="-5"/>
        </w:rPr>
        <w:t>in women,</w:t>
      </w:r>
      <w:r>
        <w:rPr>
          <w:spacing w:val="9"/>
        </w:rPr>
        <w:t xml:space="preserve"> </w:t>
      </w:r>
      <w:r>
        <w:rPr>
          <w:spacing w:val="-5"/>
        </w:rPr>
        <w:t>and</w:t>
      </w:r>
      <w:r>
        <w:rPr>
          <w:spacing w:val="12"/>
          <w:w w:val="102"/>
        </w:rPr>
        <w:t xml:space="preserve"> </w:t>
      </w:r>
      <w:r>
        <w:rPr>
          <w:spacing w:val="-5"/>
        </w:rPr>
        <w:t>is</w:t>
      </w:r>
      <w:r>
        <w:rPr>
          <w:spacing w:val="4"/>
        </w:rPr>
        <w:t xml:space="preserve"> </w:t>
      </w:r>
      <w:r>
        <w:rPr>
          <w:spacing w:val="-5"/>
        </w:rPr>
        <w:t>the</w:t>
      </w:r>
      <w:r>
        <w:rPr>
          <w:spacing w:val="10"/>
        </w:rPr>
        <w:t xml:space="preserve"> </w:t>
      </w:r>
      <w:r>
        <w:rPr>
          <w:spacing w:val="-5"/>
        </w:rPr>
        <w:t>6</w:t>
      </w:r>
      <w:r>
        <w:rPr>
          <w:sz w:val="10"/>
          <w:szCs w:val="10"/>
          <w:spacing w:val="-2"/>
          <w:position w:val="9"/>
        </w:rPr>
        <w:t>th</w:t>
      </w:r>
      <w:r>
        <w:rPr>
          <w:sz w:val="10"/>
          <w:szCs w:val="10"/>
          <w:spacing w:val="5"/>
          <w:w w:val="103"/>
          <w:position w:val="9"/>
        </w:rPr>
        <w:t xml:space="preserve">  </w:t>
      </w:r>
      <w:r>
        <w:rPr>
          <w:spacing w:val="-2"/>
        </w:rPr>
        <w:t>leading</w:t>
      </w:r>
      <w:r>
        <w:rPr>
          <w:spacing w:val="17"/>
        </w:rPr>
        <w:t xml:space="preserve"> </w:t>
      </w:r>
      <w:r>
        <w:rPr>
          <w:spacing w:val="-2"/>
        </w:rPr>
        <w:t>cause</w:t>
      </w:r>
      <w:r>
        <w:rPr>
          <w:spacing w:val="17"/>
        </w:rPr>
        <w:t xml:space="preserve"> </w:t>
      </w:r>
      <w:r>
        <w:rPr>
          <w:spacing w:val="-2"/>
        </w:rPr>
        <w:t>of</w:t>
      </w:r>
      <w:r>
        <w:rPr/>
        <w:t xml:space="preserve">   </w:t>
      </w:r>
      <w:r>
        <w:rPr>
          <w:spacing w:val="-1"/>
        </w:rPr>
        <w:t>tumor-related</w:t>
      </w:r>
      <w:r>
        <w:rPr>
          <w:spacing w:val="13"/>
          <w:w w:val="102"/>
        </w:rPr>
        <w:t xml:space="preserve"> </w:t>
      </w:r>
      <w:r>
        <w:rPr>
          <w:spacing w:val="-1"/>
        </w:rPr>
        <w:t>deaths</w:t>
      </w:r>
      <w:r>
        <w:rPr>
          <w:spacing w:val="17"/>
        </w:rPr>
        <w:t xml:space="preserve"> </w:t>
      </w:r>
      <w:r>
        <w:rPr>
          <w:spacing w:val="-1"/>
        </w:rPr>
        <w:t>in</w:t>
      </w:r>
      <w:r>
        <w:rPr>
          <w:spacing w:val="13"/>
          <w:w w:val="101"/>
        </w:rPr>
        <w:t xml:space="preserve"> </w:t>
      </w:r>
      <w:r>
        <w:rPr>
          <w:spacing w:val="-1"/>
        </w:rPr>
        <w:t>China.</w:t>
      </w:r>
      <w:r>
        <w:rPr>
          <w:spacing w:val="20"/>
          <w:w w:val="101"/>
        </w:rPr>
        <w:t xml:space="preserve"> </w:t>
      </w:r>
      <w:r>
        <w:rPr>
          <w:spacing w:val="-1"/>
        </w:rPr>
        <w:t>It</w:t>
      </w:r>
      <w:r>
        <w:rPr>
          <w:spacing w:val="17"/>
        </w:rPr>
        <w:t xml:space="preserve"> </w:t>
      </w:r>
      <w:r>
        <w:rPr>
          <w:spacing w:val="-1"/>
        </w:rPr>
        <w:t>is</w:t>
      </w:r>
      <w:r>
        <w:rPr>
          <w:spacing w:val="13"/>
        </w:rPr>
        <w:t xml:space="preserve"> </w:t>
      </w:r>
      <w:r>
        <w:rPr>
          <w:spacing w:val="-1"/>
        </w:rPr>
        <w:t>a</w:t>
      </w:r>
      <w:r>
        <w:rPr>
          <w:spacing w:val="14"/>
        </w:rPr>
        <w:t xml:space="preserve"> </w:t>
      </w:r>
      <w:r>
        <w:rPr>
          <w:spacing w:val="-1"/>
        </w:rPr>
        <w:t>devastating</w:t>
      </w:r>
      <w:r>
        <w:rPr>
          <w:spacing w:val="18"/>
          <w:w w:val="101"/>
        </w:rPr>
        <w:t xml:space="preserve"> </w:t>
      </w:r>
      <w:r>
        <w:rPr>
          <w:spacing w:val="-1"/>
        </w:rPr>
        <w:t>malignancy</w:t>
      </w:r>
      <w:r>
        <w:rPr>
          <w:spacing w:val="10"/>
        </w:rPr>
        <w:t xml:space="preserve"> </w:t>
      </w:r>
      <w:r>
        <w:rPr>
          <w:spacing w:val="-1"/>
        </w:rPr>
        <w:t>with</w:t>
      </w:r>
      <w:r>
        <w:rPr>
          <w:spacing w:val="13"/>
          <w:w w:val="101"/>
        </w:rPr>
        <w:t xml:space="preserve"> </w:t>
      </w:r>
      <w:r>
        <w:rPr>
          <w:spacing w:val="-1"/>
        </w:rPr>
        <w:t>a</w:t>
      </w:r>
      <w:r>
        <w:rPr>
          <w:spacing w:val="18"/>
          <w:w w:val="102"/>
        </w:rPr>
        <w:t xml:space="preserve"> </w:t>
      </w:r>
      <w:r>
        <w:rPr>
          <w:spacing w:val="-1"/>
        </w:rPr>
        <w:t>poor</w:t>
      </w:r>
      <w:r>
        <w:rPr>
          <w:spacing w:val="18"/>
          <w:w w:val="101"/>
        </w:rPr>
        <w:t xml:space="preserve"> </w:t>
      </w:r>
      <w:r>
        <w:rPr>
          <w:spacing w:val="-1"/>
        </w:rPr>
        <w:t>prognosis.</w:t>
      </w:r>
      <w:r>
        <w:rPr>
          <w:spacing w:val="20"/>
          <w:w w:val="101"/>
        </w:rPr>
        <w:t xml:space="preserve"> </w:t>
      </w:r>
      <w:r>
        <w:rPr>
          <w:spacing w:val="-1"/>
        </w:rPr>
        <w:t>Inspired</w:t>
      </w:r>
      <w:r>
        <w:rPr>
          <w:spacing w:val="18"/>
          <w:w w:val="102"/>
        </w:rPr>
        <w:t xml:space="preserve"> </w:t>
      </w:r>
      <w:r>
        <w:rPr>
          <w:spacing w:val="-1"/>
        </w:rPr>
        <w:t>by the</w:t>
      </w:r>
      <w:r>
        <w:rPr>
          <w:spacing w:val="13"/>
        </w:rPr>
        <w:t xml:space="preserve"> </w:t>
      </w:r>
      <w:r>
        <w:rPr>
          <w:spacing w:val="-1"/>
        </w:rPr>
        <w:t>concept</w:t>
      </w:r>
      <w:r>
        <w:rPr>
          <w:spacing w:val="13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“integrated</w:t>
      </w:r>
      <w:r>
        <w:rPr>
          <w:spacing w:val="19"/>
        </w:rPr>
        <w:t xml:space="preserve"> </w:t>
      </w:r>
      <w:r>
        <w:rPr>
          <w:spacing w:val="-2"/>
        </w:rPr>
        <w:t>medicine,”</w:t>
      </w:r>
      <w:r>
        <w:rPr/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China</w:t>
      </w:r>
      <w:r>
        <w:rPr>
          <w:spacing w:val="21"/>
        </w:rPr>
        <w:t xml:space="preserve"> </w:t>
      </w:r>
      <w:r>
        <w:rPr>
          <w:spacing w:val="-1"/>
        </w:rPr>
        <w:t>Anti-Cancer</w:t>
      </w:r>
      <w:r>
        <w:rPr>
          <w:spacing w:val="21"/>
          <w:w w:val="101"/>
        </w:rPr>
        <w:t xml:space="preserve"> </w:t>
      </w:r>
      <w:r>
        <w:rPr>
          <w:spacing w:val="-1"/>
        </w:rPr>
        <w:t>Association</w:t>
      </w:r>
      <w:r>
        <w:rPr>
          <w:spacing w:val="26"/>
          <w:w w:val="102"/>
        </w:rPr>
        <w:t xml:space="preserve"> </w:t>
      </w:r>
      <w:r>
        <w:rPr>
          <w:spacing w:val="-1"/>
        </w:rPr>
        <w:t>Committee</w:t>
      </w:r>
      <w:r>
        <w:rPr>
          <w:spacing w:val="26"/>
        </w:rPr>
        <w:t xml:space="preserve"> </w:t>
      </w:r>
      <w:r>
        <w:rPr>
          <w:spacing w:val="-1"/>
        </w:rPr>
        <w:t>of</w:t>
      </w:r>
      <w:r>
        <w:rPr>
          <w:spacing w:val="31"/>
          <w:w w:val="101"/>
        </w:rPr>
        <w:t xml:space="preserve"> </w:t>
      </w:r>
      <w:r>
        <w:rPr>
          <w:spacing w:val="-1"/>
        </w:rPr>
        <w:t>Pancreatic</w:t>
      </w:r>
      <w:r>
        <w:rPr>
          <w:spacing w:val="26"/>
          <w:w w:val="102"/>
        </w:rPr>
        <w:t xml:space="preserve"> </w:t>
      </w:r>
      <w:r>
        <w:rPr>
          <w:spacing w:val="-1"/>
        </w:rPr>
        <w:t>Cancer</w:t>
      </w:r>
      <w:r>
        <w:rPr>
          <w:spacing w:val="31"/>
          <w:w w:val="101"/>
        </w:rPr>
        <w:t xml:space="preserve"> </w:t>
      </w:r>
      <w:r>
        <w:rPr>
          <w:spacing w:val="-1"/>
        </w:rPr>
        <w:t>has</w:t>
      </w:r>
      <w:r>
        <w:rPr>
          <w:spacing w:val="26"/>
        </w:rPr>
        <w:t xml:space="preserve"> </w:t>
      </w:r>
      <w:r>
        <w:rPr>
          <w:spacing w:val="-1"/>
        </w:rPr>
        <w:t>organized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efforts</w:t>
      </w:r>
      <w:r>
        <w:rPr>
          <w:spacing w:val="26"/>
        </w:rPr>
        <w:t xml:space="preserve"> </w:t>
      </w:r>
      <w:r>
        <w:rPr>
          <w:spacing w:val="-1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relevant</w:t>
      </w:r>
      <w:r>
        <w:rPr>
          <w:spacing w:val="26"/>
          <w:w w:val="101"/>
        </w:rPr>
        <w:t xml:space="preserve"> </w:t>
      </w:r>
      <w:r>
        <w:rPr>
          <w:spacing w:val="-2"/>
        </w:rPr>
        <w:t>experts</w:t>
      </w:r>
      <w:r>
        <w:rPr>
          <w:spacing w:val="21"/>
        </w:rPr>
        <w:t xml:space="preserve"> </w:t>
      </w:r>
      <w:r>
        <w:rPr>
          <w:spacing w:val="-2"/>
        </w:rPr>
        <w:t>to</w:t>
      </w:r>
      <w:r>
        <w:rPr>
          <w:spacing w:val="26"/>
        </w:rPr>
        <w:t xml:space="preserve"> </w:t>
      </w:r>
      <w:r>
        <w:rPr>
          <w:spacing w:val="-2"/>
        </w:rPr>
        <w:t>complete</w:t>
      </w:r>
      <w:r>
        <w:rPr>
          <w:spacing w:val="21"/>
        </w:rPr>
        <w:t xml:space="preserve"> </w:t>
      </w:r>
      <w:r>
        <w:rPr>
          <w:spacing w:val="-2"/>
        </w:rPr>
        <w:t>these</w:t>
      </w:r>
      <w:r>
        <w:rPr/>
        <w:t xml:space="preserve">   </w:t>
      </w:r>
      <w:r>
        <w:rPr>
          <w:spacing w:val="-1"/>
        </w:rPr>
        <w:t>guidelines for</w:t>
      </w:r>
      <w:r>
        <w:rPr>
          <w:spacing w:val="15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integrative</w:t>
      </w:r>
      <w:r>
        <w:rPr>
          <w:spacing w:val="20"/>
          <w:w w:val="102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comprehensive</w:t>
      </w:r>
      <w:r>
        <w:rPr>
          <w:spacing w:val="15"/>
          <w:w w:val="101"/>
        </w:rPr>
        <w:t xml:space="preserve"> </w:t>
      </w:r>
      <w:r>
        <w:rPr>
          <w:spacing w:val="-1"/>
        </w:rPr>
        <w:t>treatment</w:t>
      </w:r>
      <w:r>
        <w:rPr>
          <w:spacing w:val="20"/>
          <w:w w:val="102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rPr>
          <w:spacing w:val="-1"/>
        </w:rPr>
        <w:t>rehabilitation</w:t>
      </w:r>
      <w:r>
        <w:rPr>
          <w:spacing w:val="26"/>
        </w:rPr>
        <w:t xml:space="preserve"> </w:t>
      </w:r>
      <w:r>
        <w:rPr>
          <w:spacing w:val="-1"/>
        </w:rPr>
        <w:t>manageme</w:t>
      </w:r>
      <w:r>
        <w:rPr>
          <w:spacing w:val="-2"/>
        </w:rPr>
        <w:t>nt</w:t>
      </w:r>
      <w:r>
        <w:rPr>
          <w:spacing w:val="20"/>
          <w:w w:val="101"/>
        </w:rPr>
        <w:t xml:space="preserve"> </w:t>
      </w:r>
      <w:r>
        <w:rPr>
          <w:spacing w:val="-2"/>
        </w:rPr>
        <w:t>of</w:t>
      </w:r>
      <w:r>
        <w:rPr>
          <w:spacing w:val="24"/>
          <w:w w:val="101"/>
        </w:rPr>
        <w:t xml:space="preserve"> </w:t>
      </w:r>
      <w:r>
        <w:rPr>
          <w:spacing w:val="-2"/>
        </w:rPr>
        <w:t>pancreatic</w:t>
      </w:r>
      <w:r>
        <w:rPr>
          <w:spacing w:val="20"/>
          <w:w w:val="101"/>
        </w:rPr>
        <w:t xml:space="preserve"> </w:t>
      </w:r>
      <w:r>
        <w:rPr>
          <w:spacing w:val="-2"/>
        </w:rPr>
        <w:t>cancer</w:t>
      </w:r>
      <w:r>
        <w:rPr>
          <w:spacing w:val="26"/>
          <w:w w:val="101"/>
        </w:rPr>
        <w:t xml:space="preserve"> </w:t>
      </w:r>
      <w:r>
        <w:rPr>
          <w:spacing w:val="-2"/>
        </w:rPr>
        <w:t>based</w:t>
      </w:r>
      <w:r>
        <w:rPr>
          <w:spacing w:val="20"/>
          <w:w w:val="101"/>
        </w:rPr>
        <w:t xml:space="preserve"> </w:t>
      </w:r>
      <w:r>
        <w:rPr>
          <w:spacing w:val="-2"/>
        </w:rPr>
        <w:t>on</w:t>
      </w:r>
      <w:r>
        <w:rPr>
          <w:spacing w:val="15"/>
          <w:w w:val="101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prin-</w:t>
      </w:r>
      <w:r>
        <w:rPr/>
        <w:t xml:space="preserve">   </w:t>
      </w:r>
      <w:r>
        <w:rPr>
          <w:spacing w:val="-1"/>
        </w:rPr>
        <w:t>ciples</w:t>
      </w:r>
      <w:r>
        <w:rPr>
          <w:spacing w:val="17"/>
          <w:w w:val="101"/>
        </w:rPr>
        <w:t xml:space="preserve"> </w:t>
      </w:r>
      <w:r>
        <w:rPr>
          <w:spacing w:val="-1"/>
        </w:rPr>
        <w:t>of</w:t>
      </w:r>
      <w:r>
        <w:rPr>
          <w:spacing w:val="16"/>
          <w:w w:val="101"/>
        </w:rPr>
        <w:t xml:space="preserve"> </w:t>
      </w:r>
      <w:r>
        <w:rPr>
          <w:spacing w:val="-1"/>
        </w:rPr>
        <w:t>“Preventing,</w:t>
      </w:r>
      <w:r>
        <w:rPr>
          <w:spacing w:val="15"/>
          <w:w w:val="101"/>
        </w:rPr>
        <w:t xml:space="preserve"> </w:t>
      </w:r>
      <w:r>
        <w:rPr>
          <w:spacing w:val="-1"/>
        </w:rPr>
        <w:t>Screening,</w:t>
      </w:r>
      <w:r>
        <w:rPr>
          <w:spacing w:val="24"/>
          <w:w w:val="101"/>
        </w:rPr>
        <w:t xml:space="preserve"> </w:t>
      </w:r>
      <w:r>
        <w:rPr>
          <w:spacing w:val="-1"/>
        </w:rPr>
        <w:t>Diagnosing,</w:t>
      </w:r>
      <w:r>
        <w:rPr>
          <w:spacing w:val="10"/>
          <w:w w:val="101"/>
        </w:rPr>
        <w:t xml:space="preserve"> </w:t>
      </w:r>
      <w:r>
        <w:rPr>
          <w:spacing w:val="-1"/>
        </w:rPr>
        <w:t>Treating,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24"/>
          <w:w w:val="101"/>
        </w:rPr>
        <w:t xml:space="preserve"> </w:t>
      </w:r>
      <w:r>
        <w:rPr>
          <w:spacing w:val="-1"/>
        </w:rPr>
        <w:t>Rehabilitating.</w:t>
      </w:r>
      <w:r>
        <w:rPr>
          <w:spacing w:val="-28"/>
        </w:rPr>
        <w:t xml:space="preserve"> </w:t>
      </w:r>
      <w:r>
        <w:rPr>
          <w:spacing w:val="-1"/>
        </w:rPr>
        <w:t>”</w:t>
      </w:r>
      <w:r>
        <w:rPr>
          <w:spacing w:val="11"/>
        </w:rPr>
        <w:t xml:space="preserve"> </w:t>
      </w:r>
      <w:r>
        <w:rPr>
          <w:spacing w:val="-1"/>
        </w:rPr>
        <w:t>We</w:t>
      </w:r>
      <w:r>
        <w:rPr>
          <w:spacing w:val="22"/>
          <w:w w:val="102"/>
        </w:rPr>
        <w:t xml:space="preserve"> </w:t>
      </w:r>
      <w:r>
        <w:rPr>
          <w:spacing w:val="-1"/>
        </w:rPr>
        <w:t>hope</w:t>
      </w:r>
      <w:r>
        <w:rPr>
          <w:spacing w:val="12"/>
        </w:rPr>
        <w:t xml:space="preserve"> </w:t>
      </w:r>
      <w:r>
        <w:rPr>
          <w:spacing w:val="-1"/>
        </w:rPr>
        <w:t>that</w:t>
      </w:r>
      <w:r>
        <w:rPr>
          <w:spacing w:val="12"/>
        </w:rPr>
        <w:t xml:space="preserve"> </w:t>
      </w:r>
      <w:r>
        <w:rPr>
          <w:spacing w:val="-1"/>
        </w:rPr>
        <w:t>these</w:t>
      </w:r>
      <w:r>
        <w:rPr>
          <w:spacing w:val="13"/>
          <w:w w:val="102"/>
        </w:rPr>
        <w:t xml:space="preserve"> </w:t>
      </w:r>
      <w:r>
        <w:rPr>
          <w:spacing w:val="-1"/>
        </w:rPr>
        <w:t>guidelines</w:t>
      </w:r>
      <w:r>
        <w:rPr>
          <w:spacing w:val="13"/>
          <w:w w:val="102"/>
        </w:rPr>
        <w:t xml:space="preserve"> </w:t>
      </w:r>
      <w:r>
        <w:rPr>
          <w:spacing w:val="-1"/>
        </w:rPr>
        <w:t>will</w:t>
      </w:r>
      <w:r>
        <w:rPr>
          <w:spacing w:val="17"/>
        </w:rPr>
        <w:t xml:space="preserve"> </w:t>
      </w:r>
      <w:r>
        <w:rPr>
          <w:spacing w:val="-1"/>
        </w:rPr>
        <w:t>constitute</w:t>
      </w:r>
      <w:r>
        <w:rPr>
          <w:spacing w:val="17"/>
          <w:w w:val="101"/>
        </w:rPr>
        <w:t xml:space="preserve"> </w:t>
      </w:r>
      <w:r>
        <w:rPr>
          <w:spacing w:val="-1"/>
        </w:rPr>
        <w:t>an</w:t>
      </w:r>
      <w:r>
        <w:rPr>
          <w:spacing w:val="17"/>
        </w:rPr>
        <w:t xml:space="preserve"> </w:t>
      </w:r>
      <w:r>
        <w:rPr>
          <w:spacing w:val="-1"/>
        </w:rPr>
        <w:t>eff</w:t>
      </w:r>
      <w:r>
        <w:rPr>
          <w:spacing w:val="-2"/>
        </w:rPr>
        <w:t>ective</w:t>
      </w:r>
      <w:r>
        <w:rPr/>
        <w:t xml:space="preserve">   </w:t>
      </w:r>
      <w:r>
        <w:rPr>
          <w:spacing w:val="-1"/>
        </w:rPr>
        <w:t>reference for clinicians</w:t>
      </w:r>
      <w:r>
        <w:rPr>
          <w:spacing w:val="12"/>
          <w:w w:val="101"/>
        </w:rPr>
        <w:t xml:space="preserve"> </w:t>
      </w:r>
      <w:r>
        <w:rPr>
          <w:spacing w:val="-1"/>
        </w:rPr>
        <w:t>in achieving the</w:t>
      </w:r>
      <w:r>
        <w:rPr>
          <w:spacing w:val="13"/>
          <w:w w:val="102"/>
        </w:rPr>
        <w:t xml:space="preserve"> </w:t>
      </w:r>
      <w:r>
        <w:rPr>
          <w:spacing w:val="-1"/>
        </w:rPr>
        <w:t>best treatment outcomes</w:t>
      </w:r>
      <w:r>
        <w:rPr>
          <w:spacing w:val="3"/>
        </w:rPr>
        <w:t xml:space="preserve"> </w:t>
      </w:r>
      <w:r>
        <w:rPr>
          <w:spacing w:val="-1"/>
        </w:rPr>
        <w:t>for</w:t>
      </w:r>
      <w:r>
        <w:rPr>
          <w:spacing w:val="13"/>
          <w:w w:val="101"/>
        </w:rPr>
        <w:t xml:space="preserve"> </w:t>
      </w:r>
      <w:r>
        <w:rPr>
          <w:spacing w:val="-1"/>
        </w:rPr>
        <w:t>patients</w:t>
      </w:r>
      <w:r>
        <w:rPr>
          <w:spacing w:val="4"/>
        </w:rPr>
        <w:t xml:space="preserve"> </w:t>
      </w:r>
      <w:r>
        <w:rPr>
          <w:spacing w:val="-1"/>
        </w:rPr>
        <w:t>with</w:t>
      </w:r>
      <w:r>
        <w:rPr>
          <w:spacing w:val="14"/>
          <w:w w:val="101"/>
        </w:rPr>
        <w:t xml:space="preserve"> </w:t>
      </w:r>
      <w:r>
        <w:rPr>
          <w:spacing w:val="-1"/>
        </w:rPr>
        <w:t>pancreatic</w:t>
      </w:r>
      <w:r>
        <w:rPr>
          <w:spacing w:val="7"/>
        </w:rPr>
        <w:t xml:space="preserve"> </w:t>
      </w:r>
      <w:r>
        <w:rPr>
          <w:spacing w:val="-1"/>
        </w:rPr>
        <w:t>cancer</w:t>
      </w:r>
      <w:r>
        <w:rPr>
          <w:spacing w:val="12"/>
          <w:w w:val="101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China.</w:t>
      </w:r>
    </w:p>
    <w:p>
      <w:pPr>
        <w:pStyle w:val="BodyText"/>
        <w:ind w:left="26"/>
        <w:spacing w:before="17" w:line="229" w:lineRule="exact"/>
        <w:rPr/>
      </w:pPr>
      <w:r>
        <w:rPr>
          <w:b/>
          <w:bCs/>
          <w:spacing w:val="-1"/>
          <w:position w:val="2"/>
        </w:rPr>
        <w:t>Keywords:</w:t>
      </w:r>
      <w:r>
        <w:rPr>
          <w:b/>
          <w:bCs/>
          <w:spacing w:val="14"/>
          <w:position w:val="2"/>
        </w:rPr>
        <w:t xml:space="preserve"> </w:t>
      </w:r>
      <w:r>
        <w:rPr>
          <w:spacing w:val="-1"/>
          <w:position w:val="2"/>
        </w:rPr>
        <w:t>pancreatic cancer,</w:t>
      </w:r>
      <w:r>
        <w:rPr>
          <w:spacing w:val="13"/>
          <w:w w:val="101"/>
          <w:position w:val="2"/>
        </w:rPr>
        <w:t xml:space="preserve"> </w:t>
      </w:r>
      <w:r>
        <w:rPr>
          <w:spacing w:val="-1"/>
          <w:position w:val="2"/>
        </w:rPr>
        <w:t>holistic</w:t>
      </w:r>
      <w:r>
        <w:rPr>
          <w:spacing w:val="11"/>
          <w:w w:val="102"/>
          <w:position w:val="2"/>
        </w:rPr>
        <w:t xml:space="preserve"> </w:t>
      </w:r>
      <w:r>
        <w:rPr>
          <w:spacing w:val="-1"/>
          <w:position w:val="2"/>
        </w:rPr>
        <w:t>integrative</w:t>
      </w:r>
      <w:r>
        <w:rPr>
          <w:spacing w:val="13"/>
          <w:w w:val="101"/>
          <w:position w:val="2"/>
        </w:rPr>
        <w:t xml:space="preserve"> </w:t>
      </w:r>
      <w:r>
        <w:rPr>
          <w:spacing w:val="-1"/>
          <w:position w:val="2"/>
        </w:rPr>
        <w:t>management, guid</w:t>
      </w:r>
      <w:r>
        <w:rPr>
          <w:spacing w:val="-2"/>
          <w:position w:val="2"/>
        </w:rPr>
        <w:t>eline</w:t>
      </w:r>
    </w:p>
    <w:p>
      <w:pPr>
        <w:spacing w:before="74"/>
        <w:rPr/>
      </w:pPr>
      <w:r/>
    </w:p>
    <w:p>
      <w:pPr>
        <w:spacing w:before="74"/>
        <w:rPr/>
      </w:pPr>
      <w:r/>
    </w:p>
    <w:p>
      <w:pPr>
        <w:sectPr>
          <w:headerReference w:type="default" r:id="rId1"/>
          <w:pgSz w:w="12246" w:h="17178"/>
          <w:pgMar w:top="1297" w:right="1102" w:bottom="0" w:left="1190" w:header="928" w:footer="0" w:gutter="0"/>
          <w:cols w:equalWidth="0" w:num="1">
            <w:col w:w="9953" w:space="0"/>
          </w:cols>
        </w:sectPr>
        <w:rPr/>
      </w:pPr>
    </w:p>
    <w:p>
      <w:pPr>
        <w:ind w:left="16" w:right="239" w:firstLine="461"/>
        <w:spacing w:before="45" w:line="206" w:lineRule="auto"/>
        <w:tabs>
          <w:tab w:val="left" w:pos="4813"/>
        </w:tabs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9"/>
        </w:rPr>
        <w:t>目前，全球胰腺癌的发病率呈上升趋势，死亡率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>和发病率相近，病死率极高</w:t>
      </w:r>
      <w:hyperlink w:history="true" w:anchor="bookmark1">
        <w:r>
          <w:rPr>
            <w:rFonts w:ascii="Times New Roman" w:hAnsi="Times New Roman" w:eastAsia="Times New Roman" w:cs="Times New Roman"/>
            <w:sz w:val="10"/>
            <w:szCs w:val="10"/>
            <w:spacing w:val="1"/>
            <w:position w:val="9"/>
          </w:rPr>
          <w:t>[1-2] 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1"/>
        </w:rPr>
        <w:t>。中国国家癌症中心</w:t>
      </w:r>
      <w:r>
        <w:rPr>
          <w:rFonts w:ascii="Microsoft YaHei" w:hAnsi="Microsoft YaHei" w:eastAsia="Microsoft YaHei" w:cs="Microsoft YaHei"/>
          <w:sz w:val="21"/>
          <w:szCs w:val="21"/>
        </w:rPr>
        <w:tab/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2022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年发布的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2016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年度统计数据显示，胰腺癌在国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>内男性恶性肿瘤发病率居第 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8 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>位，女性居第</w:t>
      </w:r>
      <w:r>
        <w:rPr>
          <w:rFonts w:ascii="Microsoft YaHei" w:hAnsi="Microsoft YaHei" w:eastAsia="Microsoft YaHei" w:cs="Microsoft YaHei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12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位，在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恶性肿瘤死亡率中居第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6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位</w:t>
      </w:r>
      <w:hyperlink w:history="true" w:anchor="bookmark2">
        <w:r>
          <w:rPr>
            <w:rFonts w:ascii="Times New Roman" w:hAnsi="Times New Roman" w:eastAsia="Times New Roman" w:cs="Times New Roman"/>
            <w:sz w:val="10"/>
            <w:szCs w:val="10"/>
            <w:spacing w:val="-6"/>
            <w:position w:val="9"/>
          </w:rPr>
          <w:t>[3]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。胰腺癌早期诊断困难，</w:t>
      </w:r>
      <w:r>
        <w:rPr>
          <w:rFonts w:ascii="Microsoft YaHei" w:hAnsi="Microsoft YaHei" w:eastAsia="Microsoft YaHei" w:cs="Microsoft YaHei"/>
          <w:sz w:val="21"/>
          <w:szCs w:val="21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0"/>
          <w:w w:val="98"/>
        </w:rPr>
        <w:t>手术切除率低，同时具有高度恶性的生物学行为，</w:t>
      </w:r>
      <w:r>
        <w:rPr>
          <w:rFonts w:ascii="Microsoft YaHei" w:hAnsi="Microsoft YaHei" w:eastAsia="Microsoft YaHei" w:cs="Microsoft YaHei"/>
          <w:sz w:val="21"/>
          <w:szCs w:val="21"/>
          <w:spacing w:val="-11"/>
          <w:w w:val="98"/>
        </w:rPr>
        <w:t>预后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1"/>
          <w:w w:val="99"/>
        </w:rPr>
        <w:t>极差。近年来，在</w:t>
      </w:r>
      <w:r>
        <w:rPr>
          <w:rFonts w:ascii="Times New Roman" w:hAnsi="Times New Roman" w:eastAsia="Times New Roman" w:cs="Times New Roman"/>
          <w:sz w:val="21"/>
          <w:szCs w:val="21"/>
          <w:spacing w:val="-11"/>
          <w:w w:val="99"/>
        </w:rPr>
        <w:t>“</w:t>
      </w:r>
      <w:r>
        <w:rPr>
          <w:rFonts w:ascii="Microsoft YaHei" w:hAnsi="Microsoft YaHei" w:eastAsia="Microsoft YaHei" w:cs="Microsoft YaHei"/>
          <w:sz w:val="21"/>
          <w:szCs w:val="21"/>
          <w:spacing w:val="-11"/>
          <w:w w:val="99"/>
        </w:rPr>
        <w:t>整合医学</w:t>
      </w:r>
      <w:r>
        <w:rPr>
          <w:rFonts w:ascii="Times New Roman" w:hAnsi="Times New Roman" w:eastAsia="Times New Roman" w:cs="Times New Roman"/>
          <w:sz w:val="21"/>
          <w:szCs w:val="21"/>
          <w:spacing w:val="-11"/>
          <w:w w:val="99"/>
        </w:rPr>
        <w:t>”</w:t>
      </w:r>
      <w:r>
        <w:rPr>
          <w:rFonts w:ascii="Microsoft YaHei" w:hAnsi="Microsoft YaHei" w:eastAsia="Microsoft YaHei" w:cs="Microsoft YaHei"/>
          <w:sz w:val="21"/>
          <w:szCs w:val="21"/>
          <w:spacing w:val="-11"/>
          <w:w w:val="99"/>
        </w:rPr>
        <w:t>理念的推动下，多学科整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>合诊疗模式（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MDT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HIM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>）深入人心，胰腺癌的预后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也有缓慢改善的趋势。美国癌症协会发布数据显示，</w:t>
      </w:r>
      <w:r>
        <w:rPr>
          <w:rFonts w:ascii="Microsoft YaHei" w:hAnsi="Microsoft YaHei" w:eastAsia="Microsoft YaHei" w:cs="Microsoft YaHei"/>
          <w:sz w:val="21"/>
          <w:szCs w:val="21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胰腺癌的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5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年生存率已由</w:t>
      </w:r>
      <w:r>
        <w:rPr>
          <w:rFonts w:ascii="Microsoft YaHei" w:hAnsi="Microsoft YaHei" w:eastAsia="Microsoft YaHei" w:cs="Microsoft YaHei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10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年前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5</w:t>
      </w:r>
      <w:r>
        <w:rPr>
          <w:rFonts w:ascii="Arial" w:hAnsi="Arial" w:eastAsia="Arial" w:cs="Arial"/>
          <w:sz w:val="21"/>
          <w:szCs w:val="21"/>
          <w:spacing w:val="-5"/>
        </w:rPr>
        <w:t>%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6</w:t>
      </w:r>
      <w:r>
        <w:rPr>
          <w:rFonts w:ascii="Arial" w:hAnsi="Arial" w:eastAsia="Arial" w:cs="Arial"/>
          <w:sz w:val="21"/>
          <w:szCs w:val="21"/>
          <w:spacing w:val="-5"/>
        </w:rPr>
        <w:t>%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提高到目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前的 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9</w:t>
      </w:r>
      <w:r>
        <w:rPr>
          <w:rFonts w:ascii="Arial" w:hAnsi="Arial" w:eastAsia="Arial" w:cs="Arial"/>
          <w:sz w:val="21"/>
          <w:szCs w:val="21"/>
          <w:spacing w:val="-11"/>
        </w:rPr>
        <w:t>%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10</w:t>
      </w:r>
      <w:r>
        <w:rPr>
          <w:rFonts w:ascii="Arial" w:hAnsi="Arial" w:eastAsia="Arial" w:cs="Arial"/>
          <w:sz w:val="21"/>
          <w:szCs w:val="21"/>
          <w:spacing w:val="-11"/>
        </w:rPr>
        <w:t>%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，但生存率仍是所有恶性肿瘤中最</w:t>
      </w:r>
      <w:r>
        <w:rPr>
          <w:rFonts w:ascii="Microsoft YaHei" w:hAnsi="Microsoft YaHei" w:eastAsia="Microsoft YaHei" w:cs="Microsoft YaHei"/>
          <w:sz w:val="21"/>
          <w:szCs w:val="21"/>
          <w:spacing w:val="-12"/>
        </w:rPr>
        <w:t>低</w:t>
      </w:r>
      <w:r>
        <w:rPr>
          <w:rFonts w:ascii="Times New Roman" w:hAnsi="Times New Roman" w:eastAsia="Times New Roman" w:cs="Times New Roman"/>
          <w:sz w:val="10"/>
          <w:szCs w:val="10"/>
          <w:spacing w:val="-12"/>
          <w:position w:val="9"/>
        </w:rPr>
        <w:t>[</w:t>
      </w:r>
      <w:hyperlink w:history="true" w:anchor="bookmark3">
        <w:r>
          <w:rPr>
            <w:rFonts w:ascii="Times New Roman" w:hAnsi="Times New Roman" w:eastAsia="Times New Roman" w:cs="Times New Roman"/>
            <w:sz w:val="10"/>
            <w:szCs w:val="10"/>
            <w:spacing w:val="-12"/>
            <w:position w:val="9"/>
          </w:rPr>
          <w:t>4</w:t>
        </w:r>
      </w:hyperlink>
      <w:r>
        <w:rPr>
          <w:rFonts w:ascii="Times New Roman" w:hAnsi="Times New Roman" w:eastAsia="Times New Roman" w:cs="Times New Roman"/>
          <w:sz w:val="10"/>
          <w:szCs w:val="10"/>
          <w:spacing w:val="-12"/>
          <w:position w:val="9"/>
        </w:rPr>
        <w:t>-</w:t>
      </w:r>
      <w:hyperlink w:history="true" w:anchor="bookmark4">
        <w:r>
          <w:rPr>
            <w:rFonts w:ascii="Times New Roman" w:hAnsi="Times New Roman" w:eastAsia="Times New Roman" w:cs="Times New Roman"/>
            <w:sz w:val="10"/>
            <w:szCs w:val="10"/>
            <w:spacing w:val="-12"/>
            <w:position w:val="9"/>
          </w:rPr>
          <w:t>6</w:t>
        </w:r>
      </w:hyperlink>
      <w:r>
        <w:rPr>
          <w:rFonts w:ascii="Times New Roman" w:hAnsi="Times New Roman" w:eastAsia="Times New Roman" w:cs="Times New Roman"/>
          <w:sz w:val="10"/>
          <w:szCs w:val="10"/>
          <w:spacing w:val="-12"/>
          <w:position w:val="9"/>
        </w:rPr>
        <w:t>] </w:t>
      </w:r>
      <w:r>
        <w:rPr>
          <w:rFonts w:ascii="Microsoft YaHei" w:hAnsi="Microsoft YaHei" w:eastAsia="Microsoft YaHei" w:cs="Microsoft YaHei"/>
          <w:sz w:val="21"/>
          <w:szCs w:val="21"/>
          <w:spacing w:val="-26"/>
          <w:w w:val="98"/>
        </w:rPr>
        <w:t>。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中国抗癌协会胰腺癌专业委员会邀请胰腺癌领域多学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9"/>
        </w:rPr>
        <w:t>科专家共同制定了《中国恶性肿瘤整合诊治指南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-</w:t>
      </w:r>
      <w:r>
        <w:rPr>
          <w:rFonts w:ascii="Microsoft YaHei" w:hAnsi="Microsoft YaHei" w:eastAsia="Microsoft YaHei" w:cs="Microsoft YaHei"/>
          <w:sz w:val="21"/>
          <w:szCs w:val="21"/>
          <w:spacing w:val="-9"/>
        </w:rPr>
        <w:t>胰腺</w:t>
      </w:r>
      <w:r>
        <w:rPr>
          <w:rFonts w:ascii="Microsoft YaHei" w:hAnsi="Microsoft YaHei" w:eastAsia="Microsoft YaHei" w:cs="Microsoft YaHei"/>
          <w:sz w:val="21"/>
          <w:szCs w:val="21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癌》，从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“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防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-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筛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-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诊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-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治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-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康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”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全面指导胰腺癌的整合诊治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与康复管理等。</w:t>
      </w:r>
    </w:p>
    <w:p>
      <w:pPr>
        <w:ind w:left="33"/>
        <w:spacing w:before="1" w:line="220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6"/>
        </w:rPr>
        <w:t>1</w:t>
      </w:r>
      <w:r>
        <w:rPr>
          <w:rFonts w:ascii="SimHei" w:hAnsi="SimHei" w:eastAsia="SimHei" w:cs="SimHei"/>
          <w:sz w:val="21"/>
          <w:szCs w:val="21"/>
          <w:spacing w:val="-6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6"/>
        </w:rPr>
        <w:t>预防与筛查</w:t>
      </w:r>
    </w:p>
    <w:p>
      <w:pPr>
        <w:ind w:left="38"/>
        <w:spacing w:before="28" w:line="22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1.1   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胰腺癌的病因与危险因素</w:t>
      </w:r>
    </w:p>
    <w:p>
      <w:pPr>
        <w:ind w:left="17" w:right="338" w:firstLine="420"/>
        <w:spacing w:before="5" w:line="187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胰腺癌发病的原因和确切机制尚不完全清楚，流</w:t>
      </w:r>
      <w:r>
        <w:rPr>
          <w:rFonts w:ascii="Microsoft YaHei" w:hAnsi="Microsoft YaHei" w:eastAsia="Microsoft YaHei" w:cs="Microsoft YaHei"/>
          <w:sz w:val="21"/>
          <w:szCs w:val="21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行病学调查显示胰腺癌发病与多种危险因素有关，具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0"/>
          <w:w w:val="94"/>
        </w:rPr>
        <w:t>体为个体因素（年龄、遗传易感性、遗传综合征等）、生</w:t>
      </w:r>
      <w:r>
        <w:rPr>
          <w:rFonts w:ascii="Microsoft YaHei" w:hAnsi="Microsoft YaHei" w:eastAsia="Microsoft YaHei" w:cs="Microsoft YaHei"/>
          <w:sz w:val="21"/>
          <w:szCs w:val="21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0"/>
          <w:w w:val="94"/>
        </w:rPr>
        <w:t>活方式（吸烟、酗酒、肥胖）、损伤感染（职业暴露、微</w:t>
      </w:r>
    </w:p>
    <w:p>
      <w:pPr>
        <w:ind w:left="14"/>
        <w:spacing w:before="1" w:line="237" w:lineRule="auto"/>
        <w:tabs>
          <w:tab w:val="left" w:pos="2276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ind w:left="19"/>
        <w:spacing w:before="48" w:line="227" w:lineRule="auto"/>
        <w:rPr>
          <w:rFonts w:ascii="Segoe UI" w:hAnsi="Segoe UI" w:eastAsia="Segoe UI" w:cs="Segoe U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5"/>
        </w:rPr>
        <w:t>通信作者：虞先濬</w:t>
      </w:r>
      <w:r>
        <w:rPr>
          <w:rFonts w:ascii="SimHei" w:hAnsi="SimHei" w:eastAsia="SimHei" w:cs="SimHei"/>
          <w:sz w:val="16"/>
          <w:szCs w:val="16"/>
          <w:spacing w:val="69"/>
          <w:w w:val="101"/>
        </w:rPr>
        <w:t xml:space="preserve"> </w:t>
      </w:r>
      <w:hyperlink w:history="true" r:id="rId3">
        <w:r>
          <w:rPr>
            <w:rFonts w:ascii="Segoe UI" w:hAnsi="Segoe UI" w:eastAsia="Segoe UI" w:cs="Segoe UI"/>
            <w:sz w:val="16"/>
            <w:szCs w:val="16"/>
            <w:spacing w:val="-5"/>
          </w:rPr>
          <w:t>yuxianjun@fudanpci.org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 w:right="100"/>
        <w:spacing w:before="41" w:line="19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0"/>
          <w:w w:val="94"/>
        </w:rPr>
        <w:t>生物感染）、良性疾病（糖尿病、慢性胰腺炎）、癌前病</w:t>
      </w:r>
      <w:r>
        <w:rPr>
          <w:rFonts w:ascii="Microsoft YaHei" w:hAnsi="Microsoft YaHei" w:eastAsia="Microsoft YaHei" w:cs="Microsoft YaHei"/>
          <w:sz w:val="21"/>
          <w:szCs w:val="21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  <w:position w:val="-3"/>
        </w:rPr>
        <w:t>变等</w:t>
      </w:r>
      <w:hyperlink w:history="true" w:anchor="bookmark5">
        <w:r>
          <w:rPr>
            <w:rFonts w:ascii="Times New Roman" w:hAnsi="Times New Roman" w:eastAsia="Times New Roman" w:cs="Times New Roman"/>
            <w:sz w:val="10"/>
            <w:szCs w:val="10"/>
            <w:spacing w:val="-3"/>
            <w:position w:val="6"/>
          </w:rPr>
          <w:t>[7]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3"/>
          <w:position w:val="-3"/>
        </w:rPr>
        <w:t>。</w:t>
      </w:r>
    </w:p>
    <w:p>
      <w:pPr>
        <w:ind w:left="22"/>
        <w:spacing w:line="22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1.2   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胰腺癌的预防</w:t>
      </w:r>
    </w:p>
    <w:p>
      <w:pPr>
        <w:ind w:firstLine="421"/>
        <w:spacing w:before="11" w:line="204" w:lineRule="auto"/>
        <w:tabs>
          <w:tab w:val="left" w:pos="4796"/>
        </w:tabs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尽可能通过干预胰腺癌发病危险因素，降低胰腺</w:t>
      </w:r>
      <w:r>
        <w:rPr>
          <w:rFonts w:ascii="Microsoft YaHei" w:hAnsi="Microsoft YaHei" w:eastAsia="Microsoft YaHei" w:cs="Microsoft YaHei"/>
          <w:sz w:val="21"/>
          <w:szCs w:val="21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6"/>
          <w:w w:val="97"/>
        </w:rPr>
        <w:t>癌发生几率。如：</w:t>
      </w:r>
      <w:r>
        <w:rPr>
          <w:rFonts w:ascii="Times New Roman" w:hAnsi="Times New Roman" w:eastAsia="Times New Roman" w:cs="Times New Roman"/>
          <w:sz w:val="21"/>
          <w:szCs w:val="21"/>
          <w:spacing w:val="-16"/>
          <w:w w:val="97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spacing w:val="-16"/>
          <w:w w:val="97"/>
        </w:rPr>
        <w:t>）积极戒烟，避免二手烟；</w:t>
      </w:r>
      <w:r>
        <w:rPr>
          <w:rFonts w:ascii="Times New Roman" w:hAnsi="Times New Roman" w:eastAsia="Times New Roman" w:cs="Times New Roman"/>
          <w:sz w:val="21"/>
          <w:szCs w:val="21"/>
          <w:spacing w:val="-16"/>
          <w:w w:val="97"/>
        </w:rPr>
        <w:t>2</w:t>
      </w:r>
      <w:r>
        <w:rPr>
          <w:rFonts w:ascii="Microsoft YaHei" w:hAnsi="Microsoft YaHei" w:eastAsia="Microsoft YaHei" w:cs="Microsoft YaHei"/>
          <w:sz w:val="21"/>
          <w:szCs w:val="21"/>
          <w:spacing w:val="-16"/>
          <w:w w:val="97"/>
        </w:rPr>
        <w:t>）避免酗</w:t>
      </w:r>
      <w:r>
        <w:rPr>
          <w:rFonts w:ascii="Microsoft YaHei" w:hAnsi="Microsoft YaHei" w:eastAsia="Microsoft YaHei" w:cs="Microsoft YaHei"/>
          <w:sz w:val="21"/>
          <w:szCs w:val="21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9"/>
          <w:w w:val="98"/>
        </w:rPr>
        <w:t>酒；</w:t>
      </w:r>
      <w:r>
        <w:rPr>
          <w:rFonts w:ascii="Times New Roman" w:hAnsi="Times New Roman" w:eastAsia="Times New Roman" w:cs="Times New Roman"/>
          <w:sz w:val="21"/>
          <w:szCs w:val="21"/>
          <w:spacing w:val="-9"/>
          <w:w w:val="98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spacing w:val="-9"/>
          <w:w w:val="98"/>
        </w:rPr>
        <w:t>）尽量避免高糖饮料、饱和脂肪酸饮</w:t>
      </w:r>
      <w:r>
        <w:rPr>
          <w:rFonts w:ascii="Microsoft YaHei" w:hAnsi="Microsoft YaHei" w:eastAsia="Microsoft YaHei" w:cs="Microsoft YaHei"/>
          <w:sz w:val="21"/>
          <w:szCs w:val="21"/>
          <w:spacing w:val="-10"/>
          <w:w w:val="98"/>
        </w:rPr>
        <w:t>食</w:t>
      </w:r>
      <w:hyperlink w:history="true" w:anchor="bookmark6">
        <w:r>
          <w:rPr>
            <w:rFonts w:ascii="Times New Roman" w:hAnsi="Times New Roman" w:eastAsia="Times New Roman" w:cs="Times New Roman"/>
            <w:sz w:val="10"/>
            <w:szCs w:val="10"/>
            <w:position w:val="9"/>
          </w:rPr>
          <w:t>[8]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18"/>
          <w:w w:val="97"/>
        </w:rPr>
        <w:t>，避免暴</w:t>
      </w:r>
      <w:r>
        <w:rPr>
          <w:rFonts w:ascii="Microsoft YaHei" w:hAnsi="Microsoft YaHei" w:eastAsia="Microsoft YaHei" w:cs="Microsoft YaHei"/>
          <w:sz w:val="21"/>
          <w:szCs w:val="21"/>
        </w:rPr>
        <w:tab/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  <w:position w:val="-1"/>
        </w:rPr>
        <w:t>饮暴食和油腻高脂饮食</w:t>
      </w:r>
      <w:hyperlink w:history="true" w:anchor="bookmark8">
        <w:r>
          <w:rPr>
            <w:rFonts w:ascii="Times New Roman" w:hAnsi="Times New Roman" w:eastAsia="Times New Roman" w:cs="Times New Roman"/>
            <w:sz w:val="10"/>
            <w:szCs w:val="10"/>
            <w:spacing w:val="-4"/>
            <w:position w:val="8"/>
          </w:rPr>
          <w:t>[9]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4"/>
          <w:position w:val="-1"/>
        </w:rPr>
        <w:t>，减少红肉和加工肉摄入</w:t>
      </w:r>
      <w:hyperlink w:history="true" w:anchor="bookmark7">
        <w:r>
          <w:rPr>
            <w:rFonts w:ascii="Times New Roman" w:hAnsi="Times New Roman" w:eastAsia="Times New Roman" w:cs="Times New Roman"/>
            <w:sz w:val="10"/>
            <w:szCs w:val="10"/>
            <w:spacing w:val="-4"/>
            <w:position w:val="8"/>
          </w:rPr>
          <w:t>[10]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4"/>
          <w:position w:val="-1"/>
        </w:rPr>
        <w:t>，</w:t>
      </w:r>
      <w:r>
        <w:rPr>
          <w:rFonts w:ascii="Microsoft YaHei" w:hAnsi="Microsoft YaHei" w:eastAsia="Microsoft YaHei" w:cs="Microsoft YaHei"/>
          <w:sz w:val="21"/>
          <w:szCs w:val="21"/>
          <w:spacing w:val="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增加维生素丰富的新鲜水果摄入</w:t>
      </w:r>
      <w:hyperlink w:history="true" w:anchor="bookmark9">
        <w:r>
          <w:rPr>
            <w:rFonts w:ascii="Times New Roman" w:hAnsi="Times New Roman" w:eastAsia="Times New Roman" w:cs="Times New Roman"/>
            <w:sz w:val="10"/>
            <w:szCs w:val="10"/>
            <w:spacing w:val="-4"/>
            <w:position w:val="9"/>
          </w:rPr>
          <w:t>[11]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，提倡食用十字花</w:t>
      </w:r>
      <w:r>
        <w:rPr>
          <w:rFonts w:ascii="Microsoft YaHei" w:hAnsi="Microsoft YaHei" w:eastAsia="Microsoft YaHei" w:cs="Microsoft YaHei"/>
          <w:sz w:val="21"/>
          <w:szCs w:val="21"/>
        </w:rPr>
        <w:tab/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"/>
          <w:position w:val="-1"/>
        </w:rPr>
        <w:t>科蔬菜</w:t>
      </w:r>
      <w:r>
        <w:rPr>
          <w:rFonts w:ascii="Microsoft YaHei" w:hAnsi="Microsoft YaHei" w:eastAsia="Microsoft YaHei" w:cs="Microsoft YaHei"/>
          <w:sz w:val="21"/>
          <w:szCs w:val="21"/>
          <w:spacing w:val="-2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8"/>
        </w:rPr>
        <w:t>[</w:t>
      </w:r>
      <w:hyperlink w:history="true" w:anchor="bookmark10">
        <w:r>
          <w:rPr>
            <w:rFonts w:ascii="Times New Roman" w:hAnsi="Times New Roman" w:eastAsia="Times New Roman" w:cs="Times New Roman"/>
            <w:sz w:val="10"/>
            <w:szCs w:val="10"/>
            <w:spacing w:val="-1"/>
            <w:position w:val="8"/>
          </w:rPr>
          <w:t>12</w:t>
        </w:r>
      </w:hyperlink>
      <w:r>
        <w:rPr>
          <w:rFonts w:ascii="Times New Roman" w:hAnsi="Times New Roman" w:eastAsia="Times New Roman" w:cs="Times New Roman"/>
          <w:sz w:val="10"/>
          <w:szCs w:val="10"/>
          <w:spacing w:val="-1"/>
          <w:position w:val="8"/>
        </w:rPr>
        <w:t>]</w:t>
      </w:r>
      <w:r>
        <w:rPr>
          <w:rFonts w:ascii="Microsoft YaHei" w:hAnsi="Microsoft YaHei" w:eastAsia="Microsoft YaHei" w:cs="Microsoft YaHei"/>
          <w:sz w:val="21"/>
          <w:szCs w:val="21"/>
          <w:spacing w:val="-12"/>
          <w:w w:val="98"/>
          <w:position w:val="-1"/>
        </w:rPr>
        <w:t>；</w:t>
      </w:r>
      <w:r>
        <w:rPr>
          <w:rFonts w:ascii="Times New Roman" w:hAnsi="Times New Roman" w:eastAsia="Times New Roman" w:cs="Times New Roman"/>
          <w:sz w:val="21"/>
          <w:szCs w:val="21"/>
          <w:spacing w:val="-12"/>
          <w:w w:val="98"/>
          <w:position w:val="-1"/>
        </w:rPr>
        <w:t>4</w:t>
      </w:r>
      <w:r>
        <w:rPr>
          <w:rFonts w:ascii="Microsoft YaHei" w:hAnsi="Microsoft YaHei" w:eastAsia="Microsoft YaHei" w:cs="Microsoft YaHei"/>
          <w:sz w:val="21"/>
          <w:szCs w:val="21"/>
          <w:spacing w:val="-12"/>
          <w:w w:val="98"/>
          <w:position w:val="-1"/>
        </w:rPr>
        <w:t>）加强锻炼，提倡户外有氧活动</w:t>
      </w:r>
      <w:r>
        <w:rPr>
          <w:rFonts w:ascii="Times New Roman" w:hAnsi="Times New Roman" w:eastAsia="Times New Roman" w:cs="Times New Roman"/>
          <w:sz w:val="10"/>
          <w:szCs w:val="10"/>
          <w:spacing w:val="-12"/>
          <w:w w:val="98"/>
          <w:position w:val="8"/>
        </w:rPr>
        <w:t>[</w:t>
      </w:r>
      <w:hyperlink w:history="true" w:anchor="bookmark11">
        <w:r>
          <w:rPr>
            <w:rFonts w:ascii="Times New Roman" w:hAnsi="Times New Roman" w:eastAsia="Times New Roman" w:cs="Times New Roman"/>
            <w:sz w:val="10"/>
            <w:szCs w:val="10"/>
            <w:spacing w:val="-12"/>
            <w:w w:val="98"/>
            <w:position w:val="8"/>
          </w:rPr>
          <w:t>13</w:t>
        </w:r>
      </w:hyperlink>
      <w:r>
        <w:rPr>
          <w:rFonts w:ascii="Times New Roman" w:hAnsi="Times New Roman" w:eastAsia="Times New Roman" w:cs="Times New Roman"/>
          <w:sz w:val="10"/>
          <w:szCs w:val="10"/>
          <w:spacing w:val="-12"/>
          <w:w w:val="98"/>
          <w:position w:val="8"/>
        </w:rPr>
        <w:t>]</w:t>
      </w:r>
      <w:r>
        <w:rPr>
          <w:rFonts w:ascii="Microsoft YaHei" w:hAnsi="Microsoft YaHei" w:eastAsia="Microsoft YaHei" w:cs="Microsoft YaHei"/>
          <w:sz w:val="21"/>
          <w:szCs w:val="21"/>
          <w:spacing w:val="-24"/>
          <w:w w:val="92"/>
          <w:position w:val="-1"/>
        </w:rPr>
        <w:t>；</w:t>
      </w:r>
      <w:r>
        <w:rPr>
          <w:rFonts w:ascii="Times New Roman" w:hAnsi="Times New Roman" w:eastAsia="Times New Roman" w:cs="Times New Roman"/>
          <w:sz w:val="21"/>
          <w:szCs w:val="21"/>
          <w:spacing w:val="-24"/>
          <w:w w:val="92"/>
          <w:position w:val="-1"/>
        </w:rPr>
        <w:t>5</w:t>
      </w:r>
      <w:r>
        <w:rPr>
          <w:rFonts w:ascii="Microsoft YaHei" w:hAnsi="Microsoft YaHei" w:eastAsia="Microsoft YaHei" w:cs="Microsoft YaHei"/>
          <w:sz w:val="21"/>
          <w:szCs w:val="21"/>
          <w:spacing w:val="-24"/>
          <w:w w:val="92"/>
          <w:position w:val="-1"/>
        </w:rPr>
        <w:t>）生活</w:t>
      </w:r>
      <w:r>
        <w:rPr>
          <w:rFonts w:ascii="Microsoft YaHei" w:hAnsi="Microsoft YaHei" w:eastAsia="Microsoft YaHei" w:cs="Microsoft YaHei"/>
          <w:sz w:val="21"/>
          <w:szCs w:val="21"/>
        </w:rPr>
        <w:tab/>
      </w:r>
      <w:r>
        <w:rPr>
          <w:rFonts w:ascii="Microsoft YaHei" w:hAnsi="Microsoft YaHei" w:eastAsia="Microsoft YaHei" w:cs="Microsoft YaHei"/>
          <w:sz w:val="21"/>
          <w:szCs w:val="2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2"/>
          <w:w w:val="99"/>
        </w:rPr>
        <w:t>规律，减少熬夜，确保睡眠充足</w:t>
      </w:r>
      <w:r>
        <w:rPr>
          <w:rFonts w:ascii="Times New Roman" w:hAnsi="Times New Roman" w:eastAsia="Times New Roman" w:cs="Times New Roman"/>
          <w:sz w:val="10"/>
          <w:szCs w:val="10"/>
          <w:spacing w:val="-12"/>
          <w:w w:val="99"/>
          <w:position w:val="9"/>
        </w:rPr>
        <w:t>[</w:t>
      </w:r>
      <w:hyperlink w:history="true" w:anchor="bookmark12">
        <w:r>
          <w:rPr>
            <w:rFonts w:ascii="Times New Roman" w:hAnsi="Times New Roman" w:eastAsia="Times New Roman" w:cs="Times New Roman"/>
            <w:sz w:val="10"/>
            <w:szCs w:val="10"/>
            <w:spacing w:val="-12"/>
            <w:w w:val="99"/>
            <w:position w:val="9"/>
          </w:rPr>
          <w:t>14</w:t>
        </w:r>
      </w:hyperlink>
      <w:r>
        <w:rPr>
          <w:rFonts w:ascii="Times New Roman" w:hAnsi="Times New Roman" w:eastAsia="Times New Roman" w:cs="Times New Roman"/>
          <w:sz w:val="10"/>
          <w:szCs w:val="10"/>
          <w:spacing w:val="-12"/>
          <w:w w:val="99"/>
          <w:position w:val="9"/>
        </w:rPr>
        <w:t>]</w:t>
      </w:r>
      <w:r>
        <w:rPr>
          <w:rFonts w:ascii="Microsoft YaHei" w:hAnsi="Microsoft YaHei" w:eastAsia="Microsoft YaHei" w:cs="Microsoft YaHei"/>
          <w:sz w:val="21"/>
          <w:szCs w:val="21"/>
          <w:spacing w:val="-19"/>
          <w:w w:val="97"/>
        </w:rPr>
        <w:t>；</w:t>
      </w:r>
      <w:r>
        <w:rPr>
          <w:rFonts w:ascii="Times New Roman" w:hAnsi="Times New Roman" w:eastAsia="Times New Roman" w:cs="Times New Roman"/>
          <w:sz w:val="21"/>
          <w:szCs w:val="21"/>
          <w:spacing w:val="-19"/>
          <w:w w:val="97"/>
        </w:rPr>
        <w:t>6</w:t>
      </w:r>
      <w:r>
        <w:rPr>
          <w:rFonts w:ascii="Microsoft YaHei" w:hAnsi="Microsoft YaHei" w:eastAsia="Microsoft YaHei" w:cs="Microsoft YaHei"/>
          <w:sz w:val="21"/>
          <w:szCs w:val="21"/>
          <w:spacing w:val="-19"/>
          <w:w w:val="97"/>
        </w:rPr>
        <w:t>）体质量一旦超标，</w:t>
      </w:r>
      <w:r>
        <w:rPr>
          <w:rFonts w:ascii="Microsoft YaHei" w:hAnsi="Microsoft YaHei" w:eastAsia="Microsoft YaHei" w:cs="Microsoft YaHei"/>
          <w:sz w:val="21"/>
          <w:szCs w:val="21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0"/>
          <w:w w:val="96"/>
        </w:rPr>
        <w:t>要积极减肥，尽可能控制在合理范围；</w:t>
      </w:r>
      <w:r>
        <w:rPr>
          <w:rFonts w:ascii="Times New Roman" w:hAnsi="Times New Roman" w:eastAsia="Times New Roman" w:cs="Times New Roman"/>
          <w:sz w:val="21"/>
          <w:szCs w:val="21"/>
          <w:spacing w:val="-10"/>
          <w:w w:val="96"/>
        </w:rPr>
        <w:t>7</w:t>
      </w:r>
      <w:r>
        <w:rPr>
          <w:rFonts w:ascii="Microsoft YaHei" w:hAnsi="Microsoft YaHei" w:eastAsia="Microsoft YaHei" w:cs="Microsoft YaHei"/>
          <w:sz w:val="21"/>
          <w:szCs w:val="21"/>
          <w:spacing w:val="-10"/>
          <w:w w:val="96"/>
        </w:rPr>
        <w:t>）增强对化工行</w:t>
      </w:r>
      <w:r>
        <w:rPr>
          <w:rFonts w:ascii="Microsoft YaHei" w:hAnsi="Microsoft YaHei" w:eastAsia="Microsoft YaHei" w:cs="Microsoft YaHei"/>
          <w:sz w:val="21"/>
          <w:szCs w:val="21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0"/>
          <w:w w:val="98"/>
        </w:rPr>
        <w:t>业暴露人员的保护，尽量不接触杀虫剂及除草剂，必要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1"/>
          <w:w w:val="95"/>
        </w:rPr>
        <w:t>时采取防护措施；</w:t>
      </w:r>
      <w:r>
        <w:rPr>
          <w:rFonts w:ascii="Times New Roman" w:hAnsi="Times New Roman" w:eastAsia="Times New Roman" w:cs="Times New Roman"/>
          <w:sz w:val="21"/>
          <w:szCs w:val="21"/>
          <w:spacing w:val="-11"/>
          <w:w w:val="95"/>
        </w:rPr>
        <w:t>8</w:t>
      </w:r>
      <w:r>
        <w:rPr>
          <w:rFonts w:ascii="Microsoft YaHei" w:hAnsi="Microsoft YaHei" w:eastAsia="Microsoft YaHei" w:cs="Microsoft YaHei"/>
          <w:sz w:val="21"/>
          <w:szCs w:val="21"/>
          <w:spacing w:val="-11"/>
          <w:w w:val="95"/>
        </w:rPr>
        <w:t>）积极控制糖尿病；</w:t>
      </w:r>
      <w:r>
        <w:rPr>
          <w:rFonts w:ascii="Times New Roman" w:hAnsi="Times New Roman" w:eastAsia="Times New Roman" w:cs="Times New Roman"/>
          <w:sz w:val="21"/>
          <w:szCs w:val="21"/>
          <w:spacing w:val="-11"/>
          <w:w w:val="95"/>
        </w:rPr>
        <w:t>9</w:t>
      </w:r>
      <w:r>
        <w:rPr>
          <w:rFonts w:ascii="Microsoft YaHei" w:hAnsi="Microsoft YaHei" w:eastAsia="Microsoft YaHei" w:cs="Microsoft YaHei"/>
          <w:sz w:val="21"/>
          <w:szCs w:val="21"/>
          <w:spacing w:val="-11"/>
          <w:w w:val="95"/>
        </w:rPr>
        <w:t>）防止良性</w:t>
      </w:r>
      <w:r>
        <w:rPr>
          <w:rFonts w:ascii="Microsoft YaHei" w:hAnsi="Microsoft YaHei" w:eastAsia="Microsoft YaHei" w:cs="Microsoft YaHei"/>
          <w:sz w:val="21"/>
          <w:szCs w:val="21"/>
          <w:spacing w:val="-12"/>
          <w:w w:val="95"/>
        </w:rPr>
        <w:t>病恶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0"/>
          <w:w w:val="98"/>
        </w:rPr>
        <w:t>化，有胰管结石、导管内乳头状黏液性肿瘤、黏液性囊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6"/>
          <w:w w:val="97"/>
        </w:rPr>
        <w:t>腺瘤或其他胰腺良性病应及时就医，定期检查</w:t>
      </w:r>
      <w:r>
        <w:rPr>
          <w:rFonts w:ascii="Times New Roman" w:hAnsi="Times New Roman" w:eastAsia="Times New Roman" w:cs="Times New Roman"/>
          <w:sz w:val="10"/>
          <w:szCs w:val="10"/>
          <w:spacing w:val="-6"/>
          <w:w w:val="97"/>
          <w:position w:val="9"/>
        </w:rPr>
        <w:t>[</w:t>
      </w:r>
      <w:hyperlink w:history="true" w:anchor="bookmark13">
        <w:r>
          <w:rPr>
            <w:rFonts w:ascii="Times New Roman" w:hAnsi="Times New Roman" w:eastAsia="Times New Roman" w:cs="Times New Roman"/>
            <w:sz w:val="10"/>
            <w:szCs w:val="10"/>
            <w:spacing w:val="-6"/>
            <w:w w:val="97"/>
            <w:position w:val="9"/>
          </w:rPr>
          <w:t>15</w:t>
        </w:r>
      </w:hyperlink>
      <w:r>
        <w:rPr>
          <w:rFonts w:ascii="Times New Roman" w:hAnsi="Times New Roman" w:eastAsia="Times New Roman" w:cs="Times New Roman"/>
          <w:sz w:val="10"/>
          <w:szCs w:val="10"/>
          <w:spacing w:val="-6"/>
          <w:w w:val="97"/>
          <w:position w:val="9"/>
        </w:rPr>
        <w:t>]</w:t>
      </w:r>
      <w:r>
        <w:rPr>
          <w:rFonts w:ascii="Microsoft YaHei" w:hAnsi="Microsoft YaHei" w:eastAsia="Microsoft YaHei" w:cs="Microsoft YaHei"/>
          <w:sz w:val="21"/>
          <w:szCs w:val="21"/>
          <w:spacing w:val="-30"/>
          <w:w w:val="90"/>
        </w:rPr>
        <w:t>；</w:t>
      </w:r>
      <w:r>
        <w:rPr>
          <w:rFonts w:ascii="Times New Roman" w:hAnsi="Times New Roman" w:eastAsia="Times New Roman" w:cs="Times New Roman"/>
          <w:sz w:val="21"/>
          <w:szCs w:val="21"/>
          <w:spacing w:val="-30"/>
          <w:w w:val="90"/>
        </w:rPr>
        <w:t>10</w:t>
      </w:r>
      <w:r>
        <w:rPr>
          <w:rFonts w:ascii="Microsoft YaHei" w:hAnsi="Microsoft YaHei" w:eastAsia="Microsoft YaHei" w:cs="Microsoft YaHei"/>
          <w:sz w:val="21"/>
          <w:szCs w:val="21"/>
          <w:spacing w:val="-30"/>
          <w:w w:val="90"/>
        </w:rPr>
        <w:t>）注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重定期体检。</w:t>
      </w:r>
    </w:p>
    <w:p>
      <w:pPr>
        <w:ind w:left="22"/>
        <w:spacing w:before="1" w:line="22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1.3   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胰腺癌的筛查</w:t>
      </w:r>
    </w:p>
    <w:p>
      <w:pPr>
        <w:ind w:left="3" w:right="97" w:firstLine="417"/>
        <w:spacing w:before="1" w:line="216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3"/>
        </w:rPr>
        <w:t>对无症状成年人行胰腺癌筛查的潜在获益未超</w:t>
      </w:r>
      <w:r>
        <w:rPr>
          <w:rFonts w:ascii="Microsoft YaHei" w:hAnsi="Microsoft YaHei" w:eastAsia="Microsoft YaHei" w:cs="Microsoft YaHei"/>
          <w:sz w:val="21"/>
          <w:szCs w:val="21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8"/>
          <w:w w:val="97"/>
        </w:rPr>
        <w:t>过潜在风险，不推荐对无症状成年人行胰腺癌筛查</w:t>
      </w:r>
      <w:r>
        <w:rPr>
          <w:rFonts w:ascii="Microsoft YaHei" w:hAnsi="Microsoft YaHei" w:eastAsia="Microsoft YaHei" w:cs="Microsoft YaHei"/>
          <w:sz w:val="21"/>
          <w:szCs w:val="21"/>
          <w:spacing w:val="-9"/>
          <w:w w:val="97"/>
        </w:rPr>
        <w:t>，而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推荐对具有胰腺癌发病高度危险因素，一般对终生罹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  <w:position w:val="-1"/>
        </w:rPr>
        <w:t>患胰腺癌风险高于 </w:t>
      </w:r>
      <w:r>
        <w:rPr>
          <w:rFonts w:ascii="Times New Roman" w:hAnsi="Times New Roman" w:eastAsia="Times New Roman" w:cs="Times New Roman"/>
          <w:sz w:val="21"/>
          <w:szCs w:val="21"/>
          <w:spacing w:val="-5"/>
          <w:position w:val="-1"/>
        </w:rPr>
        <w:t>5</w:t>
      </w:r>
      <w:r>
        <w:rPr>
          <w:rFonts w:ascii="Arial" w:hAnsi="Arial" w:eastAsia="Arial" w:cs="Arial"/>
          <w:sz w:val="21"/>
          <w:szCs w:val="21"/>
          <w:spacing w:val="-5"/>
          <w:position w:val="-1"/>
        </w:rPr>
        <w:t>%</w:t>
      </w:r>
      <w:r>
        <w:rPr>
          <w:rFonts w:ascii="Arial" w:hAnsi="Arial" w:eastAsia="Arial" w:cs="Arial"/>
          <w:sz w:val="21"/>
          <w:szCs w:val="21"/>
          <w:spacing w:val="2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  <w:position w:val="-1"/>
        </w:rPr>
        <w:t>的个体进行针对性筛查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8"/>
        </w:rPr>
        <w:t>[</w:t>
      </w:r>
      <w:hyperlink w:history="true" w:anchor="bookmark14">
        <w:r>
          <w:rPr>
            <w:rFonts w:ascii="Times New Roman" w:hAnsi="Times New Roman" w:eastAsia="Times New Roman" w:cs="Times New Roman"/>
            <w:sz w:val="10"/>
            <w:szCs w:val="10"/>
            <w:spacing w:val="-5"/>
            <w:position w:val="8"/>
          </w:rPr>
          <w:t>16</w:t>
        </w:r>
      </w:hyperlink>
      <w:r>
        <w:rPr>
          <w:rFonts w:ascii="Times New Roman" w:hAnsi="Times New Roman" w:eastAsia="Times New Roman" w:cs="Times New Roman"/>
          <w:sz w:val="10"/>
          <w:szCs w:val="10"/>
          <w:spacing w:val="-5"/>
          <w:position w:val="8"/>
        </w:rPr>
        <w:t>-</w:t>
      </w:r>
      <w:hyperlink w:history="true" w:anchor="bookmark15">
        <w:r>
          <w:rPr>
            <w:rFonts w:ascii="Times New Roman" w:hAnsi="Times New Roman" w:eastAsia="Times New Roman" w:cs="Times New Roman"/>
            <w:sz w:val="10"/>
            <w:szCs w:val="10"/>
            <w:spacing w:val="-5"/>
            <w:position w:val="8"/>
          </w:rPr>
          <w:t>19</w:t>
        </w:r>
      </w:hyperlink>
      <w:r>
        <w:rPr>
          <w:rFonts w:ascii="Times New Roman" w:hAnsi="Times New Roman" w:eastAsia="Times New Roman" w:cs="Times New Roman"/>
          <w:sz w:val="10"/>
          <w:szCs w:val="10"/>
          <w:spacing w:val="-5"/>
          <w:position w:val="8"/>
        </w:rPr>
        <w:t>]</w:t>
      </w:r>
      <w:r>
        <w:rPr>
          <w:rFonts w:ascii="Microsoft YaHei" w:hAnsi="Microsoft YaHei" w:eastAsia="Microsoft YaHei" w:cs="Microsoft YaHei"/>
          <w:sz w:val="21"/>
          <w:szCs w:val="21"/>
          <w:spacing w:val="-5"/>
          <w:position w:val="-1"/>
        </w:rPr>
        <w:t>。</w:t>
      </w:r>
    </w:p>
    <w:p>
      <w:pPr>
        <w:spacing w:line="216" w:lineRule="auto"/>
        <w:sectPr>
          <w:type w:val="continuous"/>
          <w:pgSz w:w="12246" w:h="17178"/>
          <w:pgMar w:top="1297" w:right="1102" w:bottom="0" w:left="1190" w:header="928" w:footer="0" w:gutter="0"/>
          <w:cols w:equalWidth="0" w:num="2">
            <w:col w:w="5056" w:space="100"/>
            <w:col w:w="4798" w:space="0"/>
          </w:cols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spacing w:before="88"/>
        <w:rPr/>
      </w:pPr>
      <w:r/>
    </w:p>
    <w:p>
      <w:pPr>
        <w:sectPr>
          <w:headerReference w:type="default" r:id="rId4"/>
          <w:pgSz w:w="12246" w:h="17178"/>
          <w:pgMar w:top="1297" w:right="1100" w:bottom="0" w:left="1206" w:header="928" w:footer="0" w:gutter="0"/>
          <w:cols w:equalWidth="0" w:num="1">
            <w:col w:w="9939" w:space="0"/>
          </w:cols>
        </w:sectPr>
        <w:rPr/>
      </w:pPr>
    </w:p>
    <w:p>
      <w:pPr>
        <w:ind w:left="4"/>
        <w:spacing w:before="71" w:line="221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4"/>
        </w:rPr>
        <w:t>2</w:t>
      </w:r>
      <w:r>
        <w:rPr>
          <w:rFonts w:ascii="SimHei" w:hAnsi="SimHei" w:eastAsia="SimHei" w:cs="SimHei"/>
          <w:sz w:val="21"/>
          <w:szCs w:val="21"/>
          <w:spacing w:val="-4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4"/>
        </w:rPr>
        <w:t>诊断</w:t>
      </w:r>
    </w:p>
    <w:p>
      <w:pPr>
        <w:ind w:left="2"/>
        <w:spacing w:before="25" w:line="22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2.1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临床表现</w:t>
      </w:r>
    </w:p>
    <w:p>
      <w:pPr>
        <w:ind w:right="241" w:firstLine="428"/>
        <w:spacing w:line="201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多数胰腺癌起病隐匿，早期症状和体征不典型，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可表现为上腹部饱胀不适、上腹疼痛、腰背部疼痛、</w:t>
      </w:r>
      <w:r>
        <w:rPr>
          <w:rFonts w:ascii="Microsoft YaHei" w:hAnsi="Microsoft YaHei" w:eastAsia="Microsoft YaHei" w:cs="Microsoft YaHei"/>
          <w:sz w:val="21"/>
          <w:szCs w:val="21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8"/>
          <w:w w:val="99"/>
        </w:rPr>
        <w:t>恶心、食欲减退、大便性状改变、黄疸、新发糖尿病、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偶发胰腺炎、体重减轻、乏力等。亦有部分患者无任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8"/>
          <w:w w:val="97"/>
        </w:rPr>
        <w:t>何临床表现，通过体检偶然发现。</w:t>
      </w:r>
    </w:p>
    <w:p>
      <w:pPr>
        <w:ind w:left="2"/>
        <w:spacing w:line="2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2.2  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实验室检查</w:t>
      </w:r>
    </w:p>
    <w:p>
      <w:pPr>
        <w:ind w:left="4" w:right="340" w:hanging="2"/>
        <w:spacing w:before="1" w:line="205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2.2.1   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生化检查</w:t>
      </w:r>
      <w:r>
        <w:rPr>
          <w:rFonts w:ascii="Microsoft YaHei" w:hAnsi="Microsoft YaHei" w:eastAsia="Microsoft YaHei" w:cs="Microsoft YaHei"/>
          <w:sz w:val="21"/>
          <w:szCs w:val="21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早期无特异性血生化指标改变；胆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1"/>
          <w:w w:val="98"/>
        </w:rPr>
        <w:t>管压迫或梗阻时可出现血胆红素升高，伴酶学改变；胰</w:t>
      </w:r>
      <w:r>
        <w:rPr>
          <w:rFonts w:ascii="Microsoft YaHei" w:hAnsi="Microsoft YaHei" w:eastAsia="Microsoft YaHei" w:cs="Microsoft YaHei"/>
          <w:sz w:val="21"/>
          <w:szCs w:val="21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管压迫或梗阻时可能会有血淀粉酶一过性升高。</w:t>
      </w:r>
    </w:p>
    <w:p>
      <w:pPr>
        <w:ind w:left="1" w:right="245" w:firstLine="1"/>
        <w:spacing w:before="6" w:line="205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2.2.2    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血清肿瘤标志物</w:t>
      </w:r>
      <w:r>
        <w:rPr>
          <w:rFonts w:ascii="Microsoft YaHei" w:hAnsi="Microsoft YaHei" w:eastAsia="Microsoft YaHei" w:cs="Microsoft YaHei"/>
          <w:sz w:val="21"/>
          <w:szCs w:val="21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临床上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>用于胰腺癌诊断的 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有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CA19-9</w:t>
      </w:r>
      <w:r>
        <w:rPr>
          <w:rFonts w:ascii="Times New Roman" w:hAnsi="Times New Roman" w:eastAsia="Times New Roman" w:cs="Times New Roman"/>
          <w:sz w:val="21"/>
          <w:szCs w:val="2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CEA</w:t>
      </w:r>
      <w:r>
        <w:rPr>
          <w:rFonts w:ascii="Times New Roman" w:hAnsi="Times New Roman" w:eastAsia="Times New Roman" w:cs="Times New Roman"/>
          <w:sz w:val="21"/>
          <w:szCs w:val="2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CA125</w:t>
      </w:r>
      <w:r>
        <w:rPr>
          <w:rFonts w:ascii="Times New Roman" w:hAnsi="Times New Roman" w:eastAsia="Times New Roman" w:cs="Times New Roman"/>
          <w:sz w:val="21"/>
          <w:szCs w:val="2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CA242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等，其中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CA19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-9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>最为常用，其诊断灵敏度和特异性分别达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78.2</w:t>
      </w:r>
      <w:r>
        <w:rPr>
          <w:rFonts w:ascii="Arial" w:hAnsi="Arial" w:eastAsia="Arial" w:cs="Arial"/>
          <w:sz w:val="21"/>
          <w:szCs w:val="21"/>
          <w:spacing w:val="3"/>
        </w:rPr>
        <w:t>% 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>和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82.8</w:t>
      </w:r>
      <w:r>
        <w:rPr>
          <w:rFonts w:ascii="Arial" w:hAnsi="Arial" w:eastAsia="Arial" w:cs="Arial"/>
          <w:sz w:val="21"/>
          <w:szCs w:val="21"/>
          <w:spacing w:val="-4"/>
        </w:rPr>
        <w:t>%</w:t>
      </w:r>
      <w:hyperlink w:history="true" w:anchor="bookmark16">
        <w:r>
          <w:rPr>
            <w:rFonts w:ascii="Times New Roman" w:hAnsi="Times New Roman" w:eastAsia="Times New Roman" w:cs="Times New Roman"/>
            <w:sz w:val="10"/>
            <w:szCs w:val="10"/>
            <w:spacing w:val="-4"/>
            <w:position w:val="9"/>
          </w:rPr>
          <w:t>[20] 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。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CA19-9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不仅在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胰腺癌中会升高，在其他恶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9"/>
          <w:w w:val="97"/>
        </w:rPr>
        <w:t>性肿瘤如结直肠癌、胃癌、肺癌、乳腺癌、肝癌、胰腺</w:t>
      </w:r>
      <w:r>
        <w:rPr>
          <w:rFonts w:ascii="Microsoft YaHei" w:hAnsi="Microsoft YaHei" w:eastAsia="Microsoft YaHei" w:cs="Microsoft YaHei"/>
          <w:sz w:val="21"/>
          <w:szCs w:val="21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神经内分泌瘤以及胆管梗阻、胆管炎、慢性胰腺炎、</w:t>
      </w:r>
      <w:r>
        <w:rPr>
          <w:rFonts w:ascii="Microsoft YaHei" w:hAnsi="Microsoft YaHei" w:eastAsia="Microsoft YaHei" w:cs="Microsoft YaHei"/>
          <w:sz w:val="21"/>
          <w:szCs w:val="21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2"/>
        </w:rPr>
        <w:t>肝硬化也会升高，影响其诊断特异性。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>5</w:t>
      </w:r>
      <w:r>
        <w:rPr>
          <w:rFonts w:ascii="Arial" w:hAnsi="Arial" w:eastAsia="Arial" w:cs="Arial"/>
          <w:sz w:val="21"/>
          <w:szCs w:val="21"/>
          <w:spacing w:val="-12"/>
        </w:rPr>
        <w:t>%</w:t>
      </w:r>
      <w:r>
        <w:rPr>
          <w:rFonts w:ascii="Microsoft YaHei" w:hAnsi="Microsoft YaHei" w:eastAsia="Microsoft YaHei" w:cs="Microsoft YaHei"/>
          <w:sz w:val="21"/>
          <w:szCs w:val="21"/>
          <w:spacing w:val="-12"/>
        </w:rPr>
        <w:t>～</w:t>
      </w:r>
      <w:r>
        <w:rPr>
          <w:rFonts w:ascii="Microsoft YaHei" w:hAnsi="Microsoft YaHei" w:eastAsia="Microsoft YaHei" w:cs="Microsoft YaHei"/>
          <w:sz w:val="21"/>
          <w:szCs w:val="21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>10</w:t>
      </w:r>
      <w:r>
        <w:rPr>
          <w:rFonts w:ascii="Arial" w:hAnsi="Arial" w:eastAsia="Arial" w:cs="Arial"/>
          <w:sz w:val="21"/>
          <w:szCs w:val="21"/>
          <w:spacing w:val="-12"/>
        </w:rPr>
        <w:t>%</w:t>
      </w:r>
      <w:r>
        <w:rPr>
          <w:rFonts w:ascii="Arial" w:hAnsi="Arial" w:eastAsia="Arial" w:cs="Arial"/>
          <w:sz w:val="21"/>
          <w:szCs w:val="21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2"/>
        </w:rPr>
        <w:t>的胰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3"/>
          <w:position w:val="-1"/>
        </w:rPr>
        <w:t>腺癌呈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-1"/>
        </w:rPr>
        <w:t>Lewis </w:t>
      </w:r>
      <w:r>
        <w:rPr>
          <w:rFonts w:ascii="Microsoft YaHei" w:hAnsi="Microsoft YaHei" w:eastAsia="Microsoft YaHei" w:cs="Microsoft YaHei"/>
          <w:sz w:val="21"/>
          <w:szCs w:val="21"/>
          <w:spacing w:val="-3"/>
          <w:position w:val="-1"/>
        </w:rPr>
        <w:t>抗原阴性</w:t>
      </w:r>
      <w:hyperlink w:history="true" w:anchor="bookmark17">
        <w:r>
          <w:rPr>
            <w:rFonts w:ascii="Times New Roman" w:hAnsi="Times New Roman" w:eastAsia="Times New Roman" w:cs="Times New Roman"/>
            <w:sz w:val="10"/>
            <w:szCs w:val="10"/>
            <w:spacing w:val="-3"/>
            <w:position w:val="8"/>
          </w:rPr>
          <w:t>[21, 22]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12"/>
          <w:position w:val="-1"/>
        </w:rPr>
        <w:t>，不分泌或极少分泌 </w:t>
      </w:r>
      <w:r>
        <w:rPr>
          <w:rFonts w:ascii="Times New Roman" w:hAnsi="Times New Roman" w:eastAsia="Times New Roman" w:cs="Times New Roman"/>
          <w:sz w:val="21"/>
          <w:szCs w:val="21"/>
          <w:spacing w:val="-12"/>
          <w:position w:val="-1"/>
        </w:rPr>
        <w:t>CA19-</w:t>
      </w:r>
      <w:r>
        <w:rPr>
          <w:rFonts w:ascii="Times New Roman" w:hAnsi="Times New Roman" w:eastAsia="Times New Roman" w:cs="Times New Roman"/>
          <w:sz w:val="21"/>
          <w:szCs w:val="21"/>
          <w:spacing w:val="1"/>
          <w:position w:val="-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9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，此类患者检测不到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CA19-9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水平升高，影响其诊断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10"/>
        </w:rPr>
        <w:t>灵敏度。</w:t>
      </w:r>
      <w:r>
        <w:rPr>
          <w:rFonts w:ascii="Times New Roman" w:hAnsi="Times New Roman" w:eastAsia="Times New Roman" w:cs="Times New Roman"/>
          <w:sz w:val="21"/>
          <w:szCs w:val="21"/>
        </w:rPr>
        <w:t>CEA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10"/>
        </w:rPr>
        <w:t>诊断胰腺癌灵敏度和特异性分别为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-1"/>
        </w:rPr>
        <w:t>43</w:t>
      </w:r>
      <w:r>
        <w:rPr>
          <w:rFonts w:ascii="Arial" w:hAnsi="Arial" w:eastAsia="Arial" w:cs="Arial"/>
          <w:sz w:val="21"/>
          <w:szCs w:val="21"/>
          <w:spacing w:val="-4"/>
          <w:position w:val="-1"/>
        </w:rPr>
        <w:t>% </w:t>
      </w:r>
      <w:r>
        <w:rPr>
          <w:rFonts w:ascii="Microsoft YaHei" w:hAnsi="Microsoft YaHei" w:eastAsia="Microsoft YaHei" w:cs="Microsoft YaHei"/>
          <w:sz w:val="21"/>
          <w:szCs w:val="21"/>
          <w:spacing w:val="-4"/>
          <w:position w:val="-1"/>
        </w:rPr>
        <w:t>和</w:t>
      </w:r>
      <w:r>
        <w:rPr>
          <w:rFonts w:ascii="Microsoft YaHei" w:hAnsi="Microsoft YaHei" w:eastAsia="Microsoft YaHei" w:cs="Microsoft YaHei"/>
          <w:sz w:val="21"/>
          <w:szCs w:val="21"/>
          <w:spacing w:val="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-1"/>
        </w:rPr>
        <w:t>82</w:t>
      </w:r>
      <w:r>
        <w:rPr>
          <w:rFonts w:ascii="Arial" w:hAnsi="Arial" w:eastAsia="Arial" w:cs="Arial"/>
          <w:sz w:val="21"/>
          <w:szCs w:val="21"/>
          <w:spacing w:val="-4"/>
          <w:position w:val="-1"/>
        </w:rPr>
        <w:t>%</w:t>
      </w:r>
      <w:hyperlink w:history="true" w:anchor="bookmark19">
        <w:r>
          <w:rPr>
            <w:rFonts w:ascii="Times New Roman" w:hAnsi="Times New Roman" w:eastAsia="Times New Roman" w:cs="Times New Roman"/>
            <w:sz w:val="10"/>
            <w:szCs w:val="10"/>
            <w:spacing w:val="-4"/>
            <w:position w:val="8"/>
          </w:rPr>
          <w:t>[23]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9"/>
          <w:position w:val="-1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spacing w:val="-9"/>
          <w:position w:val="-1"/>
        </w:rPr>
        <w:t>CA125 </w:t>
      </w:r>
      <w:r>
        <w:rPr>
          <w:rFonts w:ascii="Microsoft YaHei" w:hAnsi="Microsoft YaHei" w:eastAsia="Microsoft YaHei" w:cs="Microsoft YaHei"/>
          <w:sz w:val="21"/>
          <w:szCs w:val="21"/>
          <w:spacing w:val="-9"/>
          <w:position w:val="-1"/>
        </w:rPr>
        <w:t>分别为 </w:t>
      </w:r>
      <w:r>
        <w:rPr>
          <w:rFonts w:ascii="Times New Roman" w:hAnsi="Times New Roman" w:eastAsia="Times New Roman" w:cs="Times New Roman"/>
          <w:sz w:val="21"/>
          <w:szCs w:val="21"/>
          <w:spacing w:val="-9"/>
          <w:position w:val="-1"/>
        </w:rPr>
        <w:t>59</w:t>
      </w:r>
      <w:r>
        <w:rPr>
          <w:rFonts w:ascii="Arial" w:hAnsi="Arial" w:eastAsia="Arial" w:cs="Arial"/>
          <w:sz w:val="21"/>
          <w:szCs w:val="21"/>
          <w:spacing w:val="-9"/>
          <w:position w:val="-1"/>
        </w:rPr>
        <w:t>%</w:t>
      </w:r>
      <w:r>
        <w:rPr>
          <w:rFonts w:ascii="Arial" w:hAnsi="Arial" w:eastAsia="Arial" w:cs="Arial"/>
          <w:sz w:val="21"/>
          <w:szCs w:val="21"/>
          <w:spacing w:val="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9"/>
          <w:position w:val="-1"/>
        </w:rPr>
        <w:t>和 </w:t>
      </w:r>
      <w:r>
        <w:rPr>
          <w:rFonts w:ascii="Times New Roman" w:hAnsi="Times New Roman" w:eastAsia="Times New Roman" w:cs="Times New Roman"/>
          <w:sz w:val="21"/>
          <w:szCs w:val="21"/>
          <w:spacing w:val="-9"/>
          <w:position w:val="-1"/>
        </w:rPr>
        <w:t>78</w:t>
      </w:r>
      <w:r>
        <w:rPr>
          <w:rFonts w:ascii="Arial" w:hAnsi="Arial" w:eastAsia="Arial" w:cs="Arial"/>
          <w:sz w:val="21"/>
          <w:szCs w:val="21"/>
          <w:spacing w:val="-9"/>
          <w:position w:val="-1"/>
        </w:rPr>
        <w:t>%</w:t>
      </w:r>
      <w:hyperlink w:history="true" w:anchor="bookmark18">
        <w:r>
          <w:rPr>
            <w:rFonts w:ascii="Times New Roman" w:hAnsi="Times New Roman" w:eastAsia="Times New Roman" w:cs="Times New Roman"/>
            <w:sz w:val="10"/>
            <w:szCs w:val="10"/>
            <w:spacing w:val="6"/>
            <w:position w:val="8"/>
          </w:rPr>
          <w:t>[24]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18"/>
          <w:w w:val="96"/>
          <w:position w:val="-1"/>
        </w:rPr>
        <w:t>，联合检</w:t>
      </w:r>
      <w:r>
        <w:rPr>
          <w:rFonts w:ascii="Microsoft YaHei" w:hAnsi="Microsoft YaHei" w:eastAsia="Microsoft YaHei" w:cs="Microsoft YaHei"/>
          <w:sz w:val="21"/>
          <w:szCs w:val="21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测上述多个肿瘤标志物有助于提高胰腺癌诊断的灵敏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3"/>
          <w:position w:val="-2"/>
        </w:rPr>
        <w:t>度和特异性</w:t>
      </w:r>
      <w:hyperlink w:history="true" w:anchor="bookmark20">
        <w:r>
          <w:rPr>
            <w:rFonts w:ascii="Times New Roman" w:hAnsi="Times New Roman" w:eastAsia="Times New Roman" w:cs="Times New Roman"/>
            <w:sz w:val="10"/>
            <w:szCs w:val="10"/>
            <w:spacing w:val="-3"/>
            <w:position w:val="7"/>
          </w:rPr>
          <w:t>[25]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3"/>
          <w:position w:val="-2"/>
        </w:rPr>
        <w:t>。</w:t>
      </w:r>
    </w:p>
    <w:p>
      <w:pPr>
        <w:ind w:right="341" w:firstLine="1"/>
        <w:spacing w:before="2" w:line="205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2.2.3   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液态活检标志物</w:t>
      </w:r>
      <w:r>
        <w:rPr>
          <w:rFonts w:ascii="Microsoft YaHei" w:hAnsi="Microsoft YaHei" w:eastAsia="Microsoft YaHei" w:cs="Microsoft YaHei"/>
          <w:sz w:val="21"/>
          <w:szCs w:val="21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近年来，液态活检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技术包括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1"/>
          <w:w w:val="97"/>
        </w:rPr>
        <w:t>循环肿瘤细胞（</w:t>
      </w:r>
      <w:r>
        <w:rPr>
          <w:rFonts w:ascii="Times New Roman" w:hAnsi="Times New Roman" w:eastAsia="Times New Roman" w:cs="Times New Roman"/>
          <w:sz w:val="21"/>
          <w:szCs w:val="21"/>
          <w:spacing w:val="-11"/>
          <w:w w:val="97"/>
        </w:rPr>
        <w:t>CTCs</w:t>
      </w:r>
      <w:r>
        <w:rPr>
          <w:rFonts w:ascii="Microsoft YaHei" w:hAnsi="Microsoft YaHei" w:eastAsia="Microsoft YaHei" w:cs="Microsoft YaHei"/>
          <w:sz w:val="21"/>
          <w:szCs w:val="21"/>
          <w:spacing w:val="-11"/>
          <w:w w:val="97"/>
        </w:rPr>
        <w:t>）、循环肿瘤 </w:t>
      </w:r>
      <w:r>
        <w:rPr>
          <w:rFonts w:ascii="Times New Roman" w:hAnsi="Times New Roman" w:eastAsia="Times New Roman" w:cs="Times New Roman"/>
          <w:sz w:val="21"/>
          <w:szCs w:val="21"/>
          <w:spacing w:val="-11"/>
          <w:w w:val="97"/>
        </w:rPr>
        <w:t>DN</w:t>
      </w:r>
      <w:r>
        <w:rPr>
          <w:rFonts w:ascii="Times New Roman" w:hAnsi="Times New Roman" w:eastAsia="Times New Roman" w:cs="Times New Roman"/>
          <w:sz w:val="21"/>
          <w:szCs w:val="21"/>
          <w:spacing w:val="-12"/>
          <w:w w:val="97"/>
        </w:rPr>
        <w:t>A</w:t>
      </w:r>
      <w:r>
        <w:rPr>
          <w:rFonts w:ascii="Microsoft YaHei" w:hAnsi="Microsoft YaHei" w:eastAsia="Microsoft YaHei" w:cs="Microsoft YaHei"/>
          <w:sz w:val="21"/>
          <w:szCs w:val="21"/>
          <w:spacing w:val="-12"/>
          <w:w w:val="97"/>
        </w:rPr>
        <w:t>（</w:t>
      </w:r>
      <w:r>
        <w:rPr>
          <w:rFonts w:ascii="Times New Roman" w:hAnsi="Times New Roman" w:eastAsia="Times New Roman" w:cs="Times New Roman"/>
          <w:sz w:val="21"/>
          <w:szCs w:val="21"/>
          <w:spacing w:val="-12"/>
          <w:w w:val="97"/>
        </w:rPr>
        <w:t>ctDNA</w:t>
      </w:r>
      <w:r>
        <w:rPr>
          <w:rFonts w:ascii="Microsoft YaHei" w:hAnsi="Microsoft YaHei" w:eastAsia="Microsoft YaHei" w:cs="Microsoft YaHei"/>
          <w:sz w:val="21"/>
          <w:szCs w:val="21"/>
          <w:spacing w:val="-12"/>
          <w:w w:val="97"/>
        </w:rPr>
        <w:t>）、外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  <w:position w:val="-1"/>
        </w:rPr>
        <w:t>泌体、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-1"/>
        </w:rPr>
        <w:t>microRNAs </w:t>
      </w:r>
      <w:r>
        <w:rPr>
          <w:rFonts w:ascii="Microsoft YaHei" w:hAnsi="Microsoft YaHei" w:eastAsia="Microsoft YaHei" w:cs="Microsoft YaHei"/>
          <w:sz w:val="21"/>
          <w:szCs w:val="21"/>
          <w:spacing w:val="-4"/>
          <w:position w:val="-1"/>
        </w:rPr>
        <w:t>等</w:t>
      </w:r>
      <w:hyperlink w:history="true" w:anchor="bookmark21">
        <w:r>
          <w:rPr>
            <w:rFonts w:ascii="Times New Roman" w:hAnsi="Times New Roman" w:eastAsia="Times New Roman" w:cs="Times New Roman"/>
            <w:sz w:val="10"/>
            <w:szCs w:val="10"/>
            <w:spacing w:val="-4"/>
            <w:position w:val="8"/>
          </w:rPr>
          <w:t>[26-29]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7"/>
          <w:position w:val="-1"/>
        </w:rPr>
        <w:t>，与 </w:t>
      </w:r>
      <w:r>
        <w:rPr>
          <w:rFonts w:ascii="Times New Roman" w:hAnsi="Times New Roman" w:eastAsia="Times New Roman" w:cs="Times New Roman"/>
          <w:sz w:val="21"/>
          <w:szCs w:val="21"/>
          <w:spacing w:val="-7"/>
          <w:position w:val="-1"/>
        </w:rPr>
        <w:t>CA19-9 </w:t>
      </w:r>
      <w:r>
        <w:rPr>
          <w:rFonts w:ascii="Microsoft YaHei" w:hAnsi="Microsoft YaHei" w:eastAsia="Microsoft YaHei" w:cs="Microsoft YaHei"/>
          <w:sz w:val="21"/>
          <w:szCs w:val="21"/>
          <w:spacing w:val="-7"/>
          <w:position w:val="-1"/>
        </w:rPr>
        <w:t>联合应用可提高</w:t>
      </w:r>
      <w:r>
        <w:rPr>
          <w:rFonts w:ascii="Microsoft YaHei" w:hAnsi="Microsoft YaHei" w:eastAsia="Microsoft YaHei" w:cs="Microsoft YaHei"/>
          <w:sz w:val="21"/>
          <w:szCs w:val="21"/>
          <w:spacing w:val="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胰腺癌诊断的准确性，但其在临床上普及应用仍需高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质量临床研究予以验证。</w:t>
      </w:r>
    </w:p>
    <w:p>
      <w:pPr>
        <w:ind w:left="2"/>
        <w:spacing w:before="1" w:line="22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2.3  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影像学检查</w:t>
      </w:r>
    </w:p>
    <w:p>
      <w:pPr>
        <w:ind w:left="5" w:right="349" w:firstLine="423"/>
        <w:spacing w:line="19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常用影像学检查有 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B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超、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CT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MRI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、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PET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等，特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9"/>
        </w:rPr>
        <w:t>点各不相同。</w:t>
      </w:r>
    </w:p>
    <w:p>
      <w:pPr>
        <w:ind w:left="2" w:right="342"/>
        <w:spacing w:before="2" w:line="205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2.3.1    B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超    简便、无创、无辐射、可多轴面观察；缺</w:t>
      </w:r>
      <w:r>
        <w:rPr>
          <w:rFonts w:ascii="Microsoft YaHei" w:hAnsi="Microsoft YaHei" w:eastAsia="Microsoft YaHei" w:cs="Microsoft YaHei"/>
          <w:sz w:val="21"/>
          <w:szCs w:val="21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点是易被胰腺前方胃肠道内的气体干扰，尤其胰尾部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显示不清晰，且受操作者主观影响较大。一般用于胰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腺癌的初诊和随访。</w:t>
      </w:r>
    </w:p>
    <w:p>
      <w:pPr>
        <w:ind w:right="237" w:firstLine="1"/>
        <w:spacing w:before="1" w:line="20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2.3.2    CT   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截面厚度</w:t>
      </w:r>
      <w:r>
        <w:rPr>
          <w:rFonts w:ascii="Microsoft YaHei" w:hAnsi="Microsoft YaHei" w:eastAsia="Microsoft YaHei" w:cs="Microsoft YaHei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 mm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的薄层增强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CT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，能清晰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>显示肿瘤大小、位置、胰管、胆管及肿瘤与周围血管、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邻近器官的关系，是目前诊断胰腺癌最常用的影像学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9"/>
        </w:rPr>
        <w:t>检查。</w:t>
      </w:r>
    </w:p>
    <w:p>
      <w:pPr>
        <w:ind w:left="2" w:right="339"/>
        <w:spacing w:before="2" w:line="19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2.3.3    MRI/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磁共振胰胆管成像   增强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MRI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具有多参</w:t>
      </w:r>
      <w:r>
        <w:rPr>
          <w:rFonts w:ascii="Microsoft YaHei" w:hAnsi="Microsoft YaHei" w:eastAsia="Microsoft YaHei" w:cs="Microsoft YaHei"/>
          <w:sz w:val="21"/>
          <w:szCs w:val="21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9"/>
          <w:w w:val="97"/>
        </w:rPr>
        <w:t>数、多轴面成像、无辐射的特点，胰腺癌鉴别诊断困难</w:t>
      </w:r>
      <w:r>
        <w:rPr>
          <w:rFonts w:ascii="Microsoft YaHei" w:hAnsi="Microsoft YaHei" w:eastAsia="Microsoft YaHei" w:cs="Microsoft YaHei"/>
          <w:sz w:val="21"/>
          <w:szCs w:val="21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3"/>
        </w:rPr>
        <w:t>时，可作为增强 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>CT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3"/>
        </w:rPr>
        <w:t>的重要补充，特别是对</w:t>
      </w:r>
      <w:r>
        <w:rPr>
          <w:rFonts w:ascii="Microsoft YaHei" w:hAnsi="Microsoft YaHei" w:eastAsia="Microsoft YaHei" w:cs="Microsoft YaHei"/>
          <w:sz w:val="21"/>
          <w:szCs w:val="21"/>
          <w:spacing w:val="-14"/>
        </w:rPr>
        <w:t>那些因肾功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能损伤、碘造影剂过敏无法行增强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CT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，以及增强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CT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显示为等密度肿块的患者</w:t>
      </w:r>
      <w:hyperlink w:history="true" w:anchor="bookmark22">
        <w:r>
          <w:rPr>
            <w:rFonts w:ascii="Times New Roman" w:hAnsi="Times New Roman" w:eastAsia="Times New Roman" w:cs="Times New Roman"/>
            <w:sz w:val="10"/>
            <w:szCs w:val="10"/>
            <w:spacing w:val="-6"/>
            <w:position w:val="9"/>
          </w:rPr>
          <w:t>[30]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。另外，增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强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MRI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对肝微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position w:val="-1"/>
        </w:rPr>
        <w:t>小转移灶的诊断较增强 </w:t>
      </w:r>
      <w:r>
        <w:rPr>
          <w:rFonts w:ascii="Times New Roman" w:hAnsi="Times New Roman" w:eastAsia="Times New Roman" w:cs="Times New Roman"/>
          <w:sz w:val="21"/>
          <w:szCs w:val="21"/>
          <w:position w:val="-1"/>
        </w:rPr>
        <w:t>CT </w:t>
      </w:r>
      <w:r>
        <w:rPr>
          <w:rFonts w:ascii="Microsoft YaHei" w:hAnsi="Microsoft YaHei" w:eastAsia="Microsoft YaHei" w:cs="Microsoft YaHei"/>
          <w:sz w:val="21"/>
          <w:szCs w:val="21"/>
          <w:position w:val="-1"/>
        </w:rPr>
        <w:t>更具优势</w:t>
      </w:r>
      <w:hyperlink w:history="true" w:anchor="bookmark23">
        <w:r>
          <w:rPr>
            <w:rFonts w:ascii="Times New Roman" w:hAnsi="Times New Roman" w:eastAsia="Times New Roman" w:cs="Times New Roman"/>
            <w:sz w:val="10"/>
            <w:szCs w:val="10"/>
            <w:position w:val="8"/>
          </w:rPr>
          <w:t>[31-32]</w:t>
        </w:r>
      </w:hyperlink>
      <w:r>
        <w:rPr>
          <w:rFonts w:ascii="Microsoft YaHei" w:hAnsi="Microsoft YaHei" w:eastAsia="Microsoft YaHei" w:cs="Microsoft YaHei"/>
          <w:sz w:val="21"/>
          <w:szCs w:val="21"/>
          <w:position w:val="-1"/>
        </w:rPr>
        <w:t>。磁共振胰</w:t>
      </w:r>
      <w:r>
        <w:rPr>
          <w:rFonts w:ascii="Microsoft YaHei" w:hAnsi="Microsoft YaHei" w:eastAsia="Microsoft YaHei" w:cs="Microsoft YaHei"/>
          <w:sz w:val="21"/>
          <w:szCs w:val="21"/>
          <w:spacing w:val="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1"/>
          <w:w w:val="99"/>
        </w:rPr>
        <w:t>胆管成像（</w:t>
      </w:r>
      <w:r>
        <w:rPr>
          <w:rFonts w:ascii="Times New Roman" w:hAnsi="Times New Roman" w:eastAsia="Times New Roman" w:cs="Times New Roman"/>
          <w:sz w:val="21"/>
          <w:szCs w:val="21"/>
          <w:spacing w:val="-11"/>
          <w:w w:val="99"/>
        </w:rPr>
        <w:t>MRCP</w:t>
      </w:r>
      <w:r>
        <w:rPr>
          <w:rFonts w:ascii="Microsoft YaHei" w:hAnsi="Microsoft YaHei" w:eastAsia="Microsoft YaHei" w:cs="Microsoft YaHei"/>
          <w:sz w:val="21"/>
          <w:szCs w:val="21"/>
          <w:spacing w:val="-11"/>
          <w:w w:val="99"/>
        </w:rPr>
        <w:t>）可清晰显示胰胆管全貌，帮助判断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right="102"/>
        <w:spacing w:before="44" w:line="20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病变部位</w:t>
      </w:r>
      <w:hyperlink w:history="true" w:anchor="bookmark24">
        <w:r>
          <w:rPr>
            <w:rFonts w:ascii="Times New Roman" w:hAnsi="Times New Roman" w:eastAsia="Times New Roman" w:cs="Times New Roman"/>
            <w:sz w:val="10"/>
            <w:szCs w:val="10"/>
            <w:spacing w:val="-2"/>
            <w:position w:val="9"/>
          </w:rPr>
          <w:t>[33]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13"/>
          <w:w w:val="97"/>
        </w:rPr>
        <w:t>，与内镜下逆行胆胰管造影（</w:t>
      </w:r>
      <w:r>
        <w:rPr>
          <w:rFonts w:ascii="Times New Roman" w:hAnsi="Times New Roman" w:eastAsia="Times New Roman" w:cs="Times New Roman"/>
          <w:sz w:val="21"/>
          <w:szCs w:val="21"/>
          <w:spacing w:val="-13"/>
          <w:w w:val="97"/>
        </w:rPr>
        <w:t>ERCP</w:t>
      </w:r>
      <w:r>
        <w:rPr>
          <w:rFonts w:ascii="Microsoft YaHei" w:hAnsi="Microsoft YaHei" w:eastAsia="Microsoft YaHei" w:cs="Microsoft YaHei"/>
          <w:sz w:val="21"/>
          <w:szCs w:val="21"/>
          <w:spacing w:val="-13"/>
          <w:w w:val="97"/>
        </w:rPr>
        <w:t>）相比具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>有无创优势，与增强 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MRI 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>联用诊断价值更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高。</w:t>
      </w:r>
    </w:p>
    <w:p>
      <w:pPr>
        <w:ind w:right="18" w:firstLine="1"/>
        <w:spacing w:before="7" w:line="205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2.3.4    PET-CT/PET-MRI  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属功能影像学检查，通过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5"/>
          <w:w w:val="98"/>
        </w:rPr>
        <w:t>病灶对显像剂的摄取来反映肿瘤的代谢活性和负荷</w:t>
      </w:r>
      <w:hyperlink w:history="true" w:anchor="bookmark25">
        <w:r>
          <w:rPr>
            <w:rFonts w:ascii="Times New Roman" w:hAnsi="Times New Roman" w:eastAsia="Times New Roman" w:cs="Times New Roman"/>
            <w:sz w:val="10"/>
            <w:szCs w:val="10"/>
            <w:spacing w:val="-5"/>
            <w:w w:val="98"/>
            <w:position w:val="9"/>
          </w:rPr>
          <w:t>[34]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5"/>
          <w:w w:val="98"/>
        </w:rPr>
        <w:t>。</w:t>
      </w:r>
      <w:r>
        <w:rPr>
          <w:rFonts w:ascii="Microsoft YaHei" w:hAnsi="Microsoft YaHei" w:eastAsia="Microsoft YaHei" w:cs="Microsoft YaHei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0"/>
          <w:w w:val="98"/>
        </w:rPr>
        <w:t>PET </w:t>
      </w:r>
      <w:r>
        <w:rPr>
          <w:rFonts w:ascii="Microsoft YaHei" w:hAnsi="Microsoft YaHei" w:eastAsia="Microsoft YaHei" w:cs="Microsoft YaHei"/>
          <w:sz w:val="21"/>
          <w:szCs w:val="21"/>
          <w:spacing w:val="-10"/>
          <w:w w:val="98"/>
        </w:rPr>
        <w:t>是全身检查，在寻找原发灶、发现胰外转移灶、判</w:t>
      </w:r>
      <w:r>
        <w:rPr>
          <w:rFonts w:ascii="Microsoft YaHei" w:hAnsi="Microsoft YaHei" w:eastAsia="Microsoft YaHei" w:cs="Microsoft YaHei"/>
          <w:sz w:val="21"/>
          <w:szCs w:val="21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断分期、评估全身肿瘤负荷、疗效评估、复发监测等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有一定优势。但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PET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也存在假阳性和假阴性，且局部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解剖学显示清晰度不如增强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CT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和增强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MRI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，加上费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3"/>
        </w:rPr>
        <w:t>用昂贵，仅作为常规影像学检查的补充。</w:t>
      </w:r>
    </w:p>
    <w:p>
      <w:pPr>
        <w:ind w:left="1"/>
        <w:spacing w:line="19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2.4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内镜检查</w:t>
      </w:r>
    </w:p>
    <w:p>
      <w:pPr>
        <w:ind w:right="14" w:firstLine="1"/>
        <w:spacing w:before="1" w:line="19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2.4.1   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超声内镜</w:t>
      </w:r>
      <w:r>
        <w:rPr>
          <w:rFonts w:ascii="Microsoft YaHei" w:hAnsi="Microsoft YaHei" w:eastAsia="Microsoft YaHei" w:cs="Microsoft YaHei"/>
          <w:sz w:val="21"/>
          <w:szCs w:val="21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超声内镜（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EUS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）由于探头距离胰腺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9"/>
          <w:w w:val="97"/>
        </w:rPr>
        <w:t>近，可避免胃肠道气体干扰，对早期小胰癌诊断价值极</w:t>
      </w:r>
      <w:r>
        <w:rPr>
          <w:rFonts w:ascii="Microsoft YaHei" w:hAnsi="Microsoft YaHei" w:eastAsia="Microsoft YaHei" w:cs="Microsoft YaHei"/>
          <w:sz w:val="21"/>
          <w:szCs w:val="21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高</w:t>
      </w:r>
      <w:hyperlink w:history="true" w:anchor="bookmark26">
        <w:r>
          <w:rPr>
            <w:rFonts w:ascii="Times New Roman" w:hAnsi="Times New Roman" w:eastAsia="Times New Roman" w:cs="Times New Roman"/>
            <w:sz w:val="10"/>
            <w:szCs w:val="10"/>
            <w:spacing w:val="-4"/>
            <w:position w:val="9"/>
          </w:rPr>
          <w:t>[35]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，尤其临床上高度怀疑胰腺癌、胰管存在异常但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影像学检查未发现肿瘤的患者。对增强 </w:t>
      </w:r>
      <w:r>
        <w:rPr>
          <w:rFonts w:ascii="Times New Roman" w:hAnsi="Times New Roman" w:eastAsia="Times New Roman" w:cs="Times New Roman"/>
          <w:sz w:val="21"/>
          <w:szCs w:val="21"/>
        </w:rPr>
        <w:t>CT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或 </w:t>
      </w:r>
      <w:r>
        <w:rPr>
          <w:rFonts w:ascii="Times New Roman" w:hAnsi="Times New Roman" w:eastAsia="Times New Roman" w:cs="Times New Roman"/>
          <w:sz w:val="21"/>
          <w:szCs w:val="21"/>
        </w:rPr>
        <w:t>MRI  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不能确定胰腺肿块性质的患者，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EUS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亦有辅助诊断价</w:t>
      </w:r>
      <w:r>
        <w:rPr>
          <w:rFonts w:ascii="Microsoft YaHei" w:hAnsi="Microsoft YaHei" w:eastAsia="Microsoft YaHei" w:cs="Microsoft YaHei"/>
          <w:sz w:val="21"/>
          <w:szCs w:val="21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值，并可评估肿瘤局部和周围情况。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EUS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最重要的诊</w:t>
      </w:r>
      <w:r>
        <w:rPr>
          <w:rFonts w:ascii="Microsoft YaHei" w:hAnsi="Microsoft YaHei" w:eastAsia="Microsoft YaHei" w:cs="Microsoft YaHei"/>
          <w:sz w:val="21"/>
          <w:szCs w:val="21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断价值是可同时做细针穿刺（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FNA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）行病理学检测</w:t>
      </w:r>
      <w:hyperlink w:history="true" w:anchor="bookmark27">
        <w:r>
          <w:rPr>
            <w:rFonts w:ascii="Times New Roman" w:hAnsi="Times New Roman" w:eastAsia="Times New Roman" w:cs="Times New Roman"/>
            <w:sz w:val="10"/>
            <w:szCs w:val="10"/>
            <w:spacing w:val="-8"/>
            <w:position w:val="9"/>
          </w:rPr>
          <w:t>[36]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，</w:t>
      </w:r>
      <w:r>
        <w:rPr>
          <w:rFonts w:ascii="Microsoft YaHei" w:hAnsi="Microsoft YaHei" w:eastAsia="Microsoft YaHei" w:cs="Microsoft YaHei"/>
          <w:sz w:val="21"/>
          <w:szCs w:val="21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  <w:w w:val="98"/>
        </w:rPr>
        <w:t>也是准备接受新辅助治疗或获取晚期胰腺癌原发病灶</w:t>
      </w:r>
      <w:r>
        <w:rPr>
          <w:rFonts w:ascii="Microsoft YaHei" w:hAnsi="Microsoft YaHei" w:eastAsia="Microsoft YaHei" w:cs="Microsoft YaHei"/>
          <w:sz w:val="21"/>
          <w:szCs w:val="21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病理的首选方法。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EUS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还有一些新技术，如肿瘤弹性</w:t>
      </w:r>
      <w:r>
        <w:rPr>
          <w:rFonts w:ascii="Microsoft YaHei" w:hAnsi="Microsoft YaHei" w:eastAsia="Microsoft YaHei" w:cs="Microsoft YaHei"/>
          <w:sz w:val="21"/>
          <w:szCs w:val="21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>应变率检测可用于指导化疗药物选择</w:t>
      </w:r>
      <w:r>
        <w:rPr>
          <w:rFonts w:ascii="Times New Roman" w:hAnsi="Times New Roman" w:eastAsia="Times New Roman" w:cs="Times New Roman"/>
          <w:sz w:val="10"/>
          <w:szCs w:val="10"/>
          <w:spacing w:val="1"/>
          <w:position w:val="9"/>
        </w:rPr>
        <w:t>[</w:t>
      </w:r>
      <w:hyperlink w:history="true" w:anchor="bookmark28">
        <w:r>
          <w:rPr>
            <w:rFonts w:ascii="Times New Roman" w:hAnsi="Times New Roman" w:eastAsia="Times New Roman" w:cs="Times New Roman"/>
            <w:sz w:val="10"/>
            <w:szCs w:val="10"/>
            <w:spacing w:val="1"/>
            <w:position w:val="9"/>
          </w:rPr>
          <w:t>37</w:t>
        </w:r>
      </w:hyperlink>
      <w:r>
        <w:rPr>
          <w:rFonts w:ascii="Times New Roman" w:hAnsi="Times New Roman" w:eastAsia="Times New Roman" w:cs="Times New Roman"/>
          <w:sz w:val="10"/>
          <w:szCs w:val="10"/>
          <w:spacing w:val="1"/>
          <w:position w:val="9"/>
        </w:rPr>
        <w:t>]</w:t>
      </w:r>
      <w:r>
        <w:rPr>
          <w:rFonts w:ascii="Times New Roman" w:hAnsi="Times New Roman" w:eastAsia="Times New Roman" w:cs="Times New Roman"/>
          <w:sz w:val="10"/>
          <w:szCs w:val="10"/>
          <w:spacing w:val="14"/>
          <w:w w:val="103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>。</w:t>
      </w:r>
      <w:r>
        <w:rPr>
          <w:rFonts w:ascii="Times New Roman" w:hAnsi="Times New Roman" w:eastAsia="Times New Roman" w:cs="Times New Roman"/>
          <w:sz w:val="21"/>
          <w:szCs w:val="21"/>
        </w:rPr>
        <w:t>EUS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>为有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9"/>
          <w:w w:val="97"/>
        </w:rPr>
        <w:t>创检查，且其准确性受操作者主观影响较大，对临床诊</w:t>
      </w:r>
      <w:r>
        <w:rPr>
          <w:rFonts w:ascii="Microsoft YaHei" w:hAnsi="Microsoft YaHei" w:eastAsia="Microsoft YaHei" w:cs="Microsoft YaHei"/>
          <w:sz w:val="21"/>
          <w:szCs w:val="21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断明确或无病理需求的胰腺癌不推荐。</w:t>
      </w:r>
    </w:p>
    <w:p>
      <w:pPr>
        <w:ind w:right="101" w:firstLine="1"/>
        <w:spacing w:before="5" w:line="19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2.4.2    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>内镜下逆行胆胰管造影    内镜下逆行</w:t>
      </w:r>
      <w:r>
        <w:rPr>
          <w:rFonts w:ascii="Microsoft YaHei" w:hAnsi="Microsoft YaHei" w:eastAsia="Microsoft YaHei" w:cs="Microsoft YaHei"/>
          <w:sz w:val="21"/>
          <w:szCs w:val="21"/>
        </w:rPr>
        <w:t>胆胰管 </w:t>
      </w:r>
      <w:r>
        <w:rPr>
          <w:rFonts w:ascii="Microsoft YaHei" w:hAnsi="Microsoft YaHei" w:eastAsia="Microsoft YaHei" w:cs="Microsoft YaHei"/>
          <w:sz w:val="21"/>
          <w:szCs w:val="21"/>
          <w:spacing w:val="-10"/>
          <w:w w:val="96"/>
        </w:rPr>
        <w:t>造影（</w:t>
      </w:r>
      <w:r>
        <w:rPr>
          <w:rFonts w:ascii="Times New Roman" w:hAnsi="Times New Roman" w:eastAsia="Times New Roman" w:cs="Times New Roman"/>
          <w:sz w:val="21"/>
          <w:szCs w:val="21"/>
          <w:spacing w:val="-10"/>
          <w:w w:val="96"/>
        </w:rPr>
        <w:t>ERCP</w:t>
      </w:r>
      <w:r>
        <w:rPr>
          <w:rFonts w:ascii="Microsoft YaHei" w:hAnsi="Microsoft YaHei" w:eastAsia="Microsoft YaHei" w:cs="Microsoft YaHei"/>
          <w:sz w:val="21"/>
          <w:szCs w:val="21"/>
          <w:spacing w:val="-10"/>
          <w:w w:val="96"/>
        </w:rPr>
        <w:t>）不能直接显示肿瘤病变，主要依靠胰管和</w:t>
      </w:r>
      <w:r>
        <w:rPr>
          <w:rFonts w:ascii="Microsoft YaHei" w:hAnsi="Microsoft YaHei" w:eastAsia="Microsoft YaHei" w:cs="Microsoft YaHei"/>
          <w:sz w:val="21"/>
          <w:szCs w:val="21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胆管的形态对胰腺癌做出诊断，对胆总管下端、胰管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阻塞或有异常改变者有较大价值。另外，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ERCP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可行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胰胆管内细胞刷检，然后行胰液及胆汁相关脱落细胞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"/>
          <w:position w:val="-1"/>
        </w:rPr>
        <w:t>学检查</w:t>
      </w:r>
      <w:r>
        <w:rPr>
          <w:rFonts w:ascii="Times New Roman" w:hAnsi="Times New Roman" w:eastAsia="Times New Roman" w:cs="Times New Roman"/>
          <w:sz w:val="10"/>
          <w:szCs w:val="10"/>
          <w:spacing w:val="-1"/>
          <w:position w:val="8"/>
        </w:rPr>
        <w:t>[</w:t>
      </w:r>
      <w:hyperlink w:history="true" w:anchor="bookmark29">
        <w:r>
          <w:rPr>
            <w:rFonts w:ascii="Times New Roman" w:hAnsi="Times New Roman" w:eastAsia="Times New Roman" w:cs="Times New Roman"/>
            <w:sz w:val="10"/>
            <w:szCs w:val="10"/>
            <w:spacing w:val="-1"/>
            <w:position w:val="8"/>
          </w:rPr>
          <w:t>38</w:t>
        </w:r>
      </w:hyperlink>
      <w:r>
        <w:rPr>
          <w:rFonts w:ascii="Times New Roman" w:hAnsi="Times New Roman" w:eastAsia="Times New Roman" w:cs="Times New Roman"/>
          <w:sz w:val="10"/>
          <w:szCs w:val="10"/>
          <w:spacing w:val="-1"/>
          <w:position w:val="8"/>
        </w:rPr>
        <w:t>-</w:t>
      </w:r>
      <w:hyperlink w:history="true" w:anchor="bookmark30">
        <w:r>
          <w:rPr>
            <w:rFonts w:ascii="Times New Roman" w:hAnsi="Times New Roman" w:eastAsia="Times New Roman" w:cs="Times New Roman"/>
            <w:sz w:val="10"/>
            <w:szCs w:val="10"/>
            <w:spacing w:val="-1"/>
            <w:position w:val="8"/>
          </w:rPr>
          <w:t>39</w:t>
        </w:r>
      </w:hyperlink>
      <w:r>
        <w:rPr>
          <w:rFonts w:ascii="Times New Roman" w:hAnsi="Times New Roman" w:eastAsia="Times New Roman" w:cs="Times New Roman"/>
          <w:sz w:val="10"/>
          <w:szCs w:val="10"/>
          <w:spacing w:val="-1"/>
          <w:position w:val="8"/>
        </w:rPr>
        <w:t>]</w:t>
      </w:r>
      <w:r>
        <w:rPr>
          <w:rFonts w:ascii="Microsoft YaHei" w:hAnsi="Microsoft YaHei" w:eastAsia="Microsoft YaHei" w:cs="Microsoft YaHei"/>
          <w:sz w:val="21"/>
          <w:szCs w:val="21"/>
          <w:spacing w:val="-1"/>
          <w:position w:val="-1"/>
        </w:rPr>
        <w:t>。尤其对无法手术的梗阻性黄疸，可一次</w:t>
      </w:r>
      <w:r>
        <w:rPr>
          <w:rFonts w:ascii="Microsoft YaHei" w:hAnsi="Microsoft YaHei" w:eastAsia="Microsoft YaHei" w:cs="Microsoft YaHei"/>
          <w:sz w:val="21"/>
          <w:szCs w:val="21"/>
          <w:spacing w:val="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性完成减黄操作及病理与细胞学检测，应作为无手术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5"/>
        </w:rPr>
        <w:t>指征伴梗阻性黄疸患者的首选处理方法。但 </w:t>
      </w:r>
      <w:r>
        <w:rPr>
          <w:rFonts w:ascii="Times New Roman" w:hAnsi="Times New Roman" w:eastAsia="Times New Roman" w:cs="Times New Roman"/>
          <w:sz w:val="21"/>
          <w:szCs w:val="21"/>
        </w:rPr>
        <w:t>ERCP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细胞学刷检的灵敏度与特异性尚有待提高。</w:t>
      </w:r>
    </w:p>
    <w:p>
      <w:pPr>
        <w:ind w:left="1"/>
        <w:spacing w:before="6" w:line="22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2.5  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腹腔镜探查</w:t>
      </w:r>
    </w:p>
    <w:p>
      <w:pPr>
        <w:ind w:left="1" w:firstLine="419"/>
        <w:spacing w:before="8" w:line="196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对肿瘤分期具有潜在诊断价值，能发现腹膜种植</w:t>
      </w:r>
      <w:r>
        <w:rPr>
          <w:rFonts w:ascii="Microsoft YaHei" w:hAnsi="Microsoft YaHei" w:eastAsia="Microsoft YaHei" w:cs="Microsoft YaHei"/>
          <w:sz w:val="21"/>
          <w:szCs w:val="21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转移和影像学漏诊的肝微小转移灶</w:t>
      </w:r>
      <w:r>
        <w:rPr>
          <w:rFonts w:ascii="Times New Roman" w:hAnsi="Times New Roman" w:eastAsia="Times New Roman" w:cs="Times New Roman"/>
          <w:sz w:val="10"/>
          <w:szCs w:val="10"/>
          <w:spacing w:val="-4"/>
          <w:position w:val="9"/>
        </w:rPr>
        <w:t>[</w:t>
      </w:r>
      <w:hyperlink w:history="true" w:anchor="bookmark31">
        <w:r>
          <w:rPr>
            <w:rFonts w:ascii="Times New Roman" w:hAnsi="Times New Roman" w:eastAsia="Times New Roman" w:cs="Times New Roman"/>
            <w:sz w:val="10"/>
            <w:szCs w:val="10"/>
            <w:spacing w:val="-4"/>
            <w:position w:val="9"/>
          </w:rPr>
          <w:t>40</w:t>
        </w:r>
      </w:hyperlink>
      <w:r>
        <w:rPr>
          <w:rFonts w:ascii="Times New Roman" w:hAnsi="Times New Roman" w:eastAsia="Times New Roman" w:cs="Times New Roman"/>
          <w:sz w:val="10"/>
          <w:szCs w:val="10"/>
          <w:spacing w:val="-4"/>
          <w:position w:val="9"/>
        </w:rPr>
        <w:t>]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。但不建议对所</w:t>
      </w:r>
      <w:r>
        <w:rPr>
          <w:rFonts w:ascii="Microsoft YaHei" w:hAnsi="Microsoft YaHei" w:eastAsia="Microsoft YaHei" w:cs="Microsoft YaHei"/>
          <w:sz w:val="21"/>
          <w:szCs w:val="21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有潜在可切除胰腺癌行常规腹腔镜探查，推荐对合并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高危因素（如影像学检查可疑或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CA19-9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明显升高）、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7"/>
          <w:w w:val="98"/>
        </w:rPr>
        <w:t>拟行根治性切除的胰腺癌进行全面、仔细腹腔镜探查，</w:t>
      </w:r>
      <w:r>
        <w:rPr>
          <w:rFonts w:ascii="Microsoft YaHei" w:hAnsi="Microsoft YaHei" w:eastAsia="Microsoft YaHei" w:cs="Microsoft YaHei"/>
          <w:sz w:val="21"/>
          <w:szCs w:val="21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以发现术前未检出的微小转移灶。另外，腹腔镜活检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是获取组织病理学诊断的备选方法。</w:t>
      </w:r>
    </w:p>
    <w:p>
      <w:pPr>
        <w:ind w:left="1"/>
        <w:spacing w:line="22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2.6  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病理学诊断</w:t>
      </w:r>
    </w:p>
    <w:p>
      <w:pPr>
        <w:ind w:left="3" w:right="98" w:firstLine="417"/>
        <w:spacing w:before="3" w:line="196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本指南主要是针对导管腺癌（包括腺鳞癌、胶样</w:t>
      </w:r>
      <w:r>
        <w:rPr>
          <w:rFonts w:ascii="Microsoft YaHei" w:hAnsi="Microsoft YaHei" w:eastAsia="Microsoft YaHei" w:cs="Microsoft YaHei"/>
          <w:sz w:val="21"/>
          <w:szCs w:val="21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9"/>
          <w:w w:val="97"/>
        </w:rPr>
        <w:t>癌、肝样腺癌、髓样癌、印戒细胞癌、未分化癌、伴破</w:t>
      </w:r>
      <w:r>
        <w:rPr>
          <w:rFonts w:ascii="Microsoft YaHei" w:hAnsi="Microsoft YaHei" w:eastAsia="Microsoft YaHei" w:cs="Microsoft YaHei"/>
          <w:sz w:val="21"/>
          <w:szCs w:val="21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骨样细胞的未分化癌等特殊亚型）和腺泡细胞癌患者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7"/>
          <w:w w:val="96"/>
        </w:rPr>
        <w:t>的诊治。组织病理学和（或）细胞学检查是诊断胰腺癌</w:t>
      </w:r>
      <w:r>
        <w:rPr>
          <w:rFonts w:ascii="Microsoft YaHei" w:hAnsi="Microsoft YaHei" w:eastAsia="Microsoft YaHei" w:cs="Microsoft YaHei"/>
          <w:sz w:val="21"/>
          <w:szCs w:val="21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的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“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金标准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”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。除拟行手术切除的患者外，其余在制订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治疗方案前均应尽量明确病理学诊断。</w:t>
      </w:r>
    </w:p>
    <w:p>
      <w:pPr>
        <w:ind w:left="1"/>
        <w:spacing w:before="1" w:line="22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2.7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临床诊断标准</w:t>
      </w:r>
    </w:p>
    <w:p>
      <w:pPr>
        <w:ind w:left="422"/>
        <w:spacing w:before="1" w:line="203" w:lineRule="exact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3"/>
          <w:position w:val="-1"/>
        </w:rPr>
        <w:t>鉴于胰腺特殊解剖位置和胰腺癌特殊生物学行</w:t>
      </w:r>
    </w:p>
    <w:p>
      <w:pPr>
        <w:spacing w:line="203" w:lineRule="exact"/>
        <w:sectPr>
          <w:type w:val="continuous"/>
          <w:pgSz w:w="12246" w:h="17178"/>
          <w:pgMar w:top="1297" w:right="1100" w:bottom="0" w:left="1206" w:header="928" w:footer="0" w:gutter="0"/>
          <w:cols w:equalWidth="0" w:num="2">
            <w:col w:w="5041" w:space="100"/>
            <w:col w:w="4799" w:space="0"/>
          </w:cols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spacing w:before="120"/>
        <w:rPr/>
      </w:pPr>
      <w:r/>
    </w:p>
    <w:p>
      <w:pPr>
        <w:sectPr>
          <w:headerReference w:type="default" r:id="rId5"/>
          <w:pgSz w:w="12246" w:h="17178"/>
          <w:pgMar w:top="1297" w:right="1100" w:bottom="0" w:left="1190" w:header="928" w:footer="0" w:gutter="0"/>
          <w:cols w:equalWidth="0" w:num="1">
            <w:col w:w="9955" w:space="0"/>
          </w:cols>
        </w:sectPr>
        <w:rPr/>
      </w:pPr>
    </w:p>
    <w:p>
      <w:pPr>
        <w:ind w:left="16" w:right="245" w:firstLine="7"/>
        <w:spacing w:before="40" w:line="202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为，部分高度怀疑胰腺癌却未能得到细胞学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或组织学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诊断者，经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MDT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HIM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讨论后，可慎重做出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临床决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14"/>
          <w:w w:val="98"/>
        </w:rPr>
        <w:t>策，开展合理治疗。推荐做到以下几点：</w:t>
      </w:r>
      <w:r>
        <w:rPr>
          <w:rFonts w:ascii="Times New Roman" w:hAnsi="Times New Roman" w:eastAsia="Times New Roman" w:cs="Times New Roman"/>
          <w:sz w:val="21"/>
          <w:szCs w:val="21"/>
          <w:spacing w:val="-14"/>
          <w:w w:val="98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spacing w:val="-14"/>
          <w:w w:val="98"/>
        </w:rPr>
        <w:t>）完善临床资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料，包括全面、多次血清学和各项高质量影像学检查，</w:t>
      </w:r>
      <w:r>
        <w:rPr>
          <w:rFonts w:ascii="Microsoft YaHei" w:hAnsi="Microsoft YaHei" w:eastAsia="Microsoft YaHei" w:cs="Microsoft YaHei"/>
          <w:sz w:val="21"/>
          <w:szCs w:val="21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尤其是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CA19-9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为主的肿瘤标志物检查，必要时加做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PET-CT/PET-MRI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。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2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）介入科或内镜科专业医师多次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穿刺活检，并由多名经验丰富的病理医师集中会诊。</w:t>
      </w:r>
    </w:p>
    <w:p>
      <w:pPr>
        <w:ind w:left="22"/>
        <w:spacing w:line="2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0"/>
          <w:w w:val="98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spacing w:val="-10"/>
          <w:w w:val="98"/>
        </w:rPr>
        <w:t>）与患者及家属多次沟通治疗风险，签署知情同意书。</w:t>
      </w:r>
    </w:p>
    <w:p>
      <w:pPr>
        <w:ind w:left="17"/>
        <w:spacing w:line="183" w:lineRule="auto"/>
        <w:rPr>
          <w:rFonts w:ascii="Microsoft YaHei" w:hAnsi="Microsoft YaHei" w:eastAsia="Microsoft YaHei" w:cs="Microsoft YaHei"/>
          <w:sz w:val="21"/>
          <w:szCs w:val="21"/>
        </w:rPr>
      </w:pPr>
      <w:bookmarkStart w:name="bookmark32" w:id="1"/>
      <w:bookmarkEnd w:id="1"/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4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）由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MDT to HIM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专家共同制订最终决策，治疗过程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2"/>
        <w:spacing w:before="43" w:line="17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2"/>
        </w:rPr>
        <w:t>中严密监测。</w:t>
      </w:r>
    </w:p>
    <w:p>
      <w:pPr>
        <w:ind w:left="4"/>
        <w:spacing w:before="98" w:line="222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4"/>
        </w:rPr>
        <w:t>3</w:t>
      </w:r>
      <w:r>
        <w:rPr>
          <w:rFonts w:ascii="SimHei" w:hAnsi="SimHei" w:eastAsia="SimHei" w:cs="SimHei"/>
          <w:sz w:val="21"/>
          <w:szCs w:val="21"/>
          <w:spacing w:val="-4"/>
        </w:rPr>
        <w:t xml:space="preserve">  </w:t>
      </w:r>
      <w:r>
        <w:rPr>
          <w:rFonts w:ascii="SimHei" w:hAnsi="SimHei" w:eastAsia="SimHei" w:cs="SimHei"/>
          <w:sz w:val="21"/>
          <w:szCs w:val="21"/>
          <w:spacing w:val="-4"/>
        </w:rPr>
        <w:t>治疗</w:t>
      </w:r>
    </w:p>
    <w:p>
      <w:pPr>
        <w:ind w:left="5"/>
        <w:spacing w:before="86" w:line="22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3.1   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分期和整合评估</w:t>
      </w:r>
    </w:p>
    <w:p>
      <w:pPr>
        <w:ind w:right="99" w:firstLine="5"/>
        <w:spacing w:before="29" w:line="21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3.1.1   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分期</w:t>
      </w:r>
      <w:r>
        <w:rPr>
          <w:rFonts w:ascii="Microsoft YaHei" w:hAnsi="Microsoft YaHei" w:eastAsia="Microsoft YaHei" w:cs="Microsoft YaHei"/>
          <w:sz w:val="21"/>
          <w:szCs w:val="21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第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8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版美国癌症联合委员会（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AJCC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）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TNM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分期是目前临床上应用最广泛的胰腺癌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分期系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统，同时国</w:t>
      </w:r>
      <w:hyperlink w:history="true" w:anchor="bookmark32">
        <w:r>
          <w:rPr>
            <w:rFonts w:ascii="Microsoft YaHei" w:hAnsi="Microsoft YaHei" w:eastAsia="Microsoft YaHei" w:cs="Microsoft YaHei"/>
            <w:sz w:val="21"/>
            <w:szCs w:val="21"/>
            <w:spacing w:val="-6"/>
          </w:rPr>
          <w:t>内</w:t>
        </w:r>
      </w:hyperlink>
      <w:hyperlink w:history="true" w:anchor="bookmark32">
        <w:r>
          <w:rPr>
            <w:rFonts w:ascii="Microsoft YaHei" w:hAnsi="Microsoft YaHei" w:eastAsia="Microsoft YaHei" w:cs="Microsoft YaHei"/>
            <w:sz w:val="21"/>
            <w:szCs w:val="21"/>
            <w:spacing w:val="-6"/>
          </w:rPr>
          <w:t>专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家也提出更加准确的上海复旦版改良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分期系统（</w:t>
      </w:r>
      <w:hyperlink w:history="true" w:anchor="bookmark32">
        <w:r>
          <w:rPr>
            <w:rFonts w:ascii="Microsoft YaHei" w:hAnsi="Microsoft YaHei" w:eastAsia="Microsoft YaHei" w:cs="Microsoft YaHei"/>
            <w:sz w:val="21"/>
            <w:szCs w:val="21"/>
            <w:spacing w:val="-8"/>
          </w:rPr>
          <w:t>表</w:t>
        </w:r>
      </w:hyperlink>
      <w:hyperlink w:history="true" w:anchor="bookmark32">
        <w:r>
          <w:rPr>
            <w:rFonts w:ascii="Times New Roman" w:hAnsi="Times New Roman" w:eastAsia="Times New Roman" w:cs="Times New Roman"/>
            <w:sz w:val="21"/>
            <w:szCs w:val="21"/>
            <w:spacing w:val="-8"/>
          </w:rPr>
          <w:t>1</w:t>
        </w:r>
      </w:hyperlink>
      <w:hyperlink w:history="true" w:anchor="bookmark34">
        <w:r>
          <w:rPr>
            <w:rFonts w:ascii="Microsoft YaHei" w:hAnsi="Microsoft YaHei" w:eastAsia="Microsoft YaHei" w:cs="Microsoft YaHei"/>
            <w:sz w:val="21"/>
            <w:szCs w:val="21"/>
            <w:spacing w:val="-24"/>
            <w:w w:val="48"/>
          </w:rPr>
          <w:t>）</w:t>
        </w:r>
      </w:hyperlink>
      <w:hyperlink w:history="true" w:anchor="bookmark33">
        <w:r>
          <w:rPr>
            <w:rFonts w:ascii="Microsoft YaHei" w:hAnsi="Microsoft YaHei" w:eastAsia="Microsoft YaHei" w:cs="Microsoft YaHei"/>
            <w:sz w:val="21"/>
            <w:szCs w:val="21"/>
            <w:spacing w:val="-24"/>
            <w:w w:val="48"/>
          </w:rPr>
          <w:t>，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指导治疗并判断预后，准确性和实用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  <w:position w:val="-3"/>
        </w:rPr>
        <w:t>性均获得验证</w:t>
      </w:r>
      <w:hyperlink w:history="true" w:anchor="bookmark33">
        <w:r>
          <w:rPr>
            <w:rFonts w:ascii="Times New Roman" w:hAnsi="Times New Roman" w:eastAsia="Times New Roman" w:cs="Times New Roman"/>
            <w:sz w:val="10"/>
            <w:szCs w:val="10"/>
            <w:spacing w:val="-2"/>
            <w:position w:val="6"/>
          </w:rPr>
          <w:t>[41-44]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2"/>
          <w:position w:val="-3"/>
        </w:rPr>
        <w:t>。</w:t>
      </w:r>
    </w:p>
    <w:p>
      <w:pPr>
        <w:spacing w:line="217" w:lineRule="auto"/>
        <w:sectPr>
          <w:type w:val="continuous"/>
          <w:pgSz w:w="12246" w:h="17178"/>
          <w:pgMar w:top="1297" w:right="1100" w:bottom="0" w:left="1190" w:header="928" w:footer="0" w:gutter="0"/>
          <w:cols w:equalWidth="0" w:num="2">
            <w:col w:w="5057" w:space="100"/>
            <w:col w:w="4798" w:space="0"/>
          </w:cols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ind w:left="24"/>
        <w:spacing w:before="275" w:line="22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1"/>
        </w:rPr>
        <w:t>表1</w:t>
      </w:r>
      <w:r>
        <w:rPr>
          <w:rFonts w:ascii="SimHei" w:hAnsi="SimHei" w:eastAsia="SimHei" w:cs="SimHei"/>
          <w:sz w:val="18"/>
          <w:szCs w:val="18"/>
          <w:spacing w:val="-1"/>
        </w:rPr>
        <w:t xml:space="preserve">  </w:t>
      </w:r>
      <w:r>
        <w:rPr>
          <w:rFonts w:ascii="SimHei" w:hAnsi="SimHei" w:eastAsia="SimHei" w:cs="SimHei"/>
          <w:sz w:val="18"/>
          <w:szCs w:val="18"/>
          <w:spacing w:val="-1"/>
        </w:rPr>
        <w:t>胰腺癌第</w:t>
      </w:r>
      <w:r>
        <w:rPr>
          <w:rFonts w:ascii="SimHei" w:hAnsi="SimHei" w:eastAsia="SimHei" w:cs="SimHei"/>
          <w:sz w:val="18"/>
          <w:szCs w:val="18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8 </w:t>
      </w:r>
      <w:r>
        <w:rPr>
          <w:rFonts w:ascii="SimHei" w:hAnsi="SimHei" w:eastAsia="SimHei" w:cs="SimHei"/>
          <w:sz w:val="18"/>
          <w:szCs w:val="18"/>
          <w:spacing w:val="-1"/>
        </w:rPr>
        <w:t>版</w:t>
      </w:r>
      <w:r>
        <w:rPr>
          <w:rFonts w:ascii="SimHei" w:hAnsi="SimHei" w:eastAsia="SimHei" w:cs="SimHei"/>
          <w:sz w:val="18"/>
          <w:szCs w:val="18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-1"/>
        </w:rPr>
        <w:t>AJCC-TNM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spacing w:val="11"/>
          <w:w w:val="101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分期和上海复旦版改良分期</w:t>
      </w:r>
    </w:p>
    <w:p>
      <w:pPr>
        <w:spacing w:line="75" w:lineRule="exact"/>
        <w:rPr/>
      </w:pPr>
      <w:r/>
    </w:p>
    <w:tbl>
      <w:tblPr>
        <w:tblStyle w:val="TableNormal"/>
        <w:tblW w:w="9852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59"/>
        <w:gridCol w:w="8393"/>
      </w:tblGrid>
      <w:tr>
        <w:trPr>
          <w:trHeight w:val="312" w:hRule="atLeast"/>
        </w:trPr>
        <w:tc>
          <w:tcPr>
            <w:tcW w:w="145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1"/>
              <w:spacing w:before="86" w:line="172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"/>
              </w:rPr>
              <w:t>项目</w:t>
            </w:r>
          </w:p>
        </w:tc>
        <w:tc>
          <w:tcPr>
            <w:tcW w:w="839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158"/>
              <w:spacing w:before="83" w:line="179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"/>
              </w:rPr>
              <w:t>标准</w:t>
            </w:r>
          </w:p>
        </w:tc>
      </w:tr>
    </w:tbl>
    <w:p>
      <w:pPr>
        <w:ind w:left="17"/>
        <w:spacing w:before="29" w:line="20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原发肿瘤（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）                       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Tx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原发肿瘤无法评估</w:t>
      </w:r>
    </w:p>
    <w:p>
      <w:pPr>
        <w:ind w:left="2145"/>
        <w:spacing w:before="95" w:line="17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T0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无原发肿瘤证据</w:t>
      </w:r>
    </w:p>
    <w:p>
      <w:pPr>
        <w:ind w:left="2145"/>
        <w:spacing w:before="122" w:line="179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Tis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原位癌</w:t>
      </w:r>
    </w:p>
    <w:p>
      <w:pPr>
        <w:ind w:left="935"/>
        <w:spacing w:before="95" w:line="217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32">
        <w:r>
          <w:rPr>
            <w:rFonts w:ascii="Times New Roman" w:hAnsi="Times New Roman" w:eastAsia="Times New Roman" w:cs="Times New Roman"/>
            <w:sz w:val="16"/>
            <w:szCs w:val="16"/>
            <w:position w:val="-4"/>
          </w:rPr>
          <w:drawing>
            <wp:inline distT="0" distB="0" distL="0" distR="0">
              <wp:extent cx="235077" cy="133350"/>
              <wp:effectExtent l="0" t="0" r="0" b="0"/>
              <wp:docPr id="2" name="IM 2"/>
              <wp:cNvGraphicFramePr/>
              <a:graphic>
                <a:graphicData uri="http://schemas.openxmlformats.org/drawingml/2006/picture">
                  <pic:pic>
                    <pic:nvPicPr>
                      <pic:cNvPr id="2" name="IM 2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235077" cy="1333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 w:hAnsi="Times New Roman" w:eastAsia="Times New Roman" w:cs="Times New Roman"/>
            <w:sz w:val="16"/>
            <w:szCs w:val="16"/>
            <w:spacing w:val="1"/>
          </w:rPr>
          <w:t xml:space="preserve">                    </w:t>
        </w:r>
      </w:hyperlink>
      <w:r>
        <w:rPr>
          <w:rFonts w:ascii="Times New Roman" w:hAnsi="Times New Roman" w:eastAsia="Times New Roman" w:cs="Times New Roman"/>
          <w:sz w:val="16"/>
          <w:szCs w:val="16"/>
          <w:spacing w:val="2"/>
        </w:rPr>
        <w:t>T1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肿瘤最大径</w:t>
      </w:r>
      <w:r>
        <w:rPr>
          <w:rFonts w:ascii="Arial" w:hAnsi="Arial" w:eastAsia="Arial" w:cs="Arial"/>
          <w:sz w:val="16"/>
          <w:szCs w:val="16"/>
          <w:spacing w:val="2"/>
        </w:rPr>
        <w:t>≤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2 </w:t>
      </w:r>
      <w:r>
        <w:rPr>
          <w:rFonts w:ascii="Times New Roman" w:hAnsi="Times New Roman" w:eastAsia="Times New Roman" w:cs="Times New Roman"/>
          <w:sz w:val="16"/>
          <w:szCs w:val="16"/>
        </w:rPr>
        <w:t>cm</w:t>
      </w:r>
    </w:p>
    <w:p>
      <w:pPr>
        <w:ind w:left="1273"/>
        <w:spacing w:before="77" w:line="229" w:lineRule="auto"/>
        <w:rPr>
          <w:rFonts w:ascii="Times New Roman" w:hAnsi="Times New Roman" w:eastAsia="Times New Roman" w:cs="Times New Roman"/>
          <w:sz w:val="16"/>
          <w:szCs w:val="16"/>
        </w:rPr>
      </w:pPr>
      <w:hyperlink w:history="true" w:anchor="bookmark33">
        <w:r>
          <w:rPr>
            <w:rFonts w:ascii="Times New Roman" w:hAnsi="Times New Roman" w:eastAsia="Times New Roman" w:cs="Times New Roman"/>
            <w:sz w:val="16"/>
            <w:szCs w:val="16"/>
            <w:position w:val="-2"/>
          </w:rPr>
          <w:drawing>
            <wp:inline distT="0" distB="0" distL="0" distR="0">
              <wp:extent cx="155574" cy="66675"/>
              <wp:effectExtent l="0" t="0" r="0" b="0"/>
              <wp:docPr id="4" name="IM 4"/>
              <wp:cNvGraphicFramePr/>
              <a:graphic>
                <a:graphicData uri="http://schemas.openxmlformats.org/drawingml/2006/picture">
                  <pic:pic>
                    <pic:nvPicPr>
                      <pic:cNvPr id="4" name="IM 4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55574" cy="666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 w:hAnsi="Times New Roman" w:eastAsia="Times New Roman" w:cs="Times New Roman"/>
            <w:sz w:val="16"/>
            <w:szCs w:val="16"/>
            <w:spacing w:val="2"/>
          </w:rPr>
          <w:t xml:space="preserve">               </w:t>
        </w:r>
      </w:hyperlink>
      <w:r>
        <w:rPr>
          <w:rFonts w:ascii="Times New Roman" w:hAnsi="Times New Roman" w:eastAsia="Times New Roman" w:cs="Times New Roman"/>
          <w:sz w:val="16"/>
          <w:szCs w:val="16"/>
          <w:spacing w:val="1"/>
        </w:rPr>
        <w:t>T1a 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肿瘤最大径</w:t>
      </w:r>
      <w:r>
        <w:rPr>
          <w:rFonts w:ascii="Arial" w:hAnsi="Arial" w:eastAsia="Arial" w:cs="Arial"/>
          <w:sz w:val="16"/>
          <w:szCs w:val="16"/>
          <w:spacing w:val="1"/>
        </w:rPr>
        <w:t>≤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0.5 </w:t>
      </w:r>
      <w:r>
        <w:rPr>
          <w:rFonts w:ascii="Times New Roman" w:hAnsi="Times New Roman" w:eastAsia="Times New Roman" w:cs="Times New Roman"/>
          <w:sz w:val="16"/>
          <w:szCs w:val="16"/>
        </w:rPr>
        <w:t>cm</w:t>
      </w:r>
    </w:p>
    <w:p>
      <w:pPr>
        <w:ind w:left="2145"/>
        <w:spacing w:before="64" w:line="22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T1b 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肿瘤最大径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0.6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～</w:t>
      </w:r>
      <w:r>
        <w:rPr>
          <w:rFonts w:ascii="Microsoft YaHei" w:hAnsi="Microsoft YaHei" w:eastAsia="Microsoft YaHei" w:cs="Microsoft YaHei"/>
          <w:sz w:val="16"/>
          <w:szCs w:val="16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 cm</w:t>
      </w:r>
    </w:p>
    <w:p>
      <w:pPr>
        <w:ind w:left="2145"/>
        <w:spacing w:before="64" w:line="22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T1c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肿瘤最大径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1.1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～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 cm</w:t>
      </w:r>
    </w:p>
    <w:p>
      <w:pPr>
        <w:ind w:left="2145"/>
        <w:spacing w:before="64" w:line="22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T2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肿瘤最大径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2.1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～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4 cm</w:t>
      </w:r>
    </w:p>
    <w:p>
      <w:pPr>
        <w:ind w:left="2145"/>
        <w:spacing w:before="64" w:line="22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T3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肿瘤最大径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&gt;4 cm</w:t>
      </w:r>
    </w:p>
    <w:p>
      <w:pPr>
        <w:ind w:left="2145"/>
        <w:spacing w:before="92" w:line="17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9"/>
          <w:w w:val="98"/>
        </w:rPr>
        <w:t>T4 </w:t>
      </w:r>
      <w:r>
        <w:rPr>
          <w:rFonts w:ascii="Microsoft YaHei" w:hAnsi="Microsoft YaHei" w:eastAsia="Microsoft YaHei" w:cs="Microsoft YaHei"/>
          <w:sz w:val="16"/>
          <w:szCs w:val="16"/>
          <w:spacing w:val="-9"/>
          <w:w w:val="98"/>
        </w:rPr>
        <w:t>肿瘤不论大小，累及腹腔干、肠系膜上动脉，和（或）肝总动脉</w:t>
      </w:r>
    </w:p>
    <w:p>
      <w:pPr>
        <w:ind w:left="29"/>
        <w:spacing w:before="121" w:line="20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区域淋巴结（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N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）                 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Nx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区域淋巴结无法评估</w:t>
      </w:r>
    </w:p>
    <w:p>
      <w:pPr>
        <w:ind w:left="2138"/>
        <w:spacing w:before="100" w:line="17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N0 </w:t>
      </w:r>
      <w:r>
        <w:rPr>
          <w:rFonts w:ascii="Microsoft YaHei" w:hAnsi="Microsoft YaHei" w:eastAsia="Microsoft YaHei" w:cs="Microsoft YaHei"/>
          <w:sz w:val="16"/>
          <w:szCs w:val="16"/>
        </w:rPr>
        <w:t>无区域淋巴结转移</w:t>
      </w:r>
    </w:p>
    <w:p>
      <w:pPr>
        <w:ind w:left="2138"/>
        <w:spacing w:before="97" w:line="22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N1</w:t>
      </w:r>
      <w:r>
        <w:rPr>
          <w:rFonts w:ascii="Times New Roman" w:hAnsi="Times New Roman" w:eastAsia="Times New Roman" w:cs="Times New Roman"/>
          <w:sz w:val="16"/>
          <w:szCs w:val="16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1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～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3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枚区域淋巴结转移</w:t>
      </w:r>
    </w:p>
    <w:p>
      <w:pPr>
        <w:ind w:left="2138"/>
        <w:spacing w:before="65" w:line="22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N2 4</w:t>
      </w:r>
      <w:r>
        <w:rPr>
          <w:rFonts w:ascii="Microsoft YaHei" w:hAnsi="Microsoft YaHei" w:eastAsia="Microsoft YaHei" w:cs="Microsoft YaHei"/>
          <w:sz w:val="16"/>
          <w:szCs w:val="16"/>
        </w:rPr>
        <w:t>枚及以上区域淋巴结转移</w:t>
      </w:r>
    </w:p>
    <w:p>
      <w:pPr>
        <w:ind w:left="17"/>
        <w:spacing w:before="88" w:line="20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远处转移（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M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）                      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M0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无远处转移</w:t>
      </w:r>
    </w:p>
    <w:p>
      <w:pPr>
        <w:ind w:left="2143"/>
        <w:spacing w:before="100" w:line="17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M1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有远处转移</w:t>
      </w:r>
    </w:p>
    <w:p>
      <w:pPr>
        <w:spacing w:line="90" w:lineRule="exact"/>
        <w:rPr/>
      </w:pPr>
      <w:r/>
    </w:p>
    <w:tbl>
      <w:tblPr>
        <w:tblStyle w:val="TableNormal"/>
        <w:tblW w:w="9852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23"/>
        <w:gridCol w:w="3607"/>
        <w:gridCol w:w="66"/>
        <w:gridCol w:w="1533"/>
        <w:gridCol w:w="3623"/>
      </w:tblGrid>
      <w:tr>
        <w:trPr>
          <w:trHeight w:val="267" w:hRule="atLeast"/>
        </w:trPr>
        <w:tc>
          <w:tcPr>
            <w:tcW w:w="1023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7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41"/>
              <w:spacing w:before="7" w:line="21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1"/>
              </w:rPr>
              <w:t>第</w:t>
            </w:r>
            <w:r>
              <w:rPr>
                <w:spacing w:val="-1"/>
              </w:rPr>
              <w:t>8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版</w:t>
            </w:r>
            <w:r>
              <w:rPr>
                <w:spacing w:val="-1"/>
              </w:rPr>
              <w:t>AJCC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分期</w:t>
            </w:r>
          </w:p>
        </w:tc>
        <w:tc>
          <w:tcPr>
            <w:tcW w:w="66" w:type="dxa"/>
            <w:vAlign w:val="top"/>
            <w:tcBorders>
              <w:left w:val="single" w:color="000000" w:sz="2" w:space="0"/>
              <w:right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33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23" w:type="dxa"/>
            <w:vAlign w:val="top"/>
            <w:tcBorders>
              <w:top w:val="single" w:color="000000" w:sz="2" w:space="0"/>
            </w:tcBorders>
          </w:tcPr>
          <w:p>
            <w:pPr>
              <w:ind w:left="326"/>
              <w:spacing w:before="34" w:line="179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"/>
              </w:rPr>
              <w:t>上海复旦版改良分期</w:t>
            </w:r>
          </w:p>
        </w:tc>
      </w:tr>
      <w:tr>
        <w:trPr>
          <w:trHeight w:val="307" w:hRule="atLeast"/>
        </w:trPr>
        <w:tc>
          <w:tcPr>
            <w:tcW w:w="1023" w:type="dxa"/>
            <w:vAlign w:val="top"/>
          </w:tcPr>
          <w:p>
            <w:pPr>
              <w:pStyle w:val="TableText"/>
              <w:ind w:left="14"/>
              <w:spacing w:before="34" w:line="209" w:lineRule="exact"/>
              <w:rPr/>
            </w:pPr>
            <w:r>
              <w:rPr>
                <w:position w:val="1"/>
              </w:rPr>
              <w:t>0</w:t>
            </w:r>
          </w:p>
        </w:tc>
        <w:tc>
          <w:tcPr>
            <w:tcW w:w="360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051"/>
              <w:spacing w:before="82" w:line="192" w:lineRule="auto"/>
              <w:rPr/>
            </w:pPr>
            <w:r>
              <w:rPr>
                <w:spacing w:val="-1"/>
              </w:rPr>
              <w:t>TisN0M0</w:t>
            </w:r>
          </w:p>
        </w:tc>
        <w:tc>
          <w:tcPr>
            <w:tcW w:w="66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3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034"/>
              <w:spacing w:before="34" w:line="209" w:lineRule="exact"/>
              <w:rPr/>
            </w:pPr>
            <w:r>
              <w:rPr>
                <w:position w:val="1"/>
              </w:rPr>
              <w:t>0</w:t>
            </w:r>
          </w:p>
        </w:tc>
        <w:tc>
          <w:tcPr>
            <w:tcW w:w="3623" w:type="dxa"/>
            <w:vAlign w:val="top"/>
          </w:tcPr>
          <w:p>
            <w:pPr>
              <w:pStyle w:val="TableText"/>
              <w:ind w:left="1805"/>
              <w:spacing w:before="82" w:line="192" w:lineRule="auto"/>
              <w:rPr/>
            </w:pPr>
            <w:r>
              <w:rPr>
                <w:spacing w:val="-1"/>
              </w:rPr>
              <w:t>TisN0M0</w:t>
            </w:r>
          </w:p>
        </w:tc>
      </w:tr>
      <w:tr>
        <w:trPr>
          <w:trHeight w:val="338" w:hRule="atLeast"/>
        </w:trPr>
        <w:tc>
          <w:tcPr>
            <w:tcW w:w="1023" w:type="dxa"/>
            <w:vAlign w:val="top"/>
          </w:tcPr>
          <w:p>
            <w:pPr>
              <w:pStyle w:val="TableText"/>
              <w:ind w:left="64"/>
              <w:spacing w:before="102" w:line="197" w:lineRule="auto"/>
              <w:rPr/>
            </w:pPr>
            <w:r>
              <w:rPr>
                <w:rFonts w:ascii="Microsoft YaHei" w:hAnsi="Microsoft YaHei" w:eastAsia="Microsoft YaHei" w:cs="Microsoft YaHei"/>
                <w:spacing w:val="-29"/>
              </w:rPr>
              <w:t>Ⅰ</w:t>
            </w:r>
            <w:r>
              <w:rPr>
                <w:spacing w:val="-29"/>
              </w:rPr>
              <w:t>A</w:t>
            </w:r>
          </w:p>
        </w:tc>
        <w:tc>
          <w:tcPr>
            <w:tcW w:w="360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065"/>
              <w:spacing w:before="131" w:line="188" w:lineRule="auto"/>
              <w:rPr/>
            </w:pPr>
            <w:r>
              <w:rPr>
                <w:spacing w:val="-1"/>
              </w:rPr>
              <w:t>T1N0M0</w:t>
            </w:r>
          </w:p>
        </w:tc>
        <w:tc>
          <w:tcPr>
            <w:tcW w:w="66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3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987"/>
              <w:spacing w:before="102" w:line="197" w:lineRule="auto"/>
              <w:rPr/>
            </w:pPr>
            <w:r>
              <w:rPr>
                <w:rFonts w:ascii="Microsoft YaHei" w:hAnsi="Microsoft YaHei" w:eastAsia="Microsoft YaHei" w:cs="Microsoft YaHei"/>
                <w:spacing w:val="-29"/>
              </w:rPr>
              <w:t>Ⅰ</w:t>
            </w:r>
            <w:r>
              <w:rPr>
                <w:spacing w:val="-29"/>
              </w:rPr>
              <w:t>A</w:t>
            </w:r>
          </w:p>
        </w:tc>
        <w:tc>
          <w:tcPr>
            <w:tcW w:w="3623" w:type="dxa"/>
            <w:vAlign w:val="top"/>
          </w:tcPr>
          <w:p>
            <w:pPr>
              <w:pStyle w:val="TableText"/>
              <w:ind w:left="1818"/>
              <w:spacing w:before="131" w:line="188" w:lineRule="auto"/>
              <w:rPr/>
            </w:pPr>
            <w:r>
              <w:rPr>
                <w:spacing w:val="-1"/>
              </w:rPr>
              <w:t>T1N0M0</w:t>
            </w:r>
          </w:p>
        </w:tc>
      </w:tr>
      <w:tr>
        <w:trPr>
          <w:trHeight w:val="333" w:hRule="atLeast"/>
        </w:trPr>
        <w:tc>
          <w:tcPr>
            <w:tcW w:w="1023" w:type="dxa"/>
            <w:vAlign w:val="top"/>
          </w:tcPr>
          <w:p>
            <w:pPr>
              <w:pStyle w:val="TableText"/>
              <w:ind w:left="64"/>
              <w:spacing w:before="90" w:line="203" w:lineRule="auto"/>
              <w:rPr/>
            </w:pPr>
            <w:r>
              <w:rPr>
                <w:rFonts w:ascii="Microsoft YaHei" w:hAnsi="Microsoft YaHei" w:eastAsia="Microsoft YaHei" w:cs="Microsoft YaHei"/>
                <w:spacing w:val="-29"/>
              </w:rPr>
              <w:t>Ⅰ</w:t>
            </w:r>
            <w:r>
              <w:rPr>
                <w:spacing w:val="-29"/>
              </w:rPr>
              <w:t>B</w:t>
            </w:r>
          </w:p>
        </w:tc>
        <w:tc>
          <w:tcPr>
            <w:tcW w:w="360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065"/>
              <w:spacing w:before="119" w:line="188" w:lineRule="auto"/>
              <w:rPr/>
            </w:pPr>
            <w:r>
              <w:rPr>
                <w:spacing w:val="-1"/>
              </w:rPr>
              <w:t>T2N0M0</w:t>
            </w:r>
          </w:p>
        </w:tc>
        <w:tc>
          <w:tcPr>
            <w:tcW w:w="66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3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992"/>
              <w:spacing w:before="90" w:line="203" w:lineRule="auto"/>
              <w:rPr/>
            </w:pPr>
            <w:r>
              <w:rPr>
                <w:rFonts w:ascii="Microsoft YaHei" w:hAnsi="Microsoft YaHei" w:eastAsia="Microsoft YaHei" w:cs="Microsoft YaHei"/>
                <w:spacing w:val="-29"/>
              </w:rPr>
              <w:t>Ⅰ</w:t>
            </w:r>
            <w:r>
              <w:rPr>
                <w:spacing w:val="-29"/>
              </w:rPr>
              <w:t>B</w:t>
            </w:r>
          </w:p>
        </w:tc>
        <w:tc>
          <w:tcPr>
            <w:tcW w:w="3623" w:type="dxa"/>
            <w:vAlign w:val="top"/>
          </w:tcPr>
          <w:p>
            <w:pPr>
              <w:pStyle w:val="TableText"/>
              <w:ind w:left="1480"/>
              <w:spacing w:before="118" w:line="159" w:lineRule="auto"/>
              <w:rPr/>
            </w:pPr>
            <w:r>
              <w:rPr>
                <w:spacing w:val="-7"/>
              </w:rPr>
              <w:t>T2N0M0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，</w:t>
            </w:r>
            <w:r>
              <w:rPr>
                <w:spacing w:val="-7"/>
              </w:rPr>
              <w:t>T1N1M0</w:t>
            </w:r>
          </w:p>
        </w:tc>
      </w:tr>
      <w:tr>
        <w:trPr>
          <w:trHeight w:val="324" w:hRule="atLeast"/>
        </w:trPr>
        <w:tc>
          <w:tcPr>
            <w:tcW w:w="1023" w:type="dxa"/>
            <w:vAlign w:val="top"/>
          </w:tcPr>
          <w:p>
            <w:pPr>
              <w:pStyle w:val="TableText"/>
              <w:ind w:left="12"/>
              <w:spacing w:before="111" w:line="189" w:lineRule="auto"/>
              <w:rPr/>
            </w:pPr>
            <w:r>
              <w:rPr>
                <w:spacing w:val="-1"/>
              </w:rPr>
              <w:t>IIA</w:t>
            </w:r>
          </w:p>
        </w:tc>
        <w:tc>
          <w:tcPr>
            <w:tcW w:w="360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2065"/>
              <w:spacing w:before="112" w:line="188" w:lineRule="auto"/>
              <w:rPr/>
            </w:pPr>
            <w:r>
              <w:rPr>
                <w:spacing w:val="-1"/>
              </w:rPr>
              <w:t>T3N0M0</w:t>
            </w:r>
          </w:p>
        </w:tc>
        <w:tc>
          <w:tcPr>
            <w:tcW w:w="66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3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969"/>
              <w:spacing w:before="98" w:line="175" w:lineRule="auto"/>
              <w:rPr/>
            </w:pPr>
            <w:r>
              <w:rPr>
                <w:rFonts w:ascii="Microsoft YaHei" w:hAnsi="Microsoft YaHei" w:eastAsia="Microsoft YaHei" w:cs="Microsoft YaHei"/>
                <w:spacing w:val="-20"/>
              </w:rPr>
              <w:t>Ⅱ</w:t>
            </w:r>
            <w:r>
              <w:rPr>
                <w:spacing w:val="-20"/>
              </w:rPr>
              <w:t>A</w:t>
            </w:r>
          </w:p>
        </w:tc>
        <w:tc>
          <w:tcPr>
            <w:tcW w:w="3623" w:type="dxa"/>
            <w:vAlign w:val="top"/>
          </w:tcPr>
          <w:p>
            <w:pPr>
              <w:pStyle w:val="TableText"/>
              <w:ind w:left="1143"/>
              <w:spacing w:before="111" w:line="159" w:lineRule="auto"/>
              <w:rPr/>
            </w:pPr>
            <w:r>
              <w:rPr>
                <w:spacing w:val="-9"/>
              </w:rPr>
              <w:t>T3N0M0</w:t>
            </w:r>
            <w:r>
              <w:rPr>
                <w:rFonts w:ascii="Microsoft YaHei" w:hAnsi="Microsoft YaHei" w:eastAsia="Microsoft YaHei" w:cs="Microsoft YaHei"/>
                <w:spacing w:val="-9"/>
              </w:rPr>
              <w:t>，</w:t>
            </w:r>
            <w:r>
              <w:rPr>
                <w:spacing w:val="-9"/>
              </w:rPr>
              <w:t>T2N1M0</w:t>
            </w:r>
            <w:r>
              <w:rPr>
                <w:rFonts w:ascii="Microsoft YaHei" w:hAnsi="Microsoft YaHei" w:eastAsia="Microsoft YaHei" w:cs="Microsoft YaHei"/>
                <w:spacing w:val="-9"/>
              </w:rPr>
              <w:t>，</w:t>
            </w:r>
            <w:r>
              <w:rPr>
                <w:spacing w:val="-9"/>
              </w:rPr>
              <w:t>T1N2M0</w:t>
            </w:r>
          </w:p>
        </w:tc>
      </w:tr>
      <w:tr>
        <w:trPr>
          <w:trHeight w:val="325" w:hRule="atLeast"/>
        </w:trPr>
        <w:tc>
          <w:tcPr>
            <w:tcW w:w="1023" w:type="dxa"/>
            <w:vAlign w:val="top"/>
          </w:tcPr>
          <w:p>
            <w:pPr>
              <w:pStyle w:val="TableText"/>
              <w:ind w:left="46"/>
              <w:spacing w:before="100" w:line="175" w:lineRule="auto"/>
              <w:rPr/>
            </w:pPr>
            <w:r>
              <w:rPr>
                <w:rFonts w:ascii="Microsoft YaHei" w:hAnsi="Microsoft YaHei" w:eastAsia="Microsoft YaHei" w:cs="Microsoft YaHei"/>
                <w:spacing w:val="-20"/>
              </w:rPr>
              <w:t>Ⅱ</w:t>
            </w:r>
            <w:r>
              <w:rPr>
                <w:spacing w:val="-20"/>
              </w:rPr>
              <w:t>B</w:t>
            </w:r>
          </w:p>
        </w:tc>
        <w:tc>
          <w:tcPr>
            <w:tcW w:w="360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945"/>
              <w:spacing w:before="114" w:line="160" w:lineRule="auto"/>
              <w:rPr/>
            </w:pPr>
            <w:r>
              <w:rPr>
                <w:spacing w:val="-1"/>
              </w:rPr>
              <w:t>T1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～</w:t>
            </w:r>
            <w:r>
              <w:rPr>
                <w:spacing w:val="-1"/>
              </w:rPr>
              <w:t>3N1M0</w:t>
            </w:r>
          </w:p>
        </w:tc>
        <w:tc>
          <w:tcPr>
            <w:tcW w:w="66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3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973"/>
              <w:spacing w:before="100" w:line="175" w:lineRule="auto"/>
              <w:rPr/>
            </w:pPr>
            <w:r>
              <w:rPr>
                <w:rFonts w:ascii="Microsoft YaHei" w:hAnsi="Microsoft YaHei" w:eastAsia="Microsoft YaHei" w:cs="Microsoft YaHei"/>
                <w:spacing w:val="-20"/>
              </w:rPr>
              <w:t>Ⅱ</w:t>
            </w:r>
            <w:r>
              <w:rPr>
                <w:spacing w:val="-20"/>
              </w:rPr>
              <w:t>B</w:t>
            </w:r>
          </w:p>
        </w:tc>
        <w:tc>
          <w:tcPr>
            <w:tcW w:w="3623" w:type="dxa"/>
            <w:vAlign w:val="top"/>
          </w:tcPr>
          <w:p>
            <w:pPr>
              <w:pStyle w:val="TableText"/>
              <w:ind w:left="1480"/>
              <w:spacing w:before="113" w:line="159" w:lineRule="auto"/>
              <w:rPr/>
            </w:pPr>
            <w:r>
              <w:rPr>
                <w:spacing w:val="-7"/>
              </w:rPr>
              <w:t>T3N1M0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，</w:t>
            </w:r>
            <w:r>
              <w:rPr>
                <w:spacing w:val="-7"/>
              </w:rPr>
              <w:t>T2N2M0</w:t>
            </w:r>
          </w:p>
        </w:tc>
      </w:tr>
      <w:tr>
        <w:trPr>
          <w:trHeight w:val="342" w:hRule="atLeast"/>
        </w:trPr>
        <w:tc>
          <w:tcPr>
            <w:tcW w:w="1023" w:type="dxa"/>
            <w:vAlign w:val="top"/>
          </w:tcPr>
          <w:p>
            <w:pPr>
              <w:ind w:left="33"/>
              <w:spacing w:before="103" w:line="173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</w:rPr>
              <w:t>Ⅲ</w:t>
            </w:r>
          </w:p>
        </w:tc>
        <w:tc>
          <w:tcPr>
            <w:tcW w:w="3607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645"/>
              <w:spacing w:before="114" w:line="207" w:lineRule="auto"/>
              <w:rPr/>
            </w:pPr>
            <w:r>
              <w:rPr/>
              <w:t>T</w:t>
            </w:r>
            <w:r>
              <w:rPr>
                <w:sz w:val="11"/>
                <w:szCs w:val="11"/>
                <w:position w:val="-2"/>
              </w:rPr>
              <w:t>any</w:t>
            </w:r>
            <w:r>
              <w:rPr/>
              <w:t>N2M0, T4N</w:t>
            </w:r>
            <w:r>
              <w:rPr>
                <w:sz w:val="11"/>
                <w:szCs w:val="11"/>
                <w:position w:val="-2"/>
              </w:rPr>
              <w:t>any</w:t>
            </w:r>
            <w:r>
              <w:rPr/>
              <w:t>M0</w:t>
            </w:r>
          </w:p>
        </w:tc>
        <w:tc>
          <w:tcPr>
            <w:tcW w:w="66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33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956"/>
              <w:spacing w:before="103" w:line="173" w:lineRule="auto"/>
              <w:rPr/>
            </w:pPr>
            <w:r>
              <w:rPr>
                <w:rFonts w:ascii="Microsoft YaHei" w:hAnsi="Microsoft YaHei" w:eastAsia="Microsoft YaHei" w:cs="Microsoft YaHei"/>
                <w:spacing w:val="-13"/>
              </w:rPr>
              <w:t>Ⅲ</w:t>
            </w:r>
            <w:r>
              <w:rPr>
                <w:spacing w:val="-13"/>
              </w:rPr>
              <w:t>A</w:t>
            </w:r>
          </w:p>
        </w:tc>
        <w:tc>
          <w:tcPr>
            <w:tcW w:w="3623" w:type="dxa"/>
            <w:vAlign w:val="top"/>
          </w:tcPr>
          <w:p>
            <w:pPr>
              <w:pStyle w:val="TableText"/>
              <w:ind w:left="1818"/>
              <w:spacing w:before="115" w:line="188" w:lineRule="auto"/>
              <w:rPr/>
            </w:pPr>
            <w:r>
              <w:rPr>
                <w:spacing w:val="-1"/>
              </w:rPr>
              <w:t>T3N2M0</w:t>
            </w:r>
          </w:p>
        </w:tc>
      </w:tr>
      <w:tr>
        <w:trPr>
          <w:trHeight w:val="677" w:hRule="atLeast"/>
        </w:trPr>
        <w:tc>
          <w:tcPr>
            <w:tcW w:w="1023" w:type="dxa"/>
            <w:vAlign w:val="top"/>
            <w:tcBorders>
              <w:bottom w:val="single" w:color="000000" w:sz="6" w:space="0"/>
            </w:tcBorders>
          </w:tcPr>
          <w:p>
            <w:pPr>
              <w:ind w:left="24"/>
              <w:spacing w:before="83" w:line="178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</w:rPr>
              <w:t>Ⅳ</w:t>
            </w:r>
          </w:p>
        </w:tc>
        <w:tc>
          <w:tcPr>
            <w:tcW w:w="3607" w:type="dxa"/>
            <w:vAlign w:val="top"/>
            <w:tcBorders>
              <w:righ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1983"/>
              <w:spacing w:before="98" w:line="207" w:lineRule="auto"/>
              <w:rPr/>
            </w:pPr>
            <w:r>
              <w:rPr>
                <w:position w:val="1"/>
              </w:rPr>
              <w:t>T</w:t>
            </w:r>
            <w:r>
              <w:rPr>
                <w:sz w:val="11"/>
                <w:szCs w:val="11"/>
                <w:position w:val="-1"/>
              </w:rPr>
              <w:t>any</w:t>
            </w:r>
            <w:r>
              <w:rPr>
                <w:position w:val="1"/>
              </w:rPr>
              <w:t>N</w:t>
            </w:r>
            <w:r>
              <w:rPr>
                <w:sz w:val="11"/>
                <w:szCs w:val="11"/>
                <w:position w:val="-1"/>
              </w:rPr>
              <w:t>any</w:t>
            </w:r>
            <w:r>
              <w:rPr>
                <w:position w:val="1"/>
              </w:rPr>
              <w:t>M1</w:t>
            </w:r>
          </w:p>
        </w:tc>
        <w:tc>
          <w:tcPr>
            <w:tcW w:w="66" w:type="dxa"/>
            <w:vAlign w:val="top"/>
            <w:tcBorders>
              <w:left w:val="single" w:color="000000" w:sz="2" w:space="0"/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>
              <w:pict>
                <v:rect id="_x0000_s2" style="position:absolute;margin-left:-3.595pt;margin-top:33.795pt;mso-position-vertical-relative:top-margin-area;mso-position-horizontal-relative:right-margin-area;width:4.15pt;height:0.9pt;z-index:251658240;" fillcolor="#000000" filled="true" stroked="false"/>
              </w:pict>
            </w:r>
            <w:r/>
          </w:p>
        </w:tc>
        <w:tc>
          <w:tcPr>
            <w:tcW w:w="1533" w:type="dxa"/>
            <w:vAlign w:val="top"/>
            <w:tcBorders>
              <w:left w:val="single" w:color="000000" w:sz="2" w:space="0"/>
              <w:bottom w:val="single" w:color="000000" w:sz="6" w:space="0"/>
            </w:tcBorders>
          </w:tcPr>
          <w:p>
            <w:pPr>
              <w:pStyle w:val="TableText"/>
              <w:ind w:left="960"/>
              <w:spacing w:before="87" w:line="173" w:lineRule="auto"/>
              <w:rPr/>
            </w:pPr>
            <w:r>
              <w:rPr>
                <w:rFonts w:ascii="Microsoft YaHei" w:hAnsi="Microsoft YaHei" w:eastAsia="Microsoft YaHei" w:cs="Microsoft YaHei"/>
                <w:spacing w:val="-13"/>
              </w:rPr>
              <w:t>Ⅲ</w:t>
            </w:r>
            <w:r>
              <w:rPr>
                <w:spacing w:val="-13"/>
              </w:rPr>
              <w:t>B</w:t>
            </w:r>
          </w:p>
          <w:p>
            <w:pPr>
              <w:ind w:left="1005"/>
              <w:spacing w:before="124" w:line="178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</w:rPr>
              <w:t>Ⅳ</w:t>
            </w:r>
          </w:p>
        </w:tc>
        <w:tc>
          <w:tcPr>
            <w:tcW w:w="362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777"/>
              <w:spacing w:before="98" w:line="207" w:lineRule="auto"/>
              <w:rPr/>
            </w:pPr>
            <w:r>
              <w:rPr>
                <w:spacing w:val="-1"/>
              </w:rPr>
              <w:t>T4N</w:t>
            </w:r>
            <w:r>
              <w:rPr>
                <w:sz w:val="11"/>
                <w:szCs w:val="11"/>
                <w:spacing w:val="-1"/>
                <w:position w:val="-2"/>
              </w:rPr>
              <w:t>any</w:t>
            </w:r>
            <w:r>
              <w:rPr>
                <w:spacing w:val="-1"/>
              </w:rPr>
              <w:t>M0</w:t>
            </w:r>
          </w:p>
          <w:p>
            <w:pPr>
              <w:pStyle w:val="TableText"/>
              <w:ind w:left="1736"/>
              <w:spacing w:before="158" w:line="207" w:lineRule="auto"/>
              <w:rPr/>
            </w:pPr>
            <w:r>
              <w:rPr>
                <w:position w:val="1"/>
              </w:rPr>
              <w:t>T</w:t>
            </w:r>
            <w:r>
              <w:rPr>
                <w:sz w:val="11"/>
                <w:szCs w:val="11"/>
                <w:position w:val="-1"/>
              </w:rPr>
              <w:t>any</w:t>
            </w:r>
            <w:r>
              <w:rPr>
                <w:position w:val="1"/>
              </w:rPr>
              <w:t>N</w:t>
            </w:r>
            <w:r>
              <w:rPr>
                <w:sz w:val="11"/>
                <w:szCs w:val="11"/>
                <w:position w:val="-1"/>
              </w:rPr>
              <w:t>any</w:t>
            </w:r>
            <w:r>
              <w:rPr>
                <w:position w:val="1"/>
              </w:rPr>
              <w:t>M1</w:t>
            </w:r>
          </w:p>
        </w:tc>
      </w:tr>
    </w:tbl>
    <w:p>
      <w:pPr>
        <w:spacing w:line="168" w:lineRule="exact"/>
        <w:rPr>
          <w:rFonts w:ascii="Arial"/>
          <w:sz w:val="14"/>
        </w:rPr>
      </w:pPr>
      <w:r/>
    </w:p>
    <w:p>
      <w:pPr>
        <w:spacing w:line="168" w:lineRule="exact"/>
        <w:sectPr>
          <w:type w:val="continuous"/>
          <w:pgSz w:w="12246" w:h="17178"/>
          <w:pgMar w:top="1297" w:right="1100" w:bottom="0" w:left="1190" w:header="928" w:footer="0" w:gutter="0"/>
          <w:cols w:equalWidth="0" w:num="1">
            <w:col w:w="9955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ind w:left="16" w:right="258" w:firstLine="6"/>
        <w:spacing w:before="51" w:line="201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3.1.2   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可切除性的解剖学评估</w:t>
      </w:r>
      <w:r>
        <w:rPr>
          <w:rFonts w:ascii="Microsoft YaHei" w:hAnsi="Microsoft YaHei" w:eastAsia="Microsoft YaHei" w:cs="Microsoft YaHei"/>
          <w:sz w:val="21"/>
          <w:szCs w:val="21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根治性（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R0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）切除是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目前治疗胰腺癌最有效的方法</w:t>
      </w:r>
      <w:hyperlink w:history="true" w:anchor="bookmark35">
        <w:r>
          <w:rPr>
            <w:rFonts w:ascii="Times New Roman" w:hAnsi="Times New Roman" w:eastAsia="Times New Roman" w:cs="Times New Roman"/>
            <w:sz w:val="10"/>
            <w:szCs w:val="10"/>
            <w:spacing w:val="-4"/>
            <w:position w:val="9"/>
          </w:rPr>
          <w:t>[45]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。胰腺癌在治疗前应</w:t>
      </w:r>
      <w:r>
        <w:rPr>
          <w:rFonts w:ascii="Microsoft YaHei" w:hAnsi="Microsoft YaHei" w:eastAsia="Microsoft YaHei" w:cs="Microsoft YaHei"/>
          <w:sz w:val="21"/>
          <w:szCs w:val="21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进行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MDT to HIM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讨论，根据肿瘤与其周围重要血管</w:t>
      </w:r>
      <w:r>
        <w:rPr>
          <w:rFonts w:ascii="Microsoft YaHei" w:hAnsi="Microsoft YaHei" w:eastAsia="Microsoft YaHei" w:cs="Microsoft YaHei"/>
          <w:sz w:val="21"/>
          <w:szCs w:val="21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的关系及远处转移情况，整合评估肿瘤的解剖学可切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8"/>
          <w:w w:val="97"/>
        </w:rPr>
        <w:t>除性，将其分为可切除、交界可切除、局部进展期和合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并远处转移四类，此评估分类是胰腺癌治疗策略制订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1"/>
          <w:w w:val="97"/>
        </w:rPr>
        <w:t>的基石（</w:t>
      </w:r>
      <w:hyperlink w:history="true" w:anchor="bookmark36">
        <w:r>
          <w:rPr>
            <w:rFonts w:ascii="Microsoft YaHei" w:hAnsi="Microsoft YaHei" w:eastAsia="Microsoft YaHei" w:cs="Microsoft YaHei"/>
            <w:sz w:val="21"/>
            <w:szCs w:val="21"/>
            <w:spacing w:val="-11"/>
            <w:w w:val="97"/>
          </w:rPr>
          <w:t>表 </w:t>
        </w:r>
        <w:r>
          <w:rPr>
            <w:rFonts w:ascii="Times New Roman" w:hAnsi="Times New Roman" w:eastAsia="Times New Roman" w:cs="Times New Roman"/>
            <w:sz w:val="21"/>
            <w:szCs w:val="21"/>
            <w:spacing w:val="-11"/>
            <w:w w:val="97"/>
          </w:rPr>
          <w:t>2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11"/>
          <w:w w:val="97"/>
        </w:rPr>
        <w:t>）。对怀疑有远处转移且高质量的 </w:t>
      </w:r>
      <w:r>
        <w:rPr>
          <w:rFonts w:ascii="Times New Roman" w:hAnsi="Times New Roman" w:eastAsia="Times New Roman" w:cs="Times New Roman"/>
          <w:sz w:val="21"/>
          <w:szCs w:val="21"/>
          <w:spacing w:val="-11"/>
          <w:w w:val="97"/>
        </w:rPr>
        <w:t>CT/MRI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2"/>
        </w:rPr>
        <w:t>仍无法确诊者，应行 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>PET </w:t>
      </w:r>
      <w:r>
        <w:rPr>
          <w:rFonts w:ascii="Microsoft YaHei" w:hAnsi="Microsoft YaHei" w:eastAsia="Microsoft YaHei" w:cs="Microsoft YaHei"/>
          <w:sz w:val="21"/>
          <w:szCs w:val="21"/>
          <w:spacing w:val="-12"/>
        </w:rPr>
        <w:t>检查，必要时行腹</w:t>
      </w:r>
      <w:r>
        <w:rPr>
          <w:rFonts w:ascii="Microsoft YaHei" w:hAnsi="Microsoft YaHei" w:eastAsia="Microsoft YaHei" w:cs="Microsoft YaHei"/>
          <w:sz w:val="21"/>
          <w:szCs w:val="21"/>
          <w:spacing w:val="-13"/>
        </w:rPr>
        <w:t>腔镜探查。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right="7" w:firstLine="5"/>
        <w:spacing w:before="83" w:line="22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3.1.3    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>体能状态评估   胰腺癌患者体能状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态评估尤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0"/>
          <w:w w:val="94"/>
        </w:rPr>
        <w:t>为重要，可作为制订治疗策略的重要参考，并可能影响预</w:t>
      </w:r>
      <w:r>
        <w:rPr>
          <w:rFonts w:ascii="Microsoft YaHei" w:hAnsi="Microsoft YaHei" w:eastAsia="Microsoft YaHei" w:cs="Microsoft YaHei"/>
          <w:sz w:val="21"/>
          <w:szCs w:val="21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position w:val="-1"/>
        </w:rPr>
        <w:t>后</w:t>
      </w:r>
      <w:hyperlink w:history="true" w:anchor="bookmark37">
        <w:r>
          <w:rPr>
            <w:rFonts w:ascii="Times New Roman" w:hAnsi="Times New Roman" w:eastAsia="Times New Roman" w:cs="Times New Roman"/>
            <w:sz w:val="10"/>
            <w:szCs w:val="10"/>
            <w:position w:val="8"/>
          </w:rPr>
          <w:t>[</w:t>
        </w:r>
      </w:hyperlink>
      <w:hyperlink w:history="true" w:anchor="bookmark37">
        <w:r>
          <w:rPr>
            <w:rFonts w:ascii="Times New Roman" w:hAnsi="Times New Roman" w:eastAsia="Times New Roman" w:cs="Times New Roman"/>
            <w:sz w:val="10"/>
            <w:szCs w:val="10"/>
            <w:position w:val="8"/>
          </w:rPr>
          <w:t>46</w:t>
        </w:r>
      </w:hyperlink>
      <w:r>
        <w:rPr>
          <w:rFonts w:ascii="Times New Roman" w:hAnsi="Times New Roman" w:eastAsia="Times New Roman" w:cs="Times New Roman"/>
          <w:sz w:val="10"/>
          <w:szCs w:val="10"/>
          <w:position w:val="8"/>
        </w:rPr>
        <w:t>-</w:t>
      </w:r>
      <w:hyperlink w:history="true" w:anchor="bookmark38">
        <w:r>
          <w:rPr>
            <w:rFonts w:ascii="Times New Roman" w:hAnsi="Times New Roman" w:eastAsia="Times New Roman" w:cs="Times New Roman"/>
            <w:sz w:val="10"/>
            <w:szCs w:val="10"/>
            <w:position w:val="8"/>
          </w:rPr>
          <w:t>47</w:t>
        </w:r>
      </w:hyperlink>
      <w:r>
        <w:rPr>
          <w:rFonts w:ascii="Times New Roman" w:hAnsi="Times New Roman" w:eastAsia="Times New Roman" w:cs="Times New Roman"/>
          <w:sz w:val="10"/>
          <w:szCs w:val="10"/>
          <w:position w:val="8"/>
        </w:rPr>
        <w:t>]</w:t>
      </w:r>
      <w:r>
        <w:rPr>
          <w:rFonts w:ascii="Microsoft YaHei" w:hAnsi="Microsoft YaHei" w:eastAsia="Microsoft YaHei" w:cs="Microsoft YaHei"/>
          <w:sz w:val="21"/>
          <w:szCs w:val="21"/>
          <w:spacing w:val="-10"/>
          <w:position w:val="-1"/>
        </w:rPr>
        <w:t>。体能状态评估一般用 </w:t>
      </w:r>
      <w:r>
        <w:rPr>
          <w:rFonts w:ascii="Times New Roman" w:hAnsi="Times New Roman" w:eastAsia="Times New Roman" w:cs="Times New Roman"/>
          <w:sz w:val="21"/>
          <w:szCs w:val="21"/>
          <w:spacing w:val="-10"/>
          <w:position w:val="-1"/>
        </w:rPr>
        <w:t>ECOG </w:t>
      </w:r>
      <w:r>
        <w:rPr>
          <w:rFonts w:ascii="Microsoft YaHei" w:hAnsi="Microsoft YaHei" w:eastAsia="Microsoft YaHei" w:cs="Microsoft YaHei"/>
          <w:sz w:val="21"/>
          <w:szCs w:val="21"/>
          <w:spacing w:val="-10"/>
          <w:position w:val="-1"/>
        </w:rPr>
        <w:t>评分或 </w:t>
      </w:r>
      <w:r>
        <w:rPr>
          <w:rFonts w:ascii="Times New Roman" w:hAnsi="Times New Roman" w:eastAsia="Times New Roman" w:cs="Times New Roman"/>
          <w:sz w:val="21"/>
          <w:szCs w:val="21"/>
          <w:spacing w:val="-10"/>
          <w:position w:val="-1"/>
        </w:rPr>
        <w:t>KPS </w:t>
      </w:r>
      <w:r>
        <w:rPr>
          <w:rFonts w:ascii="Microsoft YaHei" w:hAnsi="Microsoft YaHei" w:eastAsia="Microsoft YaHei" w:cs="Microsoft YaHei"/>
          <w:sz w:val="21"/>
          <w:szCs w:val="21"/>
          <w:spacing w:val="-10"/>
          <w:position w:val="-1"/>
        </w:rPr>
        <w:t>评分。</w:t>
      </w:r>
    </w:p>
    <w:p>
      <w:pPr>
        <w:ind w:firstLine="6"/>
        <w:spacing w:before="87" w:line="21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3.1.4    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>新辅助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/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>转化治疗后的可切除性评估   基于影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像学检查结果的传统评价标准即实体肿瘤反应评估标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9"/>
          <w:w w:val="98"/>
        </w:rPr>
        <w:t>准（</w:t>
      </w:r>
      <w:r>
        <w:rPr>
          <w:rFonts w:ascii="Times New Roman" w:hAnsi="Times New Roman" w:eastAsia="Times New Roman" w:cs="Times New Roman"/>
          <w:sz w:val="21"/>
          <w:szCs w:val="21"/>
          <w:spacing w:val="-9"/>
          <w:w w:val="98"/>
        </w:rPr>
        <w:t>RECIST</w:t>
      </w:r>
      <w:r>
        <w:rPr>
          <w:rFonts w:ascii="Microsoft YaHei" w:hAnsi="Microsoft YaHei" w:eastAsia="Microsoft YaHei" w:cs="Microsoft YaHei"/>
          <w:sz w:val="21"/>
          <w:szCs w:val="21"/>
          <w:spacing w:val="-32"/>
          <w:w w:val="64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spacing w:val="-9"/>
          <w:w w:val="98"/>
        </w:rPr>
        <w:t>具有直观、标准化及可操作性强等优势，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但难以体现肿瘤异质性、细胞活性、血供、免疫细胞</w:t>
      </w:r>
    </w:p>
    <w:p>
      <w:pPr>
        <w:spacing w:line="217" w:lineRule="auto"/>
        <w:sectPr>
          <w:type w:val="continuous"/>
          <w:pgSz w:w="12246" w:h="17178"/>
          <w:pgMar w:top="1297" w:right="1100" w:bottom="0" w:left="1190" w:header="928" w:footer="0" w:gutter="0"/>
          <w:cols w:equalWidth="0" w:num="2">
            <w:col w:w="5056" w:space="100"/>
            <w:col w:w="4800" w:space="0"/>
          </w:cols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spacing w:before="73"/>
        <w:rPr/>
      </w:pPr>
      <w:r/>
    </w:p>
    <w:p>
      <w:pPr>
        <w:sectPr>
          <w:headerReference w:type="default" r:id="rId8"/>
          <w:pgSz w:w="12246" w:h="17178"/>
          <w:pgMar w:top="1297" w:right="1134" w:bottom="0" w:left="1196" w:header="928" w:footer="0" w:gutter="0"/>
          <w:cols w:equalWidth="0" w:num="1">
            <w:col w:w="9915" w:space="0"/>
          </w:cols>
        </w:sectPr>
        <w:rPr/>
      </w:pPr>
    </w:p>
    <w:p>
      <w:pPr>
        <w:ind w:left="12" w:right="240" w:firstLine="1"/>
        <w:spacing w:before="91" w:line="218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浸润等生物学属性。由于胰腺癌新辅助治疗后肿瘤周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围组织也会产生炎性反应及纤维化，即使新辅助治疗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>有效，肿瘤大小及重要血管的受累范围亦无显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著变化，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bookmarkStart w:name="bookmark36" w:id="2"/>
      <w:bookmarkEnd w:id="2"/>
      <w:r>
        <w:rPr>
          <w:rFonts w:ascii="Microsoft YaHei" w:hAnsi="Microsoft YaHei" w:eastAsia="Microsoft YaHei" w:cs="Microsoft YaHei"/>
          <w:sz w:val="21"/>
          <w:szCs w:val="21"/>
          <w:spacing w:val="2"/>
        </w:rPr>
        <w:t>因此 </w:t>
      </w:r>
      <w:r>
        <w:rPr>
          <w:rFonts w:ascii="Times New Roman" w:hAnsi="Times New Roman" w:eastAsia="Times New Roman" w:cs="Times New Roman"/>
          <w:sz w:val="21"/>
          <w:szCs w:val="21"/>
        </w:rPr>
        <w:t>RECIST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常难对胰腺癌新辅助治疗的效果及肿</w:t>
      </w:r>
    </w:p>
    <w:p>
      <w:pPr>
        <w:ind w:left="18"/>
        <w:spacing w:before="115" w:line="221" w:lineRule="auto"/>
        <w:rPr>
          <w:rFonts w:ascii="SimHei" w:hAnsi="SimHei" w:eastAsia="SimHei" w:cs="SimHei"/>
          <w:sz w:val="18"/>
          <w:szCs w:val="18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1365694</wp:posOffset>
            </wp:positionH>
            <wp:positionV relativeFrom="paragraph">
              <wp:posOffset>25563</wp:posOffset>
            </wp:positionV>
            <wp:extent cx="66675" cy="66674"/>
            <wp:effectExtent l="0" t="0" r="0" b="0"/>
            <wp:wrapNone/>
            <wp:docPr id="6" name="IM 6">
              <a:hlinkClick xmlns:a="http://schemas.openxmlformats.org/drawingml/2006/main" r:id="rId10"/>
            </wp:docPr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8"/>
          <w:szCs w:val="18"/>
        </w:rPr>
        <w:t>表2</w:t>
      </w:r>
      <w:r>
        <w:rPr>
          <w:rFonts w:ascii="SimHei" w:hAnsi="SimHei" w:eastAsia="SimHei" w:cs="SimHei"/>
          <w:sz w:val="18"/>
          <w:szCs w:val="18"/>
        </w:rPr>
        <w:t xml:space="preserve">  </w:t>
      </w:r>
      <w:r>
        <w:rPr>
          <w:rFonts w:ascii="SimHei" w:hAnsi="SimHei" w:eastAsia="SimHei" w:cs="SimHei"/>
          <w:sz w:val="18"/>
          <w:szCs w:val="18"/>
        </w:rPr>
        <w:t>胰腺癌可切除性的解剖学评估</w:t>
      </w:r>
    </w:p>
    <w:p>
      <w:pPr>
        <w:spacing w:line="13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68"/>
        <w:spacing w:before="55" w:line="214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</w:rPr>
        <w:t>瘤可切除性行准确评估</w:t>
      </w:r>
      <w:hyperlink w:history="true" w:anchor="bookmark39">
        <w:r>
          <w:rPr>
            <w:rFonts w:ascii="Times New Roman" w:hAnsi="Times New Roman" w:eastAsia="Times New Roman" w:cs="Times New Roman"/>
            <w:sz w:val="10"/>
            <w:szCs w:val="10"/>
            <w:position w:val="9"/>
          </w:rPr>
          <w:t>[48] </w:t>
        </w:r>
      </w:hyperlink>
      <w:r>
        <w:rPr>
          <w:rFonts w:ascii="Microsoft YaHei" w:hAnsi="Microsoft YaHei" w:eastAsia="Microsoft YaHei" w:cs="Microsoft YaHei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sz w:val="21"/>
          <w:szCs w:val="21"/>
        </w:rPr>
        <w:t>CA19-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9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是新辅助治疗后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患者预后的独立预测因素，治疗后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CA19-9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水平下降</w:t>
      </w:r>
      <w:r>
        <w:rPr>
          <w:rFonts w:ascii="Microsoft YaHei" w:hAnsi="Microsoft YaHei" w:eastAsia="Microsoft YaHei" w:cs="Microsoft YaHei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&gt;50</w:t>
      </w:r>
      <w:r>
        <w:rPr>
          <w:rFonts w:ascii="Arial" w:hAnsi="Arial" w:eastAsia="Arial" w:cs="Arial"/>
          <w:sz w:val="21"/>
          <w:szCs w:val="21"/>
          <w:spacing w:val="-11"/>
        </w:rPr>
        <w:t>%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者预后良好，如能恢复至正常水平，则</w:t>
      </w:r>
      <w:r>
        <w:rPr>
          <w:rFonts w:ascii="Microsoft YaHei" w:hAnsi="Microsoft YaHei" w:eastAsia="Microsoft YaHei" w:cs="Microsoft YaHei"/>
          <w:sz w:val="21"/>
          <w:szCs w:val="21"/>
          <w:spacing w:val="-12"/>
        </w:rPr>
        <w:t>患者术后</w:t>
      </w:r>
    </w:p>
    <w:p>
      <w:pPr>
        <w:ind w:left="3"/>
        <w:spacing w:line="19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3"/>
          <w:position w:val="-2"/>
        </w:rPr>
        <w:t>生存获益更显著</w:t>
      </w:r>
      <w:hyperlink w:history="true" w:anchor="bookmark40">
        <w:r>
          <w:rPr>
            <w:rFonts w:ascii="Times New Roman" w:hAnsi="Times New Roman" w:eastAsia="Times New Roman" w:cs="Times New Roman"/>
            <w:sz w:val="10"/>
            <w:szCs w:val="10"/>
            <w:spacing w:val="-3"/>
            <w:position w:val="7"/>
          </w:rPr>
          <w:t>[49-50]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3"/>
          <w:position w:val="-2"/>
        </w:rPr>
        <w:t>。</w:t>
      </w:r>
    </w:p>
    <w:p>
      <w:pPr>
        <w:spacing w:line="198" w:lineRule="auto"/>
        <w:sectPr>
          <w:type w:val="continuous"/>
          <w:pgSz w:w="12246" w:h="17178"/>
          <w:pgMar w:top="1297" w:right="1134" w:bottom="0" w:left="1196" w:header="928" w:footer="0" w:gutter="0"/>
          <w:cols w:equalWidth="0" w:num="2">
            <w:col w:w="5052" w:space="100"/>
            <w:col w:w="4764" w:space="0"/>
          </w:cols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spacing w:line="62" w:lineRule="exact"/>
        <w:rPr/>
      </w:pPr>
      <w:r/>
    </w:p>
    <w:tbl>
      <w:tblPr>
        <w:tblStyle w:val="TableNormal"/>
        <w:tblW w:w="987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24"/>
        <w:gridCol w:w="4364"/>
        <w:gridCol w:w="4286"/>
      </w:tblGrid>
      <w:tr>
        <w:trPr>
          <w:trHeight w:val="218" w:hRule="atLeast"/>
        </w:trPr>
        <w:tc>
          <w:tcPr>
            <w:tcW w:w="122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4"/>
              <w:spacing w:before="36" w:line="172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"/>
                <w:position w:val="-1"/>
              </w:rPr>
              <w:t>可切除状态</w:t>
            </w:r>
          </w:p>
        </w:tc>
        <w:tc>
          <w:tcPr>
            <w:tcW w:w="436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171"/>
              <w:spacing w:before="36" w:line="172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2"/>
              </w:rPr>
              <w:t>动脉</w:t>
            </w:r>
          </w:p>
        </w:tc>
        <w:tc>
          <w:tcPr>
            <w:tcW w:w="428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984"/>
              <w:spacing w:before="36" w:line="172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"/>
                <w:position w:val="-1"/>
              </w:rPr>
              <w:t>静脉</w:t>
            </w:r>
          </w:p>
        </w:tc>
      </w:tr>
      <w:tr>
        <w:trPr>
          <w:trHeight w:val="453" w:hRule="atLeast"/>
        </w:trPr>
        <w:tc>
          <w:tcPr>
            <w:tcW w:w="1224" w:type="dxa"/>
            <w:vAlign w:val="top"/>
            <w:tcBorders>
              <w:top w:val="single" w:color="000000" w:sz="2" w:space="0"/>
            </w:tcBorders>
          </w:tcPr>
          <w:p>
            <w:pPr>
              <w:ind w:left="14"/>
              <w:spacing w:before="33" w:line="17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2"/>
              </w:rPr>
              <w:t>可切除</w:t>
            </w:r>
          </w:p>
        </w:tc>
        <w:tc>
          <w:tcPr>
            <w:tcW w:w="4364" w:type="dxa"/>
            <w:vAlign w:val="top"/>
            <w:tcBorders>
              <w:top w:val="single" w:color="000000" w:sz="2" w:space="0"/>
            </w:tcBorders>
          </w:tcPr>
          <w:p>
            <w:pPr>
              <w:ind w:left="263"/>
              <w:spacing w:before="32" w:line="178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3"/>
              </w:rPr>
              <w:t>肿瘤未触及腹腔干、肠系膜上动脉或肝总动脉</w:t>
            </w:r>
          </w:p>
          <w:p>
            <w:pPr>
              <w:ind w:left="247"/>
              <w:spacing w:before="119" w:line="87" w:lineRule="exact"/>
              <w:tabs>
                <w:tab w:val="left" w:pos="352"/>
              </w:tabs>
              <w:rPr>
                <w:rFonts w:ascii="Arial" w:hAnsi="Arial" w:eastAsia="Arial" w:cs="Arial"/>
                <w:sz w:val="21"/>
                <w:szCs w:val="21"/>
              </w:rPr>
            </w:pPr>
            <w:hyperlink w:history="true" w:anchor="bookmark41">
              <w:r>
                <w:rPr>
                  <w:rFonts w:ascii="Arial" w:hAnsi="Arial" w:eastAsia="Arial" w:cs="Arial"/>
                  <w:sz w:val="21"/>
                  <w:szCs w:val="21"/>
                  <w:position w:val="-5"/>
                </w:rPr>
                <w:tab/>
              </w:r>
            </w:hyperlink>
            <w:r>
              <w:rPr>
                <w:rFonts w:ascii="Arial" w:hAnsi="Arial" w:eastAsia="Arial" w:cs="Arial"/>
                <w:sz w:val="21"/>
                <w:szCs w:val="21"/>
                <w:spacing w:val="-23"/>
                <w:position w:val="-5"/>
              </w:rPr>
              <w:t xml:space="preserve"> </w:t>
            </w:r>
            <w:hyperlink w:history="true" w:anchor="bookmark40">
              <w:r>
                <w:rPr>
                  <w:rFonts w:ascii="Arial" w:hAnsi="Arial" w:eastAsia="Arial" w:cs="Arial"/>
                  <w:sz w:val="21"/>
                  <w:szCs w:val="21"/>
                  <w:position w:val="-5"/>
                </w:rPr>
                <w:t xml:space="preserve">  </w:t>
              </w:r>
            </w:hyperlink>
          </w:p>
        </w:tc>
        <w:tc>
          <w:tcPr>
            <w:tcW w:w="428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0" w:right="120"/>
              <w:spacing w:before="6" w:line="19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2"/>
              </w:rPr>
              <w:t>肿瘤未触及肠系膜上静脉和门静脉，或侵犯但未超过</w:t>
            </w:r>
            <w:r>
              <w:rPr>
                <w:spacing w:val="-2"/>
              </w:rPr>
              <w:t>180°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,且</w:t>
            </w:r>
            <w:r>
              <w:rPr>
                <w:rFonts w:ascii="Microsoft YaHei" w:hAnsi="Microsoft YaHei" w:eastAsia="Microsoft YaHei" w:cs="Microsoft YaHei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静脉轮廓规则</w:t>
            </w:r>
          </w:p>
        </w:tc>
      </w:tr>
      <w:tr>
        <w:trPr>
          <w:trHeight w:val="2340" w:hRule="atLeast"/>
        </w:trPr>
        <w:tc>
          <w:tcPr>
            <w:tcW w:w="1224" w:type="dxa"/>
            <w:vAlign w:val="top"/>
          </w:tcPr>
          <w:p>
            <w:pPr>
              <w:ind w:left="11"/>
              <w:spacing w:before="34" w:line="17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"/>
              </w:rPr>
              <w:t>交界可切除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261" w:right="24"/>
              <w:spacing w:before="34" w:line="20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7"/>
              </w:rPr>
              <w:t>胰头和胰颈部肿瘤：肿瘤触及肝总动脉，但未累及腹腔干或</w:t>
            </w:r>
            <w:r>
              <w:rPr>
                <w:rFonts w:ascii="Microsoft YaHei" w:hAnsi="Microsoft YaHei" w:eastAsia="Microsoft YaHei" w:cs="Microsoft YaHei"/>
                <w:spacing w:val="6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pacing w:val="-6"/>
              </w:rPr>
              <w:t>左右肝动脉起始部，可以被完全切除并重建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；肿瘤触及肠系</w:t>
            </w:r>
            <w:r>
              <w:rPr>
                <w:rFonts w:ascii="Microsoft YaHei" w:hAnsi="Microsoft YaHei" w:eastAsia="Microsoft YaHei" w:cs="Microsoft YaHei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pacing w:val="-9"/>
              </w:rPr>
              <w:t>膜上动脉，但未超过</w:t>
            </w:r>
            <w:r>
              <w:rPr>
                <w:spacing w:val="-9"/>
              </w:rPr>
              <w:t>180°</w:t>
            </w:r>
            <w:r>
              <w:rPr>
                <w:rFonts w:ascii="Microsoft YaHei" w:hAnsi="Microsoft YaHei" w:eastAsia="Microsoft YaHei" w:cs="Microsoft YaHei"/>
                <w:spacing w:val="-9"/>
              </w:rPr>
              <w:t>；若存在变异的动脉解剖（如副肝右</w:t>
            </w:r>
            <w:r>
              <w:rPr>
                <w:rFonts w:ascii="Microsoft YaHei" w:hAnsi="Microsoft YaHei" w:eastAsia="Microsoft YaHei" w:cs="Microsoft YaHei"/>
                <w:spacing w:val="2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动脉、替代肝右动脉、替代肝总动脉，以及替代或副动脉的</w:t>
            </w:r>
            <w:r>
              <w:rPr>
                <w:rFonts w:ascii="Microsoft YaHei" w:hAnsi="Microsoft YaHei" w:eastAsia="Microsoft YaHei" w:cs="Microsoft YaHei"/>
                <w:spacing w:val="1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pacing w:val="-6"/>
                <w:w w:val="98"/>
              </w:rPr>
              <w:t>起源动脉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），</w:t>
            </w:r>
            <w:r>
              <w:rPr>
                <w:rFonts w:ascii="Microsoft YaHei" w:hAnsi="Microsoft YaHei" w:eastAsia="Microsoft YaHei" w:cs="Microsoft YaHei"/>
                <w:spacing w:val="-6"/>
                <w:w w:val="98"/>
              </w:rPr>
              <w:t>应明确是否有肿瘤侵犯及侵犯程度，可能影响手</w:t>
            </w:r>
            <w:r>
              <w:rPr>
                <w:rFonts w:ascii="Microsoft YaHei" w:hAnsi="Microsoft YaHei" w:eastAsia="Microsoft YaHei" w:cs="Microsoft YaHei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术决策</w:t>
            </w:r>
          </w:p>
          <w:p>
            <w:pPr>
              <w:pStyle w:val="TableText"/>
              <w:ind w:left="262" w:right="127"/>
              <w:spacing w:before="2" w:line="21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6"/>
              </w:rPr>
              <w:t>胰体尾部肿瘤：肿瘤触及腹腔干未超过</w:t>
            </w:r>
            <w:r>
              <w:rPr>
                <w:spacing w:val="-6"/>
              </w:rPr>
              <w:t>180°</w:t>
            </w:r>
            <w:r>
              <w:rPr>
                <w:rFonts w:ascii="Microsoft YaHei" w:hAnsi="Microsoft YaHei" w:eastAsia="Microsoft YaHei" w:cs="Microsoft YaHei"/>
                <w:spacing w:val="-6"/>
              </w:rPr>
              <w:t>；肿瘤触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及腹腔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干超过</w:t>
            </w:r>
            <w:r>
              <w:rPr>
                <w:spacing w:val="-2"/>
              </w:rPr>
              <w:t>180°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,但未触及腹主动脉，且胃十二指肠动脉完整不</w:t>
            </w:r>
            <w:r>
              <w:rPr>
                <w:rFonts w:ascii="Microsoft YaHei" w:hAnsi="Microsoft YaHei" w:eastAsia="Microsoft YaHei" w:cs="Microsoft YaHei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受侵犯</w:t>
            </w:r>
          </w:p>
        </w:tc>
        <w:tc>
          <w:tcPr>
            <w:tcW w:w="4286" w:type="dxa"/>
            <w:vAlign w:val="top"/>
          </w:tcPr>
          <w:p>
            <w:pPr>
              <w:pStyle w:val="TableText"/>
              <w:ind w:left="29"/>
              <w:spacing w:before="5" w:line="21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3"/>
              </w:rPr>
              <w:t>胰头和胰颈部肿瘤：肿瘤触及肠系膜上静脉或门静脉超过</w:t>
            </w:r>
            <w:r>
              <w:rPr>
                <w:spacing w:val="-3"/>
              </w:rPr>
              <w:t>180°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,</w:t>
            </w:r>
            <w:r>
              <w:rPr>
                <w:rFonts w:ascii="Microsoft YaHei" w:hAnsi="Microsoft YaHei" w:eastAsia="Microsoft YaHei" w:cs="Microsoft YaHei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或触及虽未超过</w:t>
            </w:r>
            <w:r>
              <w:rPr>
                <w:spacing w:val="-2"/>
              </w:rPr>
              <w:t>180°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,但存在静脉轮廓不规则；或存在静脉血</w:t>
            </w:r>
            <w:r>
              <w:rPr>
                <w:rFonts w:ascii="Microsoft YaHei" w:hAnsi="Microsoft YaHei" w:eastAsia="Microsoft YaHei" w:cs="Microsoft YaHei"/>
                <w:spacing w:val="4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栓，切除后可进行安全的静脉重建；肿瘤触及下腔静脉</w:t>
            </w:r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 w:right="66"/>
              <w:spacing w:before="69" w:line="1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6"/>
              </w:rPr>
              <w:t>胰体尾部肿瘤：肿瘤触及脾静脉门静脉汇入处，或触及门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静脉</w:t>
            </w:r>
            <w:r>
              <w:rPr>
                <w:rFonts w:ascii="Microsoft YaHei" w:hAnsi="Microsoft YaHei" w:eastAsia="Microsoft YaHei" w:cs="Microsoft YaHei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左侧未超过</w:t>
            </w:r>
            <w:r>
              <w:rPr>
                <w:spacing w:val="-2"/>
              </w:rPr>
              <w:t>180°</w:t>
            </w:r>
            <w:r>
              <w:rPr>
                <w:rFonts w:ascii="Microsoft YaHei" w:hAnsi="Microsoft YaHei" w:eastAsia="Microsoft YaHei" w:cs="Microsoft YaHei"/>
                <w:spacing w:val="-2"/>
              </w:rPr>
              <w:t>,但存在静脉轮廓不规则；有合适的近端或远</w:t>
            </w:r>
            <w:r>
              <w:rPr>
                <w:rFonts w:ascii="Microsoft YaHei" w:hAnsi="Microsoft YaHei" w:eastAsia="Microsoft YaHei" w:cs="Microsoft YaHei"/>
                <w:spacing w:val="4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pacing w:val="-5"/>
              </w:rPr>
              <w:t>端血管可用来进行安全、完整的切除和静脉重建；肿瘤触及下</w:t>
            </w:r>
            <w:r>
              <w:rPr>
                <w:rFonts w:ascii="Microsoft YaHei" w:hAnsi="Microsoft YaHei" w:eastAsia="Microsoft YaHei" w:cs="Microsoft YaHei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腔静脉</w:t>
            </w:r>
          </w:p>
        </w:tc>
      </w:tr>
      <w:tr>
        <w:trPr>
          <w:trHeight w:val="690" w:hRule="atLeast"/>
        </w:trPr>
        <w:tc>
          <w:tcPr>
            <w:tcW w:w="1224" w:type="dxa"/>
            <w:vAlign w:val="top"/>
          </w:tcPr>
          <w:p>
            <w:pPr>
              <w:ind w:left="12"/>
              <w:spacing w:before="41" w:line="177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"/>
              </w:rPr>
              <w:t>局部进展期</w:t>
            </w:r>
          </w:p>
        </w:tc>
        <w:tc>
          <w:tcPr>
            <w:tcW w:w="4364" w:type="dxa"/>
            <w:vAlign w:val="top"/>
          </w:tcPr>
          <w:p>
            <w:pPr>
              <w:pStyle w:val="TableText"/>
              <w:ind w:left="262" w:right="130"/>
              <w:spacing w:before="14" w:line="21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6"/>
              </w:rPr>
              <w:t>胰头和胰颈部肿瘤：肿瘤触及肠系膜上动脉超过</w:t>
            </w:r>
            <w:r>
              <w:rPr>
                <w:spacing w:val="-7"/>
              </w:rPr>
              <w:t>180°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；肿瘤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侵犯腹腔干超过</w:t>
            </w:r>
            <w:r>
              <w:rPr>
                <w:spacing w:val="-3"/>
              </w:rPr>
              <w:t>180°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；肿瘤触及肠系膜上动脉第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一空肠支</w:t>
            </w:r>
          </w:p>
        </w:tc>
        <w:tc>
          <w:tcPr>
            <w:tcW w:w="4286" w:type="dxa"/>
            <w:vAlign w:val="top"/>
          </w:tcPr>
          <w:p>
            <w:pPr>
              <w:ind w:left="30" w:right="178" w:hanging="1"/>
              <w:spacing w:before="41" w:line="186" w:lineRule="auto"/>
              <w:jc w:val="both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6"/>
                <w:w w:val="98"/>
              </w:rPr>
              <w:t>胰头和胰颈部肿瘤：肿瘤触及或因栓塞（瘤栓或血栓）导致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7"/>
                <w:w w:val="98"/>
              </w:rPr>
              <w:t>肠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3"/>
              </w:rPr>
              <w:t>系膜上静脉或门静脉不可切除重建；肿瘤侵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4"/>
              </w:rPr>
              <w:t>犯大部分肠系膜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"/>
              </w:rPr>
              <w:t>上静脉的近侧端空肠引流支</w:t>
            </w:r>
          </w:p>
        </w:tc>
      </w:tr>
      <w:tr>
        <w:trPr>
          <w:trHeight w:val="680" w:hRule="atLeast"/>
        </w:trPr>
        <w:tc>
          <w:tcPr>
            <w:tcW w:w="1224" w:type="dxa"/>
            <w:vAlign w:val="top"/>
            <w:tcBorders>
              <w:bottom w:val="single" w:color="000000" w:sz="6" w:space="0"/>
            </w:tcBorders>
          </w:tcPr>
          <w:p>
            <w:pPr>
              <w:spacing w:line="426" w:lineRule="auto"/>
              <w:rPr>
                <w:rFonts w:ascii="Arial"/>
                <w:sz w:val="21"/>
              </w:rPr>
            </w:pPr>
            <w:r/>
          </w:p>
          <w:p>
            <w:pPr>
              <w:ind w:left="11"/>
              <w:spacing w:before="68" w:line="173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"/>
                <w:position w:val="-1"/>
              </w:rPr>
              <w:t>合并远处转移</w:t>
            </w:r>
          </w:p>
        </w:tc>
        <w:tc>
          <w:tcPr>
            <w:tcW w:w="436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63" w:right="162" w:hanging="1"/>
              <w:spacing w:before="17" w:line="21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-3"/>
              </w:rPr>
              <w:t>胰体尾部肿瘤：肿瘤侵犯肠系膜上动脉或腹腔干超过</w:t>
            </w:r>
            <w:r>
              <w:rPr>
                <w:spacing w:val="-3"/>
              </w:rPr>
              <w:t>180°</w:t>
            </w:r>
            <w:r>
              <w:rPr>
                <w:rFonts w:ascii="Microsoft YaHei" w:hAnsi="Microsoft YaHei" w:eastAsia="Microsoft YaHei" w:cs="Microsoft YaHei"/>
                <w:spacing w:val="-3"/>
              </w:rPr>
              <w:t>;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"/>
              </w:rPr>
              <w:t>肿瘤侵犯腹腔干和腹主动脉</w:t>
            </w:r>
          </w:p>
          <w:p>
            <w:pPr>
              <w:ind w:left="263"/>
              <w:spacing w:line="171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7"/>
              </w:rPr>
              <w:t>远处转移（包括非区域淋巴结转移）</w:t>
            </w:r>
          </w:p>
        </w:tc>
        <w:tc>
          <w:tcPr>
            <w:tcW w:w="4286" w:type="dxa"/>
            <w:vAlign w:val="top"/>
            <w:tcBorders>
              <w:bottom w:val="single" w:color="000000" w:sz="6" w:space="0"/>
            </w:tcBorders>
          </w:tcPr>
          <w:p>
            <w:pPr>
              <w:ind w:left="29" w:right="184"/>
              <w:spacing w:before="43" w:line="199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6"/>
                <w:w w:val="98"/>
              </w:rPr>
              <w:t>胰体尾部肿瘤：肿瘤侵犯或因栓塞（可能是瘤栓或血栓）导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7"/>
                <w:w w:val="98"/>
              </w:rPr>
              <w:t>致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"/>
              </w:rPr>
              <w:t>肠系膜上静脉或门静脉不可切除重建</w:t>
            </w:r>
          </w:p>
          <w:p>
            <w:pPr>
              <w:ind w:left="30"/>
              <w:spacing w:line="171" w:lineRule="exact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7"/>
              </w:rPr>
              <w:t>远处转移（包括非区域淋巴结转移）</w:t>
            </w:r>
          </w:p>
        </w:tc>
      </w:tr>
    </w:tbl>
    <w:p>
      <w:pPr>
        <w:spacing w:line="163" w:lineRule="exact"/>
        <w:rPr>
          <w:rFonts w:ascii="Arial"/>
          <w:sz w:val="14"/>
        </w:rPr>
      </w:pPr>
      <w:r/>
    </w:p>
    <w:p>
      <w:pPr>
        <w:spacing w:line="163" w:lineRule="exact"/>
        <w:sectPr>
          <w:type w:val="continuous"/>
          <w:pgSz w:w="12246" w:h="17178"/>
          <w:pgMar w:top="1297" w:right="1134" w:bottom="0" w:left="1196" w:header="928" w:footer="0" w:gutter="0"/>
          <w:cols w:equalWidth="0" w:num="1">
            <w:col w:w="9915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ind w:left="11" w:right="255" w:firstLine="5"/>
        <w:spacing w:before="57" w:line="205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3.1.5   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新辅助治疗后手术切除标本的病理学评估   对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胰腺癌新辅助治疗后切除标本的病理学结果可评估疗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0"/>
          <w:w w:val="98"/>
        </w:rPr>
        <w:t>效及预后，指导后续治疗。研究表明，病理学评估</w:t>
      </w:r>
      <w:r>
        <w:rPr>
          <w:rFonts w:ascii="Microsoft YaHei" w:hAnsi="Microsoft YaHei" w:eastAsia="Microsoft YaHei" w:cs="Microsoft YaHei"/>
          <w:sz w:val="21"/>
          <w:szCs w:val="21"/>
          <w:spacing w:val="-11"/>
          <w:w w:val="98"/>
        </w:rPr>
        <w:t>为完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5"/>
          <w:w w:val="97"/>
        </w:rPr>
        <w:t>全反应或接近完全反应者的预后好于肿瘤广泛残存者。</w:t>
      </w:r>
      <w:r>
        <w:rPr>
          <w:rFonts w:ascii="Microsoft YaHei" w:hAnsi="Microsoft YaHei" w:eastAsia="Microsoft YaHei" w:cs="Microsoft YaHei"/>
          <w:sz w:val="21"/>
          <w:szCs w:val="21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>国际胰腺病理学家研究小组认为美国病理学会（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CAP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>）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7"/>
          <w:w w:val="96"/>
        </w:rPr>
        <w:t>改良的 </w:t>
      </w:r>
      <w:r>
        <w:rPr>
          <w:rFonts w:ascii="Times New Roman" w:hAnsi="Times New Roman" w:eastAsia="Times New Roman" w:cs="Times New Roman"/>
          <w:sz w:val="21"/>
          <w:szCs w:val="21"/>
          <w:spacing w:val="-7"/>
          <w:w w:val="96"/>
        </w:rPr>
        <w:t>Ryan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7"/>
          <w:w w:val="96"/>
        </w:rPr>
        <w:t>四级评分是迄今为止最合理的评分系统</w:t>
      </w:r>
      <w:hyperlink w:history="true" w:anchor="bookmark42">
        <w:r>
          <w:rPr>
            <w:rFonts w:ascii="Times New Roman" w:hAnsi="Times New Roman" w:eastAsia="Times New Roman" w:cs="Times New Roman"/>
            <w:sz w:val="10"/>
            <w:szCs w:val="10"/>
            <w:spacing w:val="5"/>
            <w:position w:val="9"/>
          </w:rPr>
          <w:t>[51]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24"/>
        </w:rPr>
        <w:t>。</w:t>
      </w:r>
    </w:p>
    <w:p>
      <w:pPr>
        <w:ind w:left="17"/>
        <w:spacing w:line="2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3.2  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外科治疗</w:t>
      </w:r>
    </w:p>
    <w:p>
      <w:pPr>
        <w:ind w:left="11" w:right="237" w:firstLine="6"/>
        <w:spacing w:before="2" w:line="2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3.2.1    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>外科治疗的原则   手术切除是胰腺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癌获得治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愈机会和长期生存的唯一有效方法，根治性手术范围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8"/>
          <w:w w:val="99"/>
        </w:rPr>
        <w:t>包括原发肿瘤和区域淋巴结清扫。对胰头和钩突部癌，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需行胰十二指肠切除术（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Whipple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术</w:t>
      </w:r>
      <w:r>
        <w:rPr>
          <w:rFonts w:ascii="Microsoft YaHei" w:hAnsi="Microsoft YaHei" w:eastAsia="Microsoft YaHei" w:cs="Microsoft YaHei"/>
          <w:sz w:val="21"/>
          <w:szCs w:val="21"/>
          <w:spacing w:val="-34"/>
          <w:w w:val="68"/>
        </w:rPr>
        <w:t>）；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对胰体和胰尾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8"/>
          <w:w w:val="97"/>
        </w:rPr>
        <w:t>部癌，需行胰体尾联合脾脏切除术；部分胰颈部癌或肿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瘤累及范围大、胰腺内多发病灶者，可考虑全胰腺切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除术。肿瘤的最佳切除入路和程序无统一标准，应尽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可能遵循无瘤原则和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“no touch”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操作</w:t>
      </w:r>
      <w:hyperlink w:history="true" w:anchor="bookmark43">
        <w:r>
          <w:rPr>
            <w:rFonts w:ascii="Times New Roman" w:hAnsi="Times New Roman" w:eastAsia="Times New Roman" w:cs="Times New Roman"/>
            <w:sz w:val="10"/>
            <w:szCs w:val="10"/>
            <w:spacing w:val="-5"/>
            <w:position w:val="9"/>
          </w:rPr>
          <w:t>[52]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。</w:t>
      </w:r>
    </w:p>
    <w:p>
      <w:pPr>
        <w:ind w:left="12" w:right="340" w:firstLine="4"/>
        <w:spacing w:before="1" w:line="20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3.2.2    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>术前减黄   术前减黄治疗的必要性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目前尚有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3"/>
          <w:w w:val="99"/>
        </w:rPr>
        <w:t>争论，无明确术前减黄指标，需根据临床实际情况，推</w:t>
      </w:r>
      <w:r>
        <w:rPr>
          <w:rFonts w:ascii="Microsoft YaHei" w:hAnsi="Microsoft YaHei" w:eastAsia="Microsoft YaHei" w:cs="Microsoft YaHei"/>
          <w:sz w:val="21"/>
          <w:szCs w:val="21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>荐经 </w:t>
      </w:r>
      <w:r>
        <w:rPr>
          <w:rFonts w:ascii="Times New Roman" w:hAnsi="Times New Roman" w:eastAsia="Times New Roman" w:cs="Times New Roman"/>
          <w:sz w:val="21"/>
          <w:szCs w:val="21"/>
        </w:rPr>
        <w:t>MDT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HIM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>讨论后综合判断。高龄或体能状</w:t>
      </w:r>
      <w:r>
        <w:rPr>
          <w:rFonts w:ascii="Microsoft YaHei" w:hAnsi="Microsoft YaHei" w:eastAsia="Microsoft YaHei" w:cs="Microsoft YaHei"/>
          <w:sz w:val="21"/>
          <w:szCs w:val="21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0"/>
          <w:w w:val="98"/>
        </w:rPr>
        <w:t>态较差者，若梗阻性黄疸时间较长，合并肝功能</w:t>
      </w:r>
      <w:r>
        <w:rPr>
          <w:rFonts w:ascii="Microsoft YaHei" w:hAnsi="Microsoft YaHei" w:eastAsia="Microsoft YaHei" w:cs="Microsoft YaHei"/>
          <w:sz w:val="21"/>
          <w:szCs w:val="21"/>
          <w:spacing w:val="-11"/>
          <w:w w:val="98"/>
        </w:rPr>
        <w:t>明显异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bookmarkStart w:name="bookmark44" w:id="3"/>
      <w:bookmarkEnd w:id="3"/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常或伴发热及胆管炎等感染表现，术前推荐先行减黄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3"/>
        <w:spacing w:before="83" w:line="203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治疗。术前拟行新辅助治疗的梗阻性黄疸患者，推荐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先行减黄治疗。拟行减黄的患者推荐经 </w:t>
      </w:r>
      <w:r>
        <w:rPr>
          <w:rFonts w:ascii="Times New Roman" w:hAnsi="Times New Roman" w:eastAsia="Times New Roman" w:cs="Times New Roman"/>
          <w:sz w:val="21"/>
          <w:szCs w:val="21"/>
        </w:rPr>
        <w:t>ERCP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下置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入鼻胆管或支架，或行经皮经肝胆道引流术（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PTCD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）</w:t>
      </w:r>
      <w:r>
        <w:rPr>
          <w:rFonts w:ascii="Microsoft YaHei" w:hAnsi="Microsoft YaHei" w:eastAsia="Microsoft YaHei" w:cs="Microsoft YaHei"/>
          <w:sz w:val="21"/>
          <w:szCs w:val="21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外引流。提倡尽量行内引流减黄，有助于改善术前的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消化及营养状态。合并上消化道狭窄、梗阻等不能开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展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ERCP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下支架置入的梗阻</w:t>
      </w:r>
      <w:hyperlink w:history="true" w:anchor="bookmark44">
        <w:r>
          <w:rPr>
            <w:rFonts w:ascii="Microsoft YaHei" w:hAnsi="Microsoft YaHei" w:eastAsia="Microsoft YaHei" w:cs="Microsoft YaHei"/>
            <w:sz w:val="21"/>
            <w:szCs w:val="21"/>
            <w:spacing w:val="-6"/>
          </w:rPr>
          <w:t>性</w:t>
        </w:r>
      </w:hyperlink>
      <w:hyperlink w:history="true" w:anchor="bookmark44">
        <w:r>
          <w:rPr>
            <w:rFonts w:ascii="Microsoft YaHei" w:hAnsi="Microsoft YaHei" w:eastAsia="Microsoft YaHei" w:cs="Microsoft YaHei"/>
            <w:sz w:val="21"/>
            <w:szCs w:val="21"/>
            <w:spacing w:val="-6"/>
          </w:rPr>
          <w:t>黄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疸患者，或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ERCP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下</w:t>
      </w:r>
      <w:r>
        <w:rPr>
          <w:rFonts w:ascii="Microsoft YaHei" w:hAnsi="Microsoft YaHei" w:eastAsia="Microsoft YaHei" w:cs="Microsoft YaHei"/>
          <w:sz w:val="21"/>
          <w:szCs w:val="21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支架减黄失败、反复胆道感染的患者，推荐经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PTCD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hyperlink w:history="true" w:anchor="bookmark45">
        <w:r>
          <w:rPr>
            <w:rFonts w:ascii="Microsoft YaHei" w:hAnsi="Microsoft YaHei" w:eastAsia="Microsoft YaHei" w:cs="Microsoft YaHei"/>
            <w:sz w:val="21"/>
            <w:szCs w:val="21"/>
            <w:spacing w:val="-15"/>
          </w:rPr>
          <w:t>减黄，其对术区影响小，引流效果确切，但胆汁流失不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利于患者术前消化及营养状态改善。</w:t>
      </w:r>
    </w:p>
    <w:p>
      <w:pPr>
        <w:ind w:right="64" w:firstLine="5"/>
        <w:spacing w:before="7" w:line="207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3.2.3    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>胰腺癌根治术的淋巴结清扫范围   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胰十二指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肠切除术和胰体尾联合脾脏切除术的淋巴结清扫范围</w:t>
      </w:r>
      <w:r>
        <w:rPr>
          <w:rFonts w:ascii="Microsoft YaHei" w:hAnsi="Microsoft YaHei" w:eastAsia="Microsoft YaHei" w:cs="Microsoft YaHei"/>
          <w:sz w:val="21"/>
          <w:szCs w:val="21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>分为标准清扫和扩大清扫（</w:t>
      </w:r>
      <w:hyperlink w:history="true" w:anchor="bookmark44">
        <w:r>
          <w:rPr>
            <w:rFonts w:ascii="Microsoft YaHei" w:hAnsi="Microsoft YaHei" w:eastAsia="Microsoft YaHei" w:cs="Microsoft YaHei"/>
            <w:sz w:val="21"/>
            <w:szCs w:val="21"/>
            <w:spacing w:val="-10"/>
          </w:rPr>
          <w:t>表</w:t>
        </w:r>
      </w:hyperlink>
      <w:hyperlink w:history="true" w:anchor="bookmark44">
        <w:r>
          <w:rPr>
            <w:rFonts w:ascii="Times New Roman" w:hAnsi="Times New Roman" w:eastAsia="Times New Roman" w:cs="Times New Roman"/>
            <w:sz w:val="21"/>
            <w:szCs w:val="21"/>
            <w:spacing w:val="-10"/>
          </w:rPr>
          <w:t>3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>）。研究显示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，与标准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淋巴结清扫组相比，扩大淋</w:t>
      </w:r>
      <w:hyperlink w:history="true" w:anchor="bookmark44">
        <w:r>
          <w:rPr>
            <w:rFonts w:ascii="Microsoft YaHei" w:hAnsi="Microsoft YaHei" w:eastAsia="Microsoft YaHei" w:cs="Microsoft YaHei"/>
            <w:sz w:val="21"/>
            <w:szCs w:val="21"/>
            <w:spacing w:val="-6"/>
          </w:rPr>
          <w:t>巴</w:t>
        </w:r>
      </w:hyperlink>
      <w:hyperlink w:history="true" w:anchor="bookmark44">
        <w:r>
          <w:rPr>
            <w:rFonts w:ascii="Microsoft YaHei" w:hAnsi="Microsoft YaHei" w:eastAsia="Microsoft YaHei" w:cs="Microsoft YaHei"/>
            <w:sz w:val="21"/>
            <w:szCs w:val="21"/>
            <w:spacing w:val="-6"/>
          </w:rPr>
          <w:t>结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清扫组患者生存期无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明显延长</w:t>
      </w:r>
      <w:hyperlink w:history="true" w:anchor="bookmark45">
        <w:r>
          <w:rPr>
            <w:rFonts w:ascii="Times New Roman" w:hAnsi="Times New Roman" w:eastAsia="Times New Roman" w:cs="Times New Roman"/>
            <w:sz w:val="10"/>
            <w:szCs w:val="10"/>
            <w:spacing w:val="-5"/>
            <w:position w:val="9"/>
          </w:rPr>
          <w:t>[53] 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。因此，除临床研究外，目前仍建议参照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2014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年国</w:t>
      </w:r>
      <w:hyperlink w:history="true" w:anchor="bookmark45">
        <w:r>
          <w:rPr>
            <w:rFonts w:ascii="Microsoft YaHei" w:hAnsi="Microsoft YaHei" w:eastAsia="Microsoft YaHei" w:cs="Microsoft YaHei"/>
            <w:sz w:val="21"/>
            <w:szCs w:val="21"/>
            <w:spacing w:val="-7"/>
          </w:rPr>
          <w:t>际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胰腺外科研究小组发布的《在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胰腺导管腺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癌手术中淋巴结清扫术标准的定义》共识声明进行标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准淋巴结清扫。淋巴结清扫数目、阳性淋巴结和总淋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巴结数比值与预后的相关性存在争议，但送检标本内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一定数量的淋巴结有助于进行准确的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N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分期，并指导</w:t>
      </w:r>
      <w:r>
        <w:rPr>
          <w:rFonts w:ascii="Microsoft YaHei" w:hAnsi="Microsoft YaHei" w:eastAsia="Microsoft YaHei" w:cs="Microsoft YaHei"/>
          <w:sz w:val="21"/>
          <w:szCs w:val="21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2"/>
        </w:rPr>
        <w:t>后续辅助治疗，建议清扫</w:t>
      </w:r>
      <w:r>
        <w:rPr>
          <w:rFonts w:ascii="Microsoft YaHei" w:hAnsi="Microsoft YaHei" w:eastAsia="Microsoft YaHei" w:cs="Microsoft YaHei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>15 </w:t>
      </w:r>
      <w:r>
        <w:rPr>
          <w:rFonts w:ascii="Microsoft YaHei" w:hAnsi="Microsoft YaHei" w:eastAsia="Microsoft YaHei" w:cs="Microsoft YaHei"/>
          <w:sz w:val="21"/>
          <w:szCs w:val="21"/>
          <w:spacing w:val="-12"/>
        </w:rPr>
        <w:t>枚以上淋巴结。</w:t>
      </w:r>
    </w:p>
    <w:p>
      <w:pPr>
        <w:spacing w:line="207" w:lineRule="auto"/>
        <w:sectPr>
          <w:type w:val="continuous"/>
          <w:pgSz w:w="12246" w:h="17178"/>
          <w:pgMar w:top="1297" w:right="1134" w:bottom="0" w:left="1196" w:header="928" w:footer="0" w:gutter="0"/>
          <w:cols w:equalWidth="0" w:num="2">
            <w:col w:w="5052" w:space="100"/>
            <w:col w:w="4764" w:space="0"/>
          </w:cols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ind w:left="18"/>
        <w:spacing w:before="156" w:line="22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</w:rPr>
        <w:t>表3</w:t>
      </w:r>
      <w:r>
        <w:rPr>
          <w:rFonts w:ascii="SimHei" w:hAnsi="SimHei" w:eastAsia="SimHei" w:cs="SimHei"/>
          <w:sz w:val="18"/>
          <w:szCs w:val="18"/>
        </w:rPr>
        <w:t xml:space="preserve">  </w:t>
      </w:r>
      <w:r>
        <w:rPr>
          <w:rFonts w:ascii="SimHei" w:hAnsi="SimHei" w:eastAsia="SimHei" w:cs="SimHei"/>
          <w:sz w:val="18"/>
          <w:szCs w:val="18"/>
        </w:rPr>
        <w:t>胰腺癌根治术的淋巴结清扫范围</w:t>
      </w:r>
    </w:p>
    <w:p>
      <w:pPr>
        <w:spacing w:line="74" w:lineRule="exact"/>
        <w:rPr/>
      </w:pPr>
      <w:r/>
    </w:p>
    <w:tbl>
      <w:tblPr>
        <w:tblStyle w:val="TableNormal"/>
        <w:tblW w:w="985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07"/>
        <w:gridCol w:w="1972"/>
        <w:gridCol w:w="5274"/>
      </w:tblGrid>
      <w:tr>
        <w:trPr>
          <w:trHeight w:val="245" w:hRule="atLeast"/>
        </w:trPr>
        <w:tc>
          <w:tcPr>
            <w:tcW w:w="260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2"/>
              <w:spacing w:before="50" w:line="16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"/>
              </w:rPr>
              <w:t>手术方式</w:t>
            </w:r>
          </w:p>
        </w:tc>
        <w:tc>
          <w:tcPr>
            <w:tcW w:w="197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008"/>
              <w:spacing w:before="50" w:line="16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2"/>
              </w:rPr>
              <w:t>清扫范围</w:t>
            </w:r>
          </w:p>
        </w:tc>
        <w:tc>
          <w:tcPr>
            <w:tcW w:w="527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2407"/>
              <w:spacing w:before="50" w:line="16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"/>
              </w:rPr>
              <w:t>清扫淋巴结</w:t>
            </w:r>
          </w:p>
        </w:tc>
      </w:tr>
      <w:tr>
        <w:trPr>
          <w:trHeight w:val="515" w:hRule="atLeast"/>
        </w:trPr>
        <w:tc>
          <w:tcPr>
            <w:tcW w:w="2607" w:type="dxa"/>
            <w:vAlign w:val="top"/>
            <w:tcBorders>
              <w:top w:val="single" w:color="000000" w:sz="2" w:space="0"/>
            </w:tcBorders>
          </w:tcPr>
          <w:p>
            <w:pPr>
              <w:ind w:left="11"/>
              <w:spacing w:before="54" w:line="178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"/>
              </w:rPr>
              <w:t>胰十二指肠切除术</w:t>
            </w:r>
          </w:p>
        </w:tc>
        <w:tc>
          <w:tcPr>
            <w:tcW w:w="1972" w:type="dxa"/>
            <w:vAlign w:val="top"/>
            <w:tcBorders>
              <w:top w:val="single" w:color="000000" w:sz="2" w:space="0"/>
            </w:tcBorders>
          </w:tcPr>
          <w:p>
            <w:pPr>
              <w:ind w:left="1005"/>
              <w:spacing w:before="54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"/>
              </w:rPr>
              <w:t>标准清扫</w:t>
            </w:r>
          </w:p>
          <w:p>
            <w:pPr>
              <w:ind w:left="1007"/>
              <w:spacing w:before="51" w:line="169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"/>
              </w:rPr>
              <w:t>扩大清扫</w:t>
            </w:r>
          </w:p>
        </w:tc>
        <w:tc>
          <w:tcPr>
            <w:tcW w:w="527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41" w:right="1606" w:firstLine="3"/>
              <w:spacing w:before="29" w:line="208" w:lineRule="auto"/>
              <w:rPr/>
            </w:pPr>
            <w:r>
              <w:rPr>
                <w:spacing w:val="-13"/>
              </w:rPr>
              <w:t>5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>、</w:t>
            </w:r>
            <w:r>
              <w:rPr>
                <w:spacing w:val="-13"/>
              </w:rPr>
              <w:t>6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>、</w:t>
            </w:r>
            <w:r>
              <w:rPr>
                <w:spacing w:val="-13"/>
              </w:rPr>
              <w:t>8a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>、</w:t>
            </w:r>
            <w:r>
              <w:rPr>
                <w:spacing w:val="-13"/>
              </w:rPr>
              <w:t>12b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>、</w:t>
            </w:r>
            <w:r>
              <w:rPr>
                <w:spacing w:val="-13"/>
              </w:rPr>
              <w:t>12c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>、</w:t>
            </w:r>
            <w:r>
              <w:rPr>
                <w:spacing w:val="-13"/>
              </w:rPr>
              <w:t>13a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>、</w:t>
            </w:r>
            <w:r>
              <w:rPr>
                <w:spacing w:val="-13"/>
              </w:rPr>
              <w:t>13b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>、</w:t>
            </w:r>
            <w:r>
              <w:rPr>
                <w:spacing w:val="-13"/>
              </w:rPr>
              <w:t>14a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>、</w:t>
            </w:r>
            <w:r>
              <w:rPr>
                <w:spacing w:val="-13"/>
              </w:rPr>
              <w:t>14b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>、</w:t>
            </w:r>
            <w:r>
              <w:rPr>
                <w:spacing w:val="-13"/>
              </w:rPr>
              <w:t>17a</w:t>
            </w:r>
            <w:r>
              <w:rPr>
                <w:rFonts w:ascii="Microsoft YaHei" w:hAnsi="Microsoft YaHei" w:eastAsia="Microsoft YaHei" w:cs="Microsoft YaHei"/>
                <w:spacing w:val="-13"/>
              </w:rPr>
              <w:t>、</w:t>
            </w:r>
            <w:r>
              <w:rPr>
                <w:spacing w:val="-13"/>
              </w:rPr>
              <w:t>17b</w:t>
            </w:r>
            <w:r>
              <w:rPr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上述范围</w:t>
            </w:r>
            <w:r>
              <w:rPr>
                <w:spacing w:val="-10"/>
              </w:rPr>
              <w:t>+8p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、</w:t>
            </w:r>
            <w:r>
              <w:rPr>
                <w:spacing w:val="-10"/>
              </w:rPr>
              <w:t>9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、</w:t>
            </w:r>
            <w:r>
              <w:rPr>
                <w:spacing w:val="-10"/>
              </w:rPr>
              <w:t>12a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、</w:t>
            </w:r>
            <w:r>
              <w:rPr>
                <w:spacing w:val="-10"/>
              </w:rPr>
              <w:t>12p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、</w:t>
            </w:r>
            <w:r>
              <w:rPr>
                <w:spacing w:val="-10"/>
              </w:rPr>
              <w:t>14c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、</w:t>
            </w:r>
            <w:r>
              <w:rPr>
                <w:spacing w:val="-10"/>
              </w:rPr>
              <w:t>14d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、</w:t>
            </w:r>
            <w:r>
              <w:rPr>
                <w:spacing w:val="-10"/>
              </w:rPr>
              <w:t>16a2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、</w:t>
            </w:r>
            <w:r>
              <w:rPr>
                <w:spacing w:val="-10"/>
              </w:rPr>
              <w:t>16b1</w:t>
            </w:r>
          </w:p>
        </w:tc>
      </w:tr>
      <w:tr>
        <w:trPr>
          <w:trHeight w:val="503" w:hRule="atLeast"/>
        </w:trPr>
        <w:tc>
          <w:tcPr>
            <w:tcW w:w="2607" w:type="dxa"/>
            <w:vAlign w:val="top"/>
            <w:tcBorders>
              <w:bottom w:val="single" w:color="000000" w:sz="6" w:space="0"/>
            </w:tcBorders>
          </w:tcPr>
          <w:p>
            <w:pPr>
              <w:ind w:left="11"/>
              <w:spacing w:before="54" w:line="181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"/>
              </w:rPr>
              <w:t>胰体尾联合脾脏切除术</w:t>
            </w:r>
          </w:p>
        </w:tc>
        <w:tc>
          <w:tcPr>
            <w:tcW w:w="1972" w:type="dxa"/>
            <w:vAlign w:val="top"/>
            <w:tcBorders>
              <w:bottom w:val="single" w:color="000000" w:sz="6" w:space="0"/>
            </w:tcBorders>
          </w:tcPr>
          <w:p>
            <w:pPr>
              <w:ind w:left="1005"/>
              <w:spacing w:before="55" w:line="180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"/>
              </w:rPr>
              <w:t>标准清扫</w:t>
            </w:r>
          </w:p>
          <w:p>
            <w:pPr>
              <w:ind w:left="1007"/>
              <w:spacing w:before="46" w:line="162" w:lineRule="auto"/>
              <w:rPr>
                <w:rFonts w:ascii="Microsoft YaHei" w:hAnsi="Microsoft YaHei" w:eastAsia="Microsoft YaHei" w:cs="Microsoft YaHei"/>
                <w:sz w:val="16"/>
                <w:szCs w:val="16"/>
              </w:rPr>
            </w:pPr>
            <w:r>
              <w:rPr>
                <w:rFonts w:ascii="Microsoft YaHei" w:hAnsi="Microsoft YaHei" w:eastAsia="Microsoft YaHei" w:cs="Microsoft YaHei"/>
                <w:sz w:val="16"/>
                <w:szCs w:val="16"/>
                <w:spacing w:val="-1"/>
              </w:rPr>
              <w:t>扩大清扫</w:t>
            </w:r>
          </w:p>
        </w:tc>
        <w:tc>
          <w:tcPr>
            <w:tcW w:w="527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56"/>
              <w:spacing w:before="29" w:line="218" w:lineRule="auto"/>
              <w:rPr/>
            </w:pPr>
            <w:r>
              <w:rPr>
                <w:spacing w:val="-12"/>
              </w:rPr>
              <w:t>10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、</w:t>
            </w:r>
            <w:r>
              <w:rPr>
                <w:spacing w:val="-12"/>
              </w:rPr>
              <w:t>11p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、</w:t>
            </w:r>
            <w:r>
              <w:rPr>
                <w:spacing w:val="-12"/>
              </w:rPr>
              <w:t>11d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、</w:t>
            </w:r>
            <w:r>
              <w:rPr>
                <w:spacing w:val="-12"/>
              </w:rPr>
              <w:t>18</w:t>
            </w:r>
          </w:p>
          <w:p>
            <w:pPr>
              <w:pStyle w:val="TableText"/>
              <w:ind w:left="341"/>
              <w:spacing w:before="1" w:line="186" w:lineRule="auto"/>
              <w:rPr/>
            </w:pPr>
            <w:r>
              <w:rPr>
                <w:rFonts w:ascii="Microsoft YaHei" w:hAnsi="Microsoft YaHei" w:eastAsia="Microsoft YaHei" w:cs="Microsoft YaHei"/>
                <w:spacing w:val="-10"/>
              </w:rPr>
              <w:t>上述范围</w:t>
            </w:r>
            <w:r>
              <w:rPr>
                <w:spacing w:val="-10"/>
              </w:rPr>
              <w:t>+8a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、</w:t>
            </w:r>
            <w:r>
              <w:rPr>
                <w:spacing w:val="-10"/>
              </w:rPr>
              <w:t>8p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、</w:t>
            </w:r>
            <w:r>
              <w:rPr>
                <w:spacing w:val="-10"/>
              </w:rPr>
              <w:t>9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、</w:t>
            </w:r>
            <w:r>
              <w:rPr>
                <w:spacing w:val="-10"/>
              </w:rPr>
              <w:t>14a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、</w:t>
            </w:r>
            <w:r>
              <w:rPr>
                <w:spacing w:val="-10"/>
              </w:rPr>
              <w:t>14b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、</w:t>
            </w:r>
            <w:r>
              <w:rPr>
                <w:spacing w:val="-10"/>
              </w:rPr>
              <w:t>14c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、</w:t>
            </w:r>
            <w:r>
              <w:rPr>
                <w:spacing w:val="-10"/>
              </w:rPr>
              <w:t>14d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、</w:t>
            </w:r>
            <w:r>
              <w:rPr>
                <w:spacing w:val="-10"/>
              </w:rPr>
              <w:t>16a2</w:t>
            </w:r>
            <w:r>
              <w:rPr>
                <w:rFonts w:ascii="Microsoft YaHei" w:hAnsi="Microsoft YaHei" w:eastAsia="Microsoft YaHei" w:cs="Microsoft YaHei"/>
                <w:spacing w:val="-10"/>
              </w:rPr>
              <w:t>、</w:t>
            </w:r>
            <w:r>
              <w:rPr>
                <w:spacing w:val="-10"/>
              </w:rPr>
              <w:t>16b1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6" w:h="17178"/>
          <w:pgMar w:top="1297" w:right="1134" w:bottom="0" w:left="1196" w:header="928" w:footer="0" w:gutter="0"/>
          <w:cols w:equalWidth="0" w:num="1">
            <w:col w:w="991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73"/>
        <w:rPr/>
      </w:pPr>
      <w:r/>
    </w:p>
    <w:p>
      <w:pPr>
        <w:sectPr>
          <w:headerReference w:type="default" r:id="rId11"/>
          <w:pgSz w:w="12246" w:h="17178"/>
          <w:pgMar w:top="1297" w:right="1066" w:bottom="0" w:left="1119" w:header="928" w:footer="0" w:gutter="0"/>
          <w:cols w:equalWidth="0" w:num="1">
            <w:col w:w="10060" w:space="0"/>
          </w:cols>
        </w:sectPr>
        <w:rPr/>
      </w:pPr>
    </w:p>
    <w:p>
      <w:pPr>
        <w:ind w:left="86" w:right="179" w:firstLine="6"/>
        <w:spacing w:before="56" w:line="2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3.2.4    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根治性顺行模块化胰脾切除术在胰体尾癌中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的</w:t>
      </w:r>
      <w:r>
        <w:rPr>
          <w:rFonts w:ascii="Microsoft YaHei" w:hAnsi="Microsoft YaHei" w:eastAsia="Microsoft YaHei" w:cs="Microsoft YaHei"/>
          <w:sz w:val="21"/>
          <w:szCs w:val="21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应</w:t>
      </w:r>
      <w:r>
        <w:rPr>
          <w:rFonts w:ascii="Microsoft YaHei" w:hAnsi="Microsoft YaHei" w:eastAsia="Microsoft YaHei" w:cs="Microsoft YaHei"/>
          <w:sz w:val="21"/>
          <w:szCs w:val="21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用    根</w:t>
      </w:r>
      <w:r>
        <w:rPr>
          <w:rFonts w:ascii="Microsoft YaHei" w:hAnsi="Microsoft YaHei" w:eastAsia="Microsoft YaHei" w:cs="Microsoft YaHei"/>
          <w:sz w:val="21"/>
          <w:szCs w:val="21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治</w:t>
      </w:r>
      <w:r>
        <w:rPr>
          <w:rFonts w:ascii="Microsoft YaHei" w:hAnsi="Microsoft YaHei" w:eastAsia="Microsoft YaHei" w:cs="Microsoft YaHei"/>
          <w:sz w:val="21"/>
          <w:szCs w:val="21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性</w:t>
      </w:r>
      <w:r>
        <w:rPr>
          <w:rFonts w:ascii="Microsoft YaHei" w:hAnsi="Microsoft YaHei" w:eastAsia="Microsoft YaHei" w:cs="Microsoft YaHei"/>
          <w:sz w:val="21"/>
          <w:szCs w:val="21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顺</w:t>
      </w:r>
      <w:r>
        <w:rPr>
          <w:rFonts w:ascii="Microsoft YaHei" w:hAnsi="Microsoft YaHei" w:eastAsia="Microsoft YaHei" w:cs="Microsoft YaHei"/>
          <w:sz w:val="21"/>
          <w:szCs w:val="21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行</w:t>
      </w:r>
      <w:r>
        <w:rPr>
          <w:rFonts w:ascii="Microsoft YaHei" w:hAnsi="Microsoft YaHei" w:eastAsia="Microsoft YaHei" w:cs="Microsoft YaHei"/>
          <w:sz w:val="21"/>
          <w:szCs w:val="21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模</w:t>
      </w:r>
      <w:r>
        <w:rPr>
          <w:rFonts w:ascii="Microsoft YaHei" w:hAnsi="Microsoft YaHei" w:eastAsia="Microsoft YaHei" w:cs="Microsoft YaHei"/>
          <w:sz w:val="21"/>
          <w:szCs w:val="21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块</w:t>
      </w:r>
      <w:r>
        <w:rPr>
          <w:rFonts w:ascii="Microsoft YaHei" w:hAnsi="Microsoft YaHei" w:eastAsia="Microsoft YaHei" w:cs="Microsoft YaHei"/>
          <w:sz w:val="21"/>
          <w:szCs w:val="21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化</w:t>
      </w:r>
      <w:r>
        <w:rPr>
          <w:rFonts w:ascii="Microsoft YaHei" w:hAnsi="Microsoft YaHei" w:eastAsia="Microsoft YaHei" w:cs="Microsoft YaHei"/>
          <w:sz w:val="21"/>
          <w:szCs w:val="21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胰</w:t>
      </w:r>
      <w:r>
        <w:rPr>
          <w:rFonts w:ascii="Microsoft YaHei" w:hAnsi="Microsoft YaHei" w:eastAsia="Microsoft YaHei" w:cs="Microsoft YaHei"/>
          <w:sz w:val="21"/>
          <w:szCs w:val="21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脾</w:t>
      </w:r>
      <w:r>
        <w:rPr>
          <w:rFonts w:ascii="Microsoft YaHei" w:hAnsi="Microsoft YaHei" w:eastAsia="Microsoft YaHei" w:cs="Microsoft YaHei"/>
          <w:sz w:val="21"/>
          <w:szCs w:val="21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切</w:t>
      </w:r>
      <w:r>
        <w:rPr>
          <w:rFonts w:ascii="Microsoft YaHei" w:hAnsi="Microsoft YaHei" w:eastAsia="Microsoft YaHei" w:cs="Microsoft YaHei"/>
          <w:sz w:val="21"/>
          <w:szCs w:val="21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除</w:t>
      </w:r>
      <w:r>
        <w:rPr>
          <w:rFonts w:ascii="Microsoft YaHei" w:hAnsi="Microsoft YaHei" w:eastAsia="Microsoft YaHei" w:cs="Microsoft YaHei"/>
          <w:sz w:val="21"/>
          <w:szCs w:val="21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术（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radical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antegrade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modular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pancreatos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plenectomy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，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RAMPS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）手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术根据是否联合左肾上腺切除分为前 </w:t>
      </w:r>
      <w:r>
        <w:rPr>
          <w:rFonts w:ascii="Times New Roman" w:hAnsi="Times New Roman" w:eastAsia="Times New Roman" w:cs="Times New Roman"/>
          <w:sz w:val="21"/>
          <w:szCs w:val="21"/>
        </w:rPr>
        <w:t>RAMPS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和后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RAMPS</w:t>
      </w:r>
      <w:r>
        <w:rPr>
          <w:rFonts w:ascii="Times New Roman" w:hAnsi="Times New Roman" w:eastAsia="Times New Roman" w:cs="Times New Roman"/>
          <w:sz w:val="21"/>
          <w:szCs w:val="21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>。一项 </w:t>
      </w:r>
      <w:r>
        <w:rPr>
          <w:rFonts w:ascii="Times New Roman" w:hAnsi="Times New Roman" w:eastAsia="Times New Roman" w:cs="Times New Roman"/>
          <w:sz w:val="21"/>
          <w:szCs w:val="21"/>
        </w:rPr>
        <w:t>Meta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>分析关于 </w:t>
      </w:r>
      <w:r>
        <w:rPr>
          <w:rFonts w:ascii="Times New Roman" w:hAnsi="Times New Roman" w:eastAsia="Times New Roman" w:cs="Times New Roman"/>
          <w:sz w:val="21"/>
          <w:szCs w:val="21"/>
        </w:rPr>
        <w:t>RAMPS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>与标准胰体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尾癌根治术比较的结果显示，两组术后并发症无明显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9"/>
        </w:rPr>
        <w:t>区别，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RAMPS </w:t>
      </w:r>
      <w:r>
        <w:rPr>
          <w:rFonts w:ascii="Microsoft YaHei" w:hAnsi="Microsoft YaHei" w:eastAsia="Microsoft YaHei" w:cs="Microsoft YaHei"/>
          <w:sz w:val="21"/>
          <w:szCs w:val="21"/>
          <w:spacing w:val="-9"/>
        </w:rPr>
        <w:t>组在 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R0 </w:t>
      </w:r>
      <w:r>
        <w:rPr>
          <w:rFonts w:ascii="Microsoft YaHei" w:hAnsi="Microsoft YaHei" w:eastAsia="Microsoft YaHei" w:cs="Microsoft YaHei"/>
          <w:sz w:val="21"/>
          <w:szCs w:val="21"/>
          <w:spacing w:val="-9"/>
        </w:rPr>
        <w:t>切除率、淋巴结清扫及</w:t>
      </w:r>
      <w:r>
        <w:rPr>
          <w:rFonts w:ascii="Microsoft YaHei" w:hAnsi="Microsoft YaHei" w:eastAsia="Microsoft YaHei" w:cs="Microsoft YaHei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9"/>
        </w:rPr>
        <w:t>年生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9"/>
        </w:rPr>
        <w:t>存率方面具有优势，但两组术后复发率无明显差异</w:t>
      </w:r>
      <w:hyperlink w:history="true" w:anchor="bookmark46">
        <w:r>
          <w:rPr>
            <w:rFonts w:ascii="Times New Roman" w:hAnsi="Times New Roman" w:eastAsia="Times New Roman" w:cs="Times New Roman"/>
            <w:sz w:val="10"/>
            <w:szCs w:val="10"/>
            <w:spacing w:val="-9"/>
            <w:position w:val="9"/>
          </w:rPr>
          <w:t>[54]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9"/>
        </w:rPr>
        <w:t>。</w:t>
      </w:r>
      <w:r>
        <w:rPr>
          <w:rFonts w:ascii="Microsoft YaHei" w:hAnsi="Microsoft YaHei" w:eastAsia="Microsoft YaHei" w:cs="Microsoft YaHei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RAMPS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手术对胰体尾癌患者长期生存的影响仍有待</w:t>
      </w:r>
      <w:r>
        <w:rPr>
          <w:rFonts w:ascii="Microsoft YaHei" w:hAnsi="Microsoft YaHei" w:eastAsia="Microsoft YaHei" w:cs="Microsoft YaHei"/>
          <w:sz w:val="21"/>
          <w:szCs w:val="21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临床研究证实，但因其理论上的合理性、操作上的可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行性及围手术期的安全性，近年来应用已日益广泛。</w:t>
      </w:r>
    </w:p>
    <w:p>
      <w:pPr>
        <w:ind w:left="87" w:right="150" w:firstLine="6"/>
        <w:spacing w:before="4" w:line="2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3.2.5    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>联合血管切除   对仅</w:t>
      </w:r>
      <w:r>
        <w:rPr>
          <w:rFonts w:ascii="Microsoft YaHei" w:hAnsi="Microsoft YaHei" w:eastAsia="Microsoft YaHei" w:cs="Microsoft YaHei"/>
          <w:sz w:val="21"/>
          <w:szCs w:val="21"/>
        </w:rPr>
        <w:t>肠系膜上静脉</w:t>
      </w:r>
      <w:r>
        <w:rPr>
          <w:rFonts w:ascii="Times New Roman" w:hAnsi="Times New Roman" w:eastAsia="Times New Roman" w:cs="Times New Roman"/>
          <w:sz w:val="21"/>
          <w:szCs w:val="21"/>
        </w:rPr>
        <w:t>-</w:t>
      </w:r>
      <w:r>
        <w:rPr>
          <w:rFonts w:ascii="Microsoft YaHei" w:hAnsi="Microsoft YaHei" w:eastAsia="Microsoft YaHei" w:cs="Microsoft YaHei"/>
          <w:sz w:val="21"/>
          <w:szCs w:val="21"/>
        </w:rPr>
        <w:t>门静脉累  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及且可切除重建的胰腺癌，如能达到 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R0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切除，行联合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0"/>
          <w:w w:val="96"/>
        </w:rPr>
        <w:t>肠系膜上静脉和（或）门静脉切除的胰十二指肠切除术，</w:t>
      </w:r>
      <w:r>
        <w:rPr>
          <w:rFonts w:ascii="Microsoft YaHei" w:hAnsi="Microsoft YaHei" w:eastAsia="Microsoft YaHei" w:cs="Microsoft YaHei"/>
          <w:sz w:val="21"/>
          <w:szCs w:val="21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患者预后与无侵犯静脉行标准手术组无显著差异，明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显优于仅行姑息手术的患者</w:t>
      </w:r>
      <w:hyperlink w:history="true" w:anchor="bookmark47">
        <w:r>
          <w:rPr>
            <w:rFonts w:ascii="Times New Roman" w:hAnsi="Times New Roman" w:eastAsia="Times New Roman" w:cs="Times New Roman"/>
            <w:sz w:val="10"/>
            <w:szCs w:val="10"/>
            <w:spacing w:val="-4"/>
            <w:position w:val="9"/>
          </w:rPr>
          <w:t>[55]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。目前，尚无高级别证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据支持胰腺癌根治术中联合动脉切除重建</w:t>
      </w:r>
      <w:hyperlink w:history="true" w:anchor="bookmark48">
        <w:r>
          <w:rPr>
            <w:rFonts w:ascii="Times New Roman" w:hAnsi="Times New Roman" w:eastAsia="Times New Roman" w:cs="Times New Roman"/>
            <w:sz w:val="10"/>
            <w:szCs w:val="10"/>
            <w:spacing w:val="-4"/>
            <w:position w:val="9"/>
          </w:rPr>
          <w:t>[56]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。如胰体</w:t>
      </w:r>
      <w:r>
        <w:rPr>
          <w:rFonts w:ascii="Microsoft YaHei" w:hAnsi="Microsoft YaHei" w:eastAsia="Microsoft YaHei" w:cs="Microsoft YaHei"/>
          <w:sz w:val="21"/>
          <w:szCs w:val="21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尾癌根治术中可行安全的腹腔干切除，且有望获得</w:t>
      </w:r>
      <w:r>
        <w:rPr>
          <w:rFonts w:ascii="Microsoft YaHei" w:hAnsi="Microsoft YaHei" w:eastAsia="Microsoft YaHei" w:cs="Microsoft YaHei"/>
          <w:sz w:val="21"/>
          <w:szCs w:val="21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R0 </w:t>
      </w:r>
      <w:r>
        <w:rPr>
          <w:rFonts w:ascii="Microsoft YaHei" w:hAnsi="Microsoft YaHei" w:eastAsia="Microsoft YaHei" w:cs="Microsoft YaHei"/>
          <w:sz w:val="21"/>
          <w:szCs w:val="21"/>
        </w:rPr>
        <w:t>切除</w:t>
      </w:r>
      <w:hyperlink w:history="true" w:anchor="bookmark49">
        <w:r>
          <w:rPr>
            <w:rFonts w:ascii="Times New Roman" w:hAnsi="Times New Roman" w:eastAsia="Times New Roman" w:cs="Times New Roman"/>
            <w:sz w:val="10"/>
            <w:szCs w:val="10"/>
            <w:position w:val="9"/>
          </w:rPr>
          <w:t>[57]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，经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MDT to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HIM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讨论评估后，可选手术切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除。由于联合动脉切除的手术并发症及围术期死亡率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均高于未联合动脉切除组</w:t>
      </w:r>
      <w:hyperlink w:history="true" w:anchor="bookmark50">
        <w:r>
          <w:rPr>
            <w:rFonts w:ascii="Times New Roman" w:hAnsi="Times New Roman" w:eastAsia="Times New Roman" w:cs="Times New Roman"/>
            <w:sz w:val="10"/>
            <w:szCs w:val="10"/>
            <w:spacing w:val="-3"/>
            <w:position w:val="9"/>
          </w:rPr>
          <w:t>[58]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14"/>
          <w:w w:val="96"/>
        </w:rPr>
        <w:t>，且根治性有限，手术指征</w:t>
      </w:r>
      <w:r>
        <w:rPr>
          <w:rFonts w:ascii="Microsoft YaHei" w:hAnsi="Microsoft YaHei" w:eastAsia="Microsoft YaHei" w:cs="Microsoft YaHei"/>
          <w:sz w:val="21"/>
          <w:szCs w:val="21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选择应较联合静脉切除持更为审慎态度，且不建议联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合肠系膜上动脉切除重建。</w:t>
      </w:r>
    </w:p>
    <w:p>
      <w:pPr>
        <w:ind w:right="163" w:firstLine="93"/>
        <w:spacing w:before="2" w:line="2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3.2.6    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>腹腔镜和机器人手术   腹腔镜胰体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尾切除术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>（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LPD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>）的安全性不断提高，但作为一种复杂、高风险</w:t>
      </w:r>
      <w:r>
        <w:rPr>
          <w:rFonts w:ascii="Microsoft YaHei" w:hAnsi="Microsoft YaHei" w:eastAsia="Microsoft YaHei" w:cs="Microsoft YaHei"/>
          <w:sz w:val="21"/>
          <w:szCs w:val="21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手术，需要强调较长时间的学习曲线和专业训练</w:t>
      </w:r>
      <w:hyperlink w:history="true" w:anchor="bookmark51">
        <w:r>
          <w:rPr>
            <w:rFonts w:ascii="Times New Roman" w:hAnsi="Times New Roman" w:eastAsia="Times New Roman" w:cs="Times New Roman"/>
            <w:sz w:val="10"/>
            <w:szCs w:val="10"/>
            <w:spacing w:val="2"/>
            <w:position w:val="9"/>
          </w:rPr>
          <w:t>[59] 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2"/>
        </w:rPr>
        <w:t>。</w:t>
      </w:r>
      <w:r>
        <w:rPr>
          <w:rFonts w:ascii="Microsoft YaHei" w:hAnsi="Microsoft YaHei" w:eastAsia="Microsoft YaHei" w:cs="Microsoft YaHei"/>
          <w:sz w:val="21"/>
          <w:szCs w:val="21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7"/>
        </w:rPr>
        <w:t>国内学者进行的前瞻性多中心随机对照临床研究评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价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LPD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的安全性，结果显示，对完成学习曲线、技术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</w:rPr>
        <w:t>成熟的术者，</w:t>
      </w:r>
      <w:r>
        <w:rPr>
          <w:rFonts w:ascii="Times New Roman" w:hAnsi="Times New Roman" w:eastAsia="Times New Roman" w:cs="Times New Roman"/>
          <w:sz w:val="21"/>
          <w:szCs w:val="21"/>
        </w:rPr>
        <w:t>LPD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组住院时间显著短于开放手术组，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两组围术期严重并发症发生率、术后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90d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内死亡率等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无显著性差异</w:t>
      </w:r>
      <w:hyperlink w:history="true" w:anchor="bookmark52">
        <w:r>
          <w:rPr>
            <w:rFonts w:ascii="Times New Roman" w:hAnsi="Times New Roman" w:eastAsia="Times New Roman" w:cs="Times New Roman"/>
            <w:sz w:val="10"/>
            <w:szCs w:val="10"/>
            <w:spacing w:val="-2"/>
            <w:position w:val="9"/>
          </w:rPr>
          <w:t>[60]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。与开放手术相比，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LPD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的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“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微创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”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优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势已获证实，但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“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肿瘤学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”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获益效果仍需进一步验证。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LDP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的微创优势明显，在国内外广泛应用，但其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“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肿瘤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>学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”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>获益仍需高级别证据证实。机器人手术与腹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腔镜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手术相比较，似在中转率有一定优势，在其余方面无明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9"/>
          <w:position w:val="-3"/>
        </w:rPr>
        <w:t>显差异</w:t>
      </w:r>
      <w:hyperlink w:history="true" w:anchor="bookmark53">
        <w:r>
          <w:rPr>
            <w:rFonts w:ascii="Times New Roman" w:hAnsi="Times New Roman" w:eastAsia="Times New Roman" w:cs="Times New Roman"/>
            <w:sz w:val="10"/>
            <w:szCs w:val="10"/>
            <w:spacing w:val="9"/>
            <w:position w:val="6"/>
          </w:rPr>
          <w:t>[61]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9"/>
          <w:position w:val="-3"/>
        </w:rPr>
        <w:t>。</w:t>
      </w:r>
    </w:p>
    <w:p>
      <w:pPr>
        <w:ind w:left="86" w:right="176" w:firstLine="6"/>
        <w:spacing w:before="8" w:line="20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3.2.7    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胰腺癌手术标本的标准化检测和切缘状态评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>估   提倡由外科和病理科医师合作完成标本的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>标准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8"/>
          <w:w w:val="97"/>
        </w:rPr>
        <w:t>化检测，对标本各个切缘分别进行标记及描述，以客观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9"/>
          <w:w w:val="97"/>
        </w:rPr>
        <w:t>准确地反映切缘状态，如联合肠系膜上静脉和（或）门</w:t>
      </w:r>
      <w:r>
        <w:rPr>
          <w:rFonts w:ascii="Microsoft YaHei" w:hAnsi="Microsoft YaHei" w:eastAsia="Microsoft YaHei" w:cs="Microsoft YaHei"/>
          <w:sz w:val="21"/>
          <w:szCs w:val="21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静脉切除，应对静脉受累状况分别取材报告。目前多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采用以距切缘</w:t>
      </w:r>
      <w:r>
        <w:rPr>
          <w:rFonts w:ascii="Microsoft YaHei" w:hAnsi="Microsoft YaHei" w:eastAsia="Microsoft YaHei" w:cs="Microsoft YaHei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 mm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内有无肿瘤浸润作为判断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R0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或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R</w:t>
      </w:r>
      <w:r>
        <w:rPr>
          <w:rFonts w:ascii="Times New Roman" w:hAnsi="Times New Roman" w:eastAsia="Times New Roman" w:cs="Times New Roman"/>
          <w:sz w:val="21"/>
          <w:szCs w:val="21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1 </w:t>
      </w:r>
      <w:r>
        <w:rPr>
          <w:rFonts w:ascii="Microsoft YaHei" w:hAnsi="Microsoft YaHei" w:eastAsia="Microsoft YaHei" w:cs="Microsoft YaHei"/>
          <w:sz w:val="21"/>
          <w:szCs w:val="21"/>
          <w:spacing w:val="-9"/>
        </w:rPr>
        <w:t>切除的标准，即：距切缘</w:t>
      </w:r>
      <w:r>
        <w:rPr>
          <w:rFonts w:ascii="Microsoft YaHei" w:hAnsi="Microsoft YaHei" w:eastAsia="Microsoft YaHei" w:cs="Microsoft YaHei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1 mm </w:t>
      </w:r>
      <w:r>
        <w:rPr>
          <w:rFonts w:ascii="Microsoft YaHei" w:hAnsi="Microsoft YaHei" w:eastAsia="Microsoft YaHei" w:cs="Microsoft YaHei"/>
          <w:sz w:val="21"/>
          <w:szCs w:val="21"/>
          <w:spacing w:val="-9"/>
        </w:rPr>
        <w:t>组织内如有肿瘤细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胞浸润，为 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>R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切除；如无肿瘤细胞浸润，为 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>R0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切除。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以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“1 mm”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为判断原则，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R0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与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R</w:t>
      </w:r>
      <w:r>
        <w:rPr>
          <w:rFonts w:ascii="Times New Roman" w:hAnsi="Times New Roman" w:eastAsia="Times New Roman" w:cs="Times New Roman"/>
          <w:sz w:val="21"/>
          <w:szCs w:val="21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1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切除患者预后</w:t>
      </w:r>
      <w:r>
        <w:rPr>
          <w:rFonts w:ascii="Microsoft YaHei" w:hAnsi="Microsoft YaHei" w:eastAsia="Microsoft YaHei" w:cs="Microsoft YaHei"/>
          <w:sz w:val="21"/>
          <w:szCs w:val="21"/>
          <w:spacing w:val="-9"/>
        </w:rPr>
        <w:t>差异存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在统计学意义</w:t>
      </w:r>
      <w:hyperlink w:history="true" w:anchor="bookmark54">
        <w:r>
          <w:rPr>
            <w:rFonts w:ascii="Times New Roman" w:hAnsi="Times New Roman" w:eastAsia="Times New Roman" w:cs="Times New Roman"/>
            <w:sz w:val="10"/>
            <w:szCs w:val="10"/>
            <w:spacing w:val="-2"/>
            <w:position w:val="9"/>
          </w:rPr>
          <w:t>[62]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。外科手术目的是达到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R0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切除，但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由于胰腺的解剖特点及肿瘤的生物学行为，难以避免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8" w:right="49" w:firstLine="18"/>
        <w:spacing w:before="55" w:line="205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以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R</w:t>
      </w: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切除为手术结果，但仍可改善患者预后。姑息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性切除特指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R2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切除，与仅行姑息性短路手术比较，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R2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切除并未改善预后和生活质量，应予避免。</w:t>
      </w:r>
    </w:p>
    <w:p>
      <w:pPr>
        <w:ind w:left="93"/>
        <w:spacing w:line="2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3.3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化疗</w:t>
      </w:r>
    </w:p>
    <w:p>
      <w:pPr>
        <w:ind w:left="88" w:right="133" w:firstLine="5"/>
        <w:spacing w:before="8" w:line="20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3.3.1   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化疗原则</w:t>
      </w:r>
      <w:r>
        <w:rPr>
          <w:rFonts w:ascii="Microsoft YaHei" w:hAnsi="Microsoft YaHei" w:eastAsia="Microsoft YaHei" w:cs="Microsoft YaHei"/>
          <w:sz w:val="21"/>
          <w:szCs w:val="21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化疗属于全身系统性治疗，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可用于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8"/>
          <w:w w:val="97"/>
        </w:rPr>
        <w:t>所有分期的胰腺癌，包括术后辅助化疗，可切除和交界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可切除胰腺癌的新辅助化疗，局部进展期、合并远处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转移及复发胰腺癌的一线、后续化疗等。化疗前应进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行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MDT to HIM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讨论，包括患者体能状态、肿瘤分期</w:t>
      </w:r>
      <w:r>
        <w:rPr>
          <w:rFonts w:ascii="Microsoft YaHei" w:hAnsi="Microsoft YaHei" w:eastAsia="Microsoft YaHei" w:cs="Microsoft YaHei"/>
          <w:sz w:val="21"/>
          <w:szCs w:val="21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2"/>
          <w:w w:val="98"/>
        </w:rPr>
        <w:t>等，制订合理治疗目标，鼓励患者参与临床试验。</w:t>
      </w:r>
    </w:p>
    <w:p>
      <w:pPr>
        <w:ind w:firstLine="93"/>
        <w:spacing w:before="9" w:line="2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3.3.2    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>常用化疗药物与化疗方案   胰腺癌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常用化疗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12"/>
          <w:w w:val="97"/>
        </w:rPr>
        <w:t>药物包括：氟尿嘧啶类（</w:t>
      </w:r>
      <w:r>
        <w:rPr>
          <w:rFonts w:ascii="Times New Roman" w:hAnsi="Times New Roman" w:eastAsia="Times New Roman" w:cs="Times New Roman"/>
          <w:sz w:val="21"/>
          <w:szCs w:val="21"/>
          <w:spacing w:val="-12"/>
          <w:w w:val="97"/>
        </w:rPr>
        <w:t>5-FU</w:t>
      </w:r>
      <w:r>
        <w:rPr>
          <w:rFonts w:ascii="Microsoft YaHei" w:hAnsi="Microsoft YaHei" w:eastAsia="Microsoft YaHei" w:cs="Microsoft YaHei"/>
          <w:sz w:val="21"/>
          <w:szCs w:val="21"/>
          <w:spacing w:val="-12"/>
          <w:w w:val="97"/>
        </w:rPr>
        <w:t>、卡培他滨</w:t>
      </w:r>
      <w:r>
        <w:rPr>
          <w:rFonts w:ascii="Microsoft YaHei" w:hAnsi="Microsoft YaHei" w:eastAsia="Microsoft YaHei" w:cs="Microsoft YaHei"/>
          <w:sz w:val="21"/>
          <w:szCs w:val="21"/>
          <w:spacing w:val="-13"/>
          <w:w w:val="97"/>
        </w:rPr>
        <w:t>、替吉奥）、吉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11"/>
          <w:w w:val="96"/>
        </w:rPr>
        <w:t>西他滨、铂类（顺铂、奥沙利铂）、伊立替康类（伊立替</w:t>
      </w:r>
      <w:r>
        <w:rPr>
          <w:rFonts w:ascii="Microsoft YaHei" w:hAnsi="Microsoft YaHei" w:eastAsia="Microsoft YaHei" w:cs="Microsoft YaHei"/>
          <w:sz w:val="21"/>
          <w:szCs w:val="21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康、脂质体伊立替康）、白蛋白结合紫杉醇等。常用化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疗方案主要分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大类：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）以吉西他滨为基础的化疗方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>案：①吉西他滨；②吉西他滨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+ 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>白蛋白结合紫杉醇；</w:t>
      </w:r>
      <w:r>
        <w:rPr>
          <w:rFonts w:ascii="Microsoft YaHei" w:hAnsi="Microsoft YaHei" w:eastAsia="Microsoft YaHei" w:cs="Microsoft YaHei"/>
          <w:sz w:val="21"/>
          <w:szCs w:val="21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③吉西他滨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+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顺铂。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）以氟尿嘧啶类为基础的化疗方</w:t>
      </w:r>
      <w:r>
        <w:rPr>
          <w:rFonts w:ascii="Microsoft YaHei" w:hAnsi="Microsoft YaHei" w:eastAsia="Microsoft YaHei" w:cs="Microsoft YaHei"/>
          <w:sz w:val="21"/>
          <w:szCs w:val="21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12"/>
        </w:rPr>
        <w:t>案：①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>5-FU+</w:t>
      </w:r>
      <w:r>
        <w:rPr>
          <w:rFonts w:ascii="Microsoft YaHei" w:hAnsi="Microsoft YaHei" w:eastAsia="Microsoft YaHei" w:cs="Microsoft YaHei"/>
          <w:sz w:val="21"/>
          <w:szCs w:val="21"/>
          <w:spacing w:val="-12"/>
        </w:rPr>
        <w:t>亚叶酸；②卡培他滨；③替吉奥；④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>5-F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>U+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>亚叶酸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+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>奥沙利铂（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OFF</w:t>
      </w:r>
      <w:r>
        <w:rPr>
          <w:rFonts w:ascii="Microsoft YaHei" w:hAnsi="Microsoft YaHei" w:eastAsia="Microsoft YaHei" w:cs="Microsoft YaHei"/>
          <w:sz w:val="21"/>
          <w:szCs w:val="21"/>
          <w:spacing w:val="-39"/>
          <w:w w:val="78"/>
        </w:rPr>
        <w:t>）；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>⑤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FOLFOX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>；⑥卡培他滨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+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>奥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10"/>
          <w:w w:val="98"/>
        </w:rPr>
        <w:t>沙利铂（</w:t>
      </w:r>
      <w:r>
        <w:rPr>
          <w:rFonts w:ascii="Times New Roman" w:hAnsi="Times New Roman" w:eastAsia="Times New Roman" w:cs="Times New Roman"/>
          <w:sz w:val="21"/>
          <w:szCs w:val="21"/>
          <w:spacing w:val="-10"/>
          <w:w w:val="98"/>
        </w:rPr>
        <w:t>CapeOx</w:t>
      </w:r>
      <w:r>
        <w:rPr>
          <w:rFonts w:ascii="Microsoft YaHei" w:hAnsi="Microsoft YaHei" w:eastAsia="Microsoft YaHei" w:cs="Microsoft YaHei"/>
          <w:sz w:val="21"/>
          <w:szCs w:val="21"/>
          <w:spacing w:val="-35"/>
          <w:w w:val="69"/>
        </w:rPr>
        <w:t>）；</w:t>
      </w:r>
      <w:r>
        <w:rPr>
          <w:rFonts w:ascii="Microsoft YaHei" w:hAnsi="Microsoft YaHei" w:eastAsia="Microsoft YaHei" w:cs="Microsoft YaHei"/>
          <w:sz w:val="21"/>
          <w:szCs w:val="21"/>
          <w:spacing w:val="-10"/>
          <w:w w:val="98"/>
        </w:rPr>
        <w:t>⑦</w:t>
      </w:r>
      <w:r>
        <w:rPr>
          <w:rFonts w:ascii="Times New Roman" w:hAnsi="Times New Roman" w:eastAsia="Times New Roman" w:cs="Times New Roman"/>
          <w:sz w:val="21"/>
          <w:szCs w:val="21"/>
          <w:spacing w:val="-10"/>
          <w:w w:val="98"/>
        </w:rPr>
        <w:t>5-FU+</w:t>
      </w:r>
      <w:r>
        <w:rPr>
          <w:rFonts w:ascii="Microsoft YaHei" w:hAnsi="Microsoft YaHei" w:eastAsia="Microsoft YaHei" w:cs="Microsoft YaHei"/>
          <w:sz w:val="21"/>
          <w:szCs w:val="21"/>
          <w:spacing w:val="-10"/>
          <w:w w:val="98"/>
        </w:rPr>
        <w:t>亚叶酸</w:t>
      </w:r>
      <w:r>
        <w:rPr>
          <w:rFonts w:ascii="Times New Roman" w:hAnsi="Times New Roman" w:eastAsia="Times New Roman" w:cs="Times New Roman"/>
          <w:sz w:val="21"/>
          <w:szCs w:val="21"/>
          <w:spacing w:val="-10"/>
          <w:w w:val="98"/>
        </w:rPr>
        <w:t>+</w:t>
      </w:r>
      <w:r>
        <w:rPr>
          <w:rFonts w:ascii="Microsoft YaHei" w:hAnsi="Microsoft YaHei" w:eastAsia="Microsoft YaHei" w:cs="Microsoft YaHei"/>
          <w:sz w:val="21"/>
          <w:szCs w:val="21"/>
          <w:spacing w:val="-10"/>
          <w:w w:val="98"/>
        </w:rPr>
        <w:t>伊立替康（</w:t>
      </w:r>
      <w:r>
        <w:rPr>
          <w:rFonts w:ascii="Times New Roman" w:hAnsi="Times New Roman" w:eastAsia="Times New Roman" w:cs="Times New Roman"/>
          <w:sz w:val="21"/>
          <w:szCs w:val="21"/>
          <w:spacing w:val="-10"/>
          <w:w w:val="98"/>
        </w:rPr>
        <w:t>FOLFIRI</w:t>
      </w:r>
      <w:r>
        <w:rPr>
          <w:rFonts w:ascii="Microsoft YaHei" w:hAnsi="Microsoft YaHei" w:eastAsia="Microsoft YaHei" w:cs="Microsoft YaHei"/>
          <w:sz w:val="21"/>
          <w:szCs w:val="21"/>
          <w:spacing w:val="-35"/>
          <w:w w:val="69"/>
        </w:rPr>
        <w:t>）；</w:t>
      </w:r>
      <w:r>
        <w:rPr>
          <w:rFonts w:ascii="Microsoft YaHei" w:hAnsi="Microsoft YaHei" w:eastAsia="Microsoft YaHei" w:cs="Microsoft YaHei"/>
          <w:sz w:val="21"/>
          <w:szCs w:val="21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>⑧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5-</w:t>
      </w:r>
      <w:r>
        <w:rPr>
          <w:rFonts w:ascii="Times New Roman" w:hAnsi="Times New Roman" w:eastAsia="Times New Roman" w:cs="Times New Roman"/>
          <w:sz w:val="21"/>
          <w:szCs w:val="21"/>
        </w:rPr>
        <w:t>FU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+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>亚叶酸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+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>脂质体伊立替康；⑨</w:t>
      </w:r>
      <w:r>
        <w:rPr>
          <w:rFonts w:ascii="Times New Roman" w:hAnsi="Times New Roman" w:eastAsia="Times New Roman" w:cs="Times New Roman"/>
          <w:sz w:val="21"/>
          <w:szCs w:val="21"/>
        </w:rPr>
        <w:t>FOLFIRINOX  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和改良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FOLFIRINOX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（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mFOLFIRINOX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）。</w:t>
      </w:r>
      <w:r>
        <w:rPr>
          <w:rFonts w:ascii="Microsoft YaHei" w:hAnsi="Microsoft YaHei" w:eastAsia="Microsoft YaHei" w:cs="Microsoft YaHei"/>
          <w:sz w:val="21"/>
          <w:szCs w:val="21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）吉西他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>滨联合氟尿嘧啶类的化疗方案：①吉西他滨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+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>卡培他</w:t>
      </w:r>
      <w:r>
        <w:rPr>
          <w:rFonts w:ascii="Microsoft YaHei" w:hAnsi="Microsoft YaHei" w:eastAsia="Microsoft YaHei" w:cs="Microsoft YaHei"/>
          <w:sz w:val="21"/>
          <w:szCs w:val="21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滨；②吉西他滨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+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替吉奥。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4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）其它化疗方案：①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PEXG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（吉西他滨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+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卡培他滨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+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顺铂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+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表阿霉素</w:t>
      </w:r>
      <w:r>
        <w:rPr>
          <w:rFonts w:ascii="Microsoft YaHei" w:hAnsi="Microsoft YaHei" w:eastAsia="Microsoft YaHei" w:cs="Microsoft YaHei"/>
          <w:sz w:val="21"/>
          <w:szCs w:val="21"/>
          <w:spacing w:val="-38"/>
          <w:w w:val="76"/>
        </w:rPr>
        <w:t>）；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②序贯化疗。</w:t>
      </w:r>
    </w:p>
    <w:p>
      <w:pPr>
        <w:ind w:left="88" w:right="133" w:firstLine="5"/>
        <w:spacing w:before="3" w:line="20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3.3.3   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化疗的应用</w:t>
      </w:r>
      <w:r>
        <w:rPr>
          <w:rFonts w:ascii="Microsoft YaHei" w:hAnsi="Microsoft YaHei" w:eastAsia="Microsoft YaHei" w:cs="Microsoft YaHei"/>
          <w:sz w:val="21"/>
          <w:szCs w:val="21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辅助化疗：辅助化疗对胰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腺癌术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9"/>
          <w:w w:val="97"/>
        </w:rPr>
        <w:t>后具有明确的疗效，能防止或延缓肿瘤复发转移，提高</w:t>
      </w:r>
      <w:r>
        <w:rPr>
          <w:rFonts w:ascii="Microsoft YaHei" w:hAnsi="Microsoft YaHei" w:eastAsia="Microsoft YaHei" w:cs="Microsoft YaHei"/>
          <w:sz w:val="21"/>
          <w:szCs w:val="21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7"/>
          <w:w w:val="97"/>
        </w:rPr>
        <w:t>术后生存率，应积极推荐术后辅助化疗。</w:t>
      </w:r>
    </w:p>
    <w:p>
      <w:pPr>
        <w:ind w:left="88" w:right="132" w:firstLine="423"/>
        <w:spacing w:before="39" w:line="205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可切除和交界可切除胰腺癌新辅助化疗：新辅助</w:t>
      </w:r>
      <w:r>
        <w:rPr>
          <w:rFonts w:ascii="Microsoft YaHei" w:hAnsi="Microsoft YaHei" w:eastAsia="Microsoft YaHei" w:cs="Microsoft YaHei"/>
          <w:sz w:val="21"/>
          <w:szCs w:val="21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治疗的价值正在被逐渐关注和接受，但新辅助治疗可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否提高治愈率，尚需临床研究结果证实。新辅助化疗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目的是筛选出根治性手术获益者、提高 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R0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切除率，降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8"/>
          <w:w w:val="97"/>
        </w:rPr>
        <w:t>低淋巴结转移率，最终提高患者生存，有时也可与放疗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9"/>
        </w:rPr>
        <w:t>联合使用。</w:t>
      </w:r>
    </w:p>
    <w:p>
      <w:pPr>
        <w:ind w:left="88" w:right="27" w:firstLine="421"/>
        <w:spacing w:before="4" w:line="199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7"/>
          <w:w w:val="98"/>
        </w:rPr>
        <w:t>局部进展期、合并远处转移及复发胰腺癌的一线、</w:t>
      </w:r>
      <w:r>
        <w:rPr>
          <w:rFonts w:ascii="Microsoft YaHei" w:hAnsi="Microsoft YaHei" w:eastAsia="Microsoft YaHei" w:cs="Microsoft YaHei"/>
          <w:sz w:val="21"/>
          <w:szCs w:val="21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后线化疗：主要目的是延长生存，提高生活质量。部分</w:t>
      </w:r>
      <w:r>
        <w:rPr>
          <w:rFonts w:ascii="Microsoft YaHei" w:hAnsi="Microsoft YaHei" w:eastAsia="Microsoft YaHei" w:cs="Microsoft YaHei"/>
          <w:sz w:val="21"/>
          <w:szCs w:val="21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8"/>
          <w:w w:val="97"/>
        </w:rPr>
        <w:t>患者经系统化疗，联合或不联合放疗后，也可达到手术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9"/>
        </w:rPr>
        <w:t>切除标准。</w:t>
      </w:r>
    </w:p>
    <w:p>
      <w:pPr>
        <w:ind w:left="93"/>
        <w:spacing w:before="1" w:line="2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3.4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放疗</w:t>
      </w:r>
    </w:p>
    <w:p>
      <w:pPr>
        <w:ind w:left="87" w:right="36" w:firstLine="6"/>
        <w:spacing w:before="2" w:line="202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3.4.1  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放疗原则   胰腺癌对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X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线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的放射抵抗性较高，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其毗邻空腔脏器不能耐受高剂量照射。因此，胰腺癌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6"/>
        </w:rPr>
        <w:t>是否进行放疗需由 </w:t>
      </w:r>
      <w:r>
        <w:rPr>
          <w:rFonts w:ascii="Times New Roman" w:hAnsi="Times New Roman" w:eastAsia="Times New Roman" w:cs="Times New Roman"/>
          <w:sz w:val="21"/>
          <w:szCs w:val="21"/>
        </w:rPr>
        <w:t>MDT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HIM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6"/>
        </w:rPr>
        <w:t>整合评估后决定。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放疗最好与化疗联合使用。放疗期间常用吉西他滨或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氟尿嘧啶类药物作为增敏剂，又称为同步化放疗。放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疗前强烈建议行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2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～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4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个疗程的诱导化疗，以抑制潜</w:t>
      </w:r>
      <w:r>
        <w:rPr>
          <w:rFonts w:ascii="Microsoft YaHei" w:hAnsi="Microsoft YaHei" w:eastAsia="Microsoft YaHei" w:cs="Microsoft YaHei"/>
          <w:sz w:val="21"/>
          <w:szCs w:val="21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8"/>
          <w:w w:val="97"/>
        </w:rPr>
        <w:t>在转移灶；作为筛选患者手段，排除恶性程度高且已发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7"/>
          <w:w w:val="97"/>
        </w:rPr>
        <w:t>生远处转移患者，避免不必要放疗。</w:t>
      </w:r>
    </w:p>
    <w:p>
      <w:pPr>
        <w:spacing w:line="202" w:lineRule="auto"/>
        <w:sectPr>
          <w:type w:val="continuous"/>
          <w:pgSz w:w="12246" w:h="17178"/>
          <w:pgMar w:top="1297" w:right="1066" w:bottom="0" w:left="1119" w:header="928" w:footer="0" w:gutter="0"/>
          <w:cols w:equalWidth="0" w:num="2">
            <w:col w:w="5040" w:space="100"/>
            <w:col w:w="4921" w:space="0"/>
          </w:cols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spacing w:before="88"/>
        <w:rPr/>
      </w:pPr>
      <w:r/>
    </w:p>
    <w:p>
      <w:pPr>
        <w:sectPr>
          <w:headerReference w:type="default" r:id="rId12"/>
          <w:pgSz w:w="12246" w:h="17178"/>
          <w:pgMar w:top="1297" w:right="1098" w:bottom="0" w:left="1119" w:header="928" w:footer="0" w:gutter="0"/>
          <w:cols w:equalWidth="0" w:num="1">
            <w:col w:w="10028" w:space="0"/>
          </w:cols>
        </w:sectPr>
        <w:rPr/>
      </w:pPr>
    </w:p>
    <w:p>
      <w:pPr>
        <w:ind w:left="87" w:right="255" w:firstLine="6"/>
        <w:spacing w:before="39" w:line="20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3.4.2    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胰腺癌的放疗常用于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种临床情况   辅助放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疗、可切除和交界可切除胰腺癌的新辅助放疗、局部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  <w:w w:val="97"/>
        </w:rPr>
        <w:t>进展期、局部复发胰腺癌、姑息性放疗及术中放疗。</w:t>
      </w:r>
    </w:p>
    <w:p>
      <w:pPr>
        <w:ind w:right="263" w:firstLine="93"/>
        <w:spacing w:before="8" w:line="2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>3.4.3    </w:t>
      </w:r>
      <w:r>
        <w:rPr>
          <w:rFonts w:ascii="Microsoft YaHei" w:hAnsi="Microsoft YaHei" w:eastAsia="Microsoft YaHei" w:cs="Microsoft YaHei"/>
          <w:sz w:val="21"/>
          <w:szCs w:val="21"/>
          <w:spacing w:val="-18"/>
        </w:rPr>
        <w:t>常用放疗方案    放疗（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>RT</w:t>
      </w:r>
      <w:r>
        <w:rPr>
          <w:rFonts w:ascii="Microsoft YaHei" w:hAnsi="Microsoft YaHei" w:eastAsia="Microsoft YaHei" w:cs="Microsoft YaHei"/>
          <w:sz w:val="21"/>
          <w:szCs w:val="21"/>
          <w:spacing w:val="-18"/>
        </w:rPr>
        <w:t>）、化放疗</w:t>
      </w:r>
      <w:r>
        <w:rPr>
          <w:rFonts w:ascii="Microsoft YaHei" w:hAnsi="Microsoft YaHei" w:eastAsia="Microsoft YaHei" w:cs="Microsoft YaHei"/>
          <w:sz w:val="21"/>
          <w:szCs w:val="21"/>
          <w:spacing w:val="-19"/>
        </w:rPr>
        <w:t>（</w:t>
      </w:r>
      <w:r>
        <w:rPr>
          <w:rFonts w:ascii="Times New Roman" w:hAnsi="Times New Roman" w:eastAsia="Times New Roman" w:cs="Times New Roman"/>
          <w:sz w:val="21"/>
          <w:szCs w:val="21"/>
          <w:spacing w:val="-19"/>
        </w:rPr>
        <w:t>CRT</w:t>
      </w:r>
      <w:r>
        <w:rPr>
          <w:rFonts w:ascii="Microsoft YaHei" w:hAnsi="Microsoft YaHei" w:eastAsia="Microsoft YaHei" w:cs="Microsoft YaHei"/>
          <w:sz w:val="21"/>
          <w:szCs w:val="21"/>
          <w:spacing w:val="-19"/>
        </w:rPr>
        <w:t>）、三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维适形放疗、调强适形放疗（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IMRT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）、立体定向放疗</w:t>
      </w:r>
      <w:r>
        <w:rPr>
          <w:rFonts w:ascii="Microsoft YaHei" w:hAnsi="Microsoft YaHei" w:eastAsia="Microsoft YaHei" w:cs="Microsoft YaHei"/>
          <w:sz w:val="21"/>
          <w:szCs w:val="21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4"/>
        </w:rPr>
        <w:t>（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>SBRT</w:t>
      </w:r>
      <w:r>
        <w:rPr>
          <w:rFonts w:ascii="Microsoft YaHei" w:hAnsi="Microsoft YaHei" w:eastAsia="Microsoft YaHei" w:cs="Microsoft YaHei"/>
          <w:sz w:val="21"/>
          <w:szCs w:val="21"/>
          <w:spacing w:val="-14"/>
        </w:rPr>
        <w:t>）及质子重离子治疗。</w:t>
      </w:r>
    </w:p>
    <w:p>
      <w:pPr>
        <w:ind w:left="93"/>
        <w:spacing w:line="2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3.5   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靶向和免疫治疗</w:t>
      </w:r>
    </w:p>
    <w:p>
      <w:pPr>
        <w:ind w:left="87" w:right="254" w:firstLine="6"/>
        <w:spacing w:before="3" w:line="205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3.5.1  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靶向治疗</w:t>
      </w:r>
      <w:r>
        <w:rPr>
          <w:rFonts w:ascii="Microsoft YaHei" w:hAnsi="Microsoft YaHei" w:eastAsia="Microsoft YaHei" w:cs="Microsoft YaHei"/>
          <w:sz w:val="21"/>
          <w:szCs w:val="21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厄洛替尼：是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EGFR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酪氨酸激酶抑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制剂。早在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2007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年，厄洛替尼作为胰腺癌的第一个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靶向治疗药物，与吉西他滨联用已被推荐作为局部进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展期与合并远处转移胰腺癌的一线治疗</w:t>
      </w:r>
      <w:hyperlink w:history="true" w:anchor="bookmark55">
        <w:r>
          <w:rPr>
            <w:rFonts w:ascii="Times New Roman" w:hAnsi="Times New Roman" w:eastAsia="Times New Roman" w:cs="Times New Roman"/>
            <w:sz w:val="10"/>
            <w:szCs w:val="10"/>
            <w:spacing w:val="-4"/>
            <w:position w:val="9"/>
          </w:rPr>
          <w:t>[63]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，后续有研</w:t>
      </w:r>
      <w:r>
        <w:rPr>
          <w:rFonts w:ascii="Microsoft YaHei" w:hAnsi="Microsoft YaHei" w:eastAsia="Microsoft YaHei" w:cs="Microsoft YaHei"/>
          <w:sz w:val="21"/>
          <w:szCs w:val="21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究提示 </w:t>
      </w:r>
      <w:r>
        <w:rPr>
          <w:rFonts w:ascii="Times New Roman" w:hAnsi="Times New Roman" w:eastAsia="Times New Roman" w:cs="Times New Roman"/>
          <w:sz w:val="21"/>
          <w:szCs w:val="21"/>
        </w:rPr>
        <w:t>KRAS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野生型患者应用厄洛替尼效果可能较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好</w:t>
      </w:r>
      <w:hyperlink w:history="true" w:anchor="bookmark56">
        <w:r>
          <w:rPr>
            <w:rFonts w:ascii="Times New Roman" w:hAnsi="Times New Roman" w:eastAsia="Times New Roman" w:cs="Times New Roman"/>
            <w:sz w:val="10"/>
            <w:szCs w:val="10"/>
            <w:spacing w:val="-1"/>
            <w:position w:val="9"/>
          </w:rPr>
          <w:t>[64]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12"/>
          <w:w w:val="99"/>
        </w:rPr>
        <w:t>，但由于厄洛替尼的总体疗效不高，且后续辅助治</w:t>
      </w:r>
      <w:r>
        <w:rPr>
          <w:rFonts w:ascii="Microsoft YaHei" w:hAnsi="Microsoft YaHei" w:eastAsia="Microsoft YaHei" w:cs="Microsoft YaHei"/>
          <w:sz w:val="21"/>
          <w:szCs w:val="21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疗临床研究为阴性结果</w:t>
      </w:r>
      <w:hyperlink w:history="true" w:anchor="bookmark57">
        <w:r>
          <w:rPr>
            <w:rFonts w:ascii="Times New Roman" w:hAnsi="Times New Roman" w:eastAsia="Times New Roman" w:cs="Times New Roman"/>
            <w:sz w:val="10"/>
            <w:szCs w:val="10"/>
            <w:spacing w:val="-4"/>
            <w:position w:val="9"/>
          </w:rPr>
          <w:t>[65]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，使厄洛替尼在胰腺癌的临</w:t>
      </w:r>
      <w:r>
        <w:rPr>
          <w:rFonts w:ascii="Microsoft YaHei" w:hAnsi="Microsoft YaHei" w:eastAsia="Microsoft YaHei" w:cs="Microsoft YaHei"/>
          <w:sz w:val="21"/>
          <w:szCs w:val="21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床应用上并不广泛。</w:t>
      </w:r>
    </w:p>
    <w:p>
      <w:pPr>
        <w:ind w:left="87" w:right="148" w:firstLine="423"/>
        <w:spacing w:before="1" w:line="207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奥拉帕利：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2019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年的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POLO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研究中，针对携带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BRCA1/2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基因突变合并远处转移胰腺癌，将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PARP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抑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8"/>
          <w:w w:val="99"/>
        </w:rPr>
        <w:t>制剂奥拉帕利用于一线铂类化疗无进展后的维持治疗，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无进展生存期从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3.8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个月延长至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7.4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个月，真正开启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4"/>
          <w:position w:val="-1"/>
        </w:rPr>
        <w:t>胰腺癌靶向治疗新时代</w:t>
      </w:r>
      <w:hyperlink w:history="true" w:anchor="bookmark58">
        <w:r>
          <w:rPr>
            <w:rFonts w:ascii="Times New Roman" w:hAnsi="Times New Roman" w:eastAsia="Times New Roman" w:cs="Times New Roman"/>
            <w:sz w:val="10"/>
            <w:szCs w:val="10"/>
            <w:spacing w:val="-4"/>
            <w:position w:val="8"/>
          </w:rPr>
          <w:t>[66]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4"/>
          <w:position w:val="-1"/>
        </w:rPr>
        <w:t>。</w:t>
      </w:r>
    </w:p>
    <w:p>
      <w:pPr>
        <w:ind w:left="88" w:right="152" w:firstLine="421"/>
        <w:spacing w:before="24" w:line="203" w:lineRule="auto"/>
        <w:tabs>
          <w:tab w:val="left" w:pos="4885"/>
        </w:tabs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泛瘤种的研究证实，对存在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NTRK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基因融合的局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部进展期或合并远处转移的胰腺癌可选择拉罗替尼或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恩曲替尼治疗。美国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M.D.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安德森癌症中心开展一项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名为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“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了解您的肿瘤（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KYT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）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”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的临床研究</w:t>
      </w:r>
      <w:hyperlink w:history="true" w:anchor="bookmark59">
        <w:r>
          <w:rPr>
            <w:rFonts w:ascii="Times New Roman" w:hAnsi="Times New Roman" w:eastAsia="Times New Roman" w:cs="Times New Roman"/>
            <w:sz w:val="10"/>
            <w:szCs w:val="10"/>
            <w:spacing w:val="4"/>
            <w:position w:val="9"/>
          </w:rPr>
          <w:t>[67]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15"/>
          <w:w w:val="98"/>
        </w:rPr>
        <w:t>，观察其他</w:t>
      </w:r>
      <w:r>
        <w:rPr>
          <w:rFonts w:ascii="Microsoft YaHei" w:hAnsi="Microsoft YaHei" w:eastAsia="Microsoft YaHei" w:cs="Microsoft YaHei"/>
          <w:sz w:val="21"/>
          <w:szCs w:val="21"/>
        </w:rPr>
        <w:tab/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瘤种中比较常见的基因变异如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HER2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扩增、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ROS</w:t>
      </w:r>
      <w:r>
        <w:rPr>
          <w:rFonts w:ascii="Times New Roman" w:hAnsi="Times New Roman" w:eastAsia="Times New Roman" w:cs="Times New Roman"/>
          <w:sz w:val="21"/>
          <w:szCs w:val="21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1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融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9"/>
        </w:rPr>
        <w:t>合、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>BRAF-V600E </w:t>
      </w:r>
      <w:r>
        <w:rPr>
          <w:rFonts w:ascii="Microsoft YaHei" w:hAnsi="Microsoft YaHei" w:eastAsia="Microsoft YaHei" w:cs="Microsoft YaHei"/>
          <w:sz w:val="21"/>
          <w:szCs w:val="21"/>
          <w:spacing w:val="-9"/>
        </w:rPr>
        <w:t>突变等对胰腺癌的治疗是否有疗效。</w:t>
      </w:r>
      <w:r>
        <w:rPr>
          <w:rFonts w:ascii="Microsoft YaHei" w:hAnsi="Microsoft YaHei" w:eastAsia="Microsoft YaHei" w:cs="Microsoft YaHei"/>
          <w:sz w:val="21"/>
          <w:szCs w:val="21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>结果显示，在有基因变异及针对性治疗药物的患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者中，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与未接受匹配治疗的患者相比，接受匹配治疗患者的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生存期明显延长，死亡风险下降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52</w:t>
      </w:r>
      <w:r>
        <w:rPr>
          <w:rFonts w:ascii="Arial" w:hAnsi="Arial" w:eastAsia="Arial" w:cs="Arial"/>
          <w:sz w:val="21"/>
          <w:szCs w:val="21"/>
          <w:spacing w:val="-7"/>
        </w:rPr>
        <w:t>%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；与无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致病突变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>的患者相比，接受匹配治疗患者的生存期也明显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更长，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>死亡风险下降 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>66</w:t>
      </w:r>
      <w:r>
        <w:rPr>
          <w:rFonts w:ascii="Arial" w:hAnsi="Arial" w:eastAsia="Arial" w:cs="Arial"/>
          <w:sz w:val="21"/>
          <w:szCs w:val="21"/>
          <w:spacing w:val="-10"/>
        </w:rPr>
        <w:t>%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>，证实了胰腺癌靶向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治疗的前景。</w:t>
      </w:r>
    </w:p>
    <w:p>
      <w:pPr>
        <w:ind w:left="87" w:right="142" w:firstLine="6"/>
        <w:spacing w:before="2" w:line="205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>3.5.2    </w:t>
      </w:r>
      <w:r>
        <w:rPr>
          <w:rFonts w:ascii="Microsoft YaHei" w:hAnsi="Microsoft YaHei" w:eastAsia="Microsoft YaHei" w:cs="Microsoft YaHei"/>
          <w:sz w:val="21"/>
          <w:szCs w:val="21"/>
          <w:spacing w:val="-13"/>
        </w:rPr>
        <w:t>免疫治疗    具有高度微卫星不稳定性（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>MSI-H</w:t>
      </w:r>
      <w:r>
        <w:rPr>
          <w:rFonts w:ascii="Microsoft YaHei" w:hAnsi="Microsoft YaHei" w:eastAsia="Microsoft YaHei" w:cs="Microsoft YaHei"/>
          <w:sz w:val="21"/>
          <w:szCs w:val="21"/>
          <w:spacing w:val="-13"/>
        </w:rPr>
        <w:t>）、</w:t>
      </w:r>
      <w:r>
        <w:rPr>
          <w:rFonts w:ascii="Microsoft YaHei" w:hAnsi="Microsoft YaHei" w:eastAsia="Microsoft YaHei" w:cs="Microsoft YaHei"/>
          <w:sz w:val="21"/>
          <w:szCs w:val="21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9"/>
          <w:w w:val="97"/>
        </w:rPr>
        <w:t>错配修复缺陷（</w:t>
      </w:r>
      <w:r>
        <w:rPr>
          <w:rFonts w:ascii="Times New Roman" w:hAnsi="Times New Roman" w:eastAsia="Times New Roman" w:cs="Times New Roman"/>
          <w:sz w:val="21"/>
          <w:szCs w:val="21"/>
          <w:spacing w:val="-9"/>
          <w:w w:val="97"/>
        </w:rPr>
        <w:t>dMMR</w:t>
      </w:r>
      <w:r>
        <w:rPr>
          <w:rFonts w:ascii="Microsoft YaHei" w:hAnsi="Microsoft YaHei" w:eastAsia="Microsoft YaHei" w:cs="Microsoft YaHei"/>
          <w:sz w:val="21"/>
          <w:szCs w:val="21"/>
          <w:spacing w:val="-9"/>
          <w:w w:val="97"/>
        </w:rPr>
        <w:t>）或高突变负荷（</w:t>
      </w:r>
      <w:r>
        <w:rPr>
          <w:rFonts w:ascii="Times New Roman" w:hAnsi="Times New Roman" w:eastAsia="Times New Roman" w:cs="Times New Roman"/>
          <w:sz w:val="21"/>
          <w:szCs w:val="21"/>
          <w:spacing w:val="-9"/>
          <w:w w:val="97"/>
        </w:rPr>
        <w:t>TMB</w:t>
      </w:r>
      <w:r>
        <w:rPr>
          <w:rFonts w:ascii="Microsoft YaHei" w:hAnsi="Microsoft YaHei" w:eastAsia="Microsoft YaHei" w:cs="Microsoft YaHei"/>
          <w:sz w:val="21"/>
          <w:szCs w:val="21"/>
          <w:spacing w:val="-9"/>
          <w:w w:val="97"/>
        </w:rPr>
        <w:t>）分子特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征的局部进展或合并远处转移的胰腺癌可选择</w:t>
      </w:r>
      <w:r>
        <w:rPr>
          <w:rFonts w:ascii="Times New Roman" w:hAnsi="Times New Roman" w:eastAsia="Times New Roman" w:cs="Times New Roman"/>
          <w:sz w:val="21"/>
          <w:szCs w:val="21"/>
        </w:rPr>
        <w:t>PD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-1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单抗免疫治疗。目前，尚无证据表明使用免疫检查点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抑制剂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CTLA-4/PD-1/PD-L</w:t>
      </w:r>
      <w:r>
        <w:rPr>
          <w:rFonts w:ascii="Times New Roman" w:hAnsi="Times New Roman" w:eastAsia="Times New Roman" w:cs="Times New Roman"/>
          <w:sz w:val="21"/>
          <w:szCs w:val="21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抗体可使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无上述分子特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征的胰腺癌患者获益。</w:t>
      </w:r>
    </w:p>
    <w:p>
      <w:pPr>
        <w:ind w:left="93"/>
        <w:spacing w:before="1" w:line="2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3.6  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其他治疗</w:t>
      </w:r>
    </w:p>
    <w:p>
      <w:pPr>
        <w:ind w:left="90" w:right="171" w:firstLine="2"/>
        <w:spacing w:before="3" w:line="20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3.6.1    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>营养支持治疗   胰腺癌易导致营养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不良甚至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7"/>
          <w:w w:val="98"/>
        </w:rPr>
        <w:t>恶病质发生，营养支持治疗应贯穿胰腺癌治疗的始终。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围术期及胰腺癌系统治疗期间也需选择合适的营养支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>持治疗。</w:t>
      </w:r>
    </w:p>
    <w:p>
      <w:pPr>
        <w:ind w:left="87" w:right="249" w:firstLine="6"/>
        <w:spacing w:before="4" w:line="19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3.6.2    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>疼痛治疗   胰腺癌的疼痛治疗以镇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痛药物治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0"/>
          <w:w w:val="94"/>
        </w:rPr>
        <w:t>疗为基础，常需手术、介入、神经阻滞、化疗、放疗、心</w:t>
      </w:r>
      <w:r>
        <w:rPr>
          <w:rFonts w:ascii="Microsoft YaHei" w:hAnsi="Microsoft YaHei" w:eastAsia="Microsoft YaHei" w:cs="Microsoft YaHei"/>
          <w:sz w:val="21"/>
          <w:szCs w:val="21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理治疗等多学科合作和多方式联合。镇痛药物管理在</w:t>
      </w:r>
      <w:r>
        <w:rPr>
          <w:rFonts w:ascii="Microsoft YaHei" w:hAnsi="Microsoft YaHei" w:eastAsia="Microsoft YaHei" w:cs="Microsoft YaHei"/>
          <w:sz w:val="21"/>
          <w:szCs w:val="21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胰腺癌疼痛治疗中尤为重要，需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MDT to HIM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讨论后</w:t>
      </w:r>
      <w:r>
        <w:rPr>
          <w:rFonts w:ascii="Microsoft YaHei" w:hAnsi="Microsoft YaHei" w:eastAsia="Microsoft YaHei" w:cs="Microsoft YaHei"/>
          <w:sz w:val="21"/>
          <w:szCs w:val="21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按癌痛治疗三阶梯方法开展。阿片类制剂是胰腺癌疼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9" w:right="32" w:firstLine="1"/>
        <w:spacing w:before="71" w:line="201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痛治疗的基石，若阿片类药物不能控制疼痛或导致不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能耐受的不良反应，推荐使用神经丛切断、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EUS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引导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</w:rPr>
        <w:t>或 </w:t>
      </w:r>
      <w:r>
        <w:rPr>
          <w:rFonts w:ascii="Times New Roman" w:hAnsi="Times New Roman" w:eastAsia="Times New Roman" w:cs="Times New Roman"/>
          <w:sz w:val="21"/>
          <w:szCs w:val="21"/>
        </w:rPr>
        <w:t>CT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引导下的神经丛消融术或无水酒精注射等</w:t>
      </w:r>
      <w:hyperlink w:history="true" w:anchor="bookmark60">
        <w:r>
          <w:rPr>
            <w:rFonts w:ascii="Times New Roman" w:hAnsi="Times New Roman" w:eastAsia="Times New Roman" w:cs="Times New Roman"/>
            <w:sz w:val="10"/>
            <w:szCs w:val="10"/>
            <w:spacing w:val="-1"/>
            <w:position w:val="9"/>
          </w:rPr>
          <w:t>[68]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。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0"/>
          <w:w w:val="98"/>
        </w:rPr>
        <w:t>疼痛管理应达到的目标：充分镇痛、最优生存</w:t>
      </w:r>
      <w:r>
        <w:rPr>
          <w:rFonts w:ascii="Microsoft YaHei" w:hAnsi="Microsoft YaHei" w:eastAsia="Microsoft YaHei" w:cs="Microsoft YaHei"/>
          <w:sz w:val="21"/>
          <w:szCs w:val="21"/>
          <w:spacing w:val="-11"/>
          <w:w w:val="98"/>
        </w:rPr>
        <w:t>、最小不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0"/>
          <w:w w:val="98"/>
        </w:rPr>
        <w:t>良反应、避免异常用药。</w:t>
      </w:r>
    </w:p>
    <w:p>
      <w:pPr>
        <w:ind w:left="86" w:right="100" w:firstLine="6"/>
        <w:spacing w:before="23" w:line="20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3.6.3    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>姑息治疗   胰腺癌姑息治疗目的主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要是缓解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8"/>
          <w:w w:val="97"/>
        </w:rPr>
        <w:t>胆管和消化道梗阻，为其他治疗创造机会，改善生活质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量，延长生存时间。对合并梗阻性黄疸且不可切除的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胰腺癌患者，首选内镜胆道支架置入术。对支架留置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失败或因其他原因无法行内镜治疗的患者，可选择</w:t>
      </w:r>
      <w:r>
        <w:rPr>
          <w:rFonts w:ascii="Microsoft YaHei" w:hAnsi="Microsoft YaHei" w:eastAsia="Microsoft YaHei" w:cs="Microsoft YaHei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PTCD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。姑息性胆肠吻合术仅适于因技术困难或存在</w:t>
      </w:r>
      <w:r>
        <w:rPr>
          <w:rFonts w:ascii="Microsoft YaHei" w:hAnsi="Microsoft YaHei" w:eastAsia="Microsoft YaHei" w:cs="Microsoft YaHei"/>
          <w:sz w:val="21"/>
          <w:szCs w:val="21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禁忌证，无法通过内镜或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PTCD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减黄者</w:t>
      </w:r>
      <w:hyperlink w:history="true" w:anchor="bookmark61">
        <w:r>
          <w:rPr>
            <w:rFonts w:ascii="Times New Roman" w:hAnsi="Times New Roman" w:eastAsia="Times New Roman" w:cs="Times New Roman"/>
            <w:sz w:val="10"/>
            <w:szCs w:val="10"/>
            <w:spacing w:val="-4"/>
            <w:position w:val="9"/>
          </w:rPr>
          <w:t>[69]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。胰头癌合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并消化道梗阻的治疗方式并未达成共识，开放或腹腔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镜下胃空肠吻合术以及内镜下消化道支架置入等均为</w:t>
      </w:r>
      <w:r>
        <w:rPr>
          <w:rFonts w:ascii="Microsoft YaHei" w:hAnsi="Microsoft YaHei" w:eastAsia="Microsoft YaHei" w:cs="Microsoft YaHei"/>
          <w:sz w:val="21"/>
          <w:szCs w:val="21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可行之选。对尚无消化道梗阻，但在外科手术探查中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发现肿瘤无法行根治性切除的胰腺癌患者，目前并无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证据表明预防性胃空肠吻合术可使患者获益，且可能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增加围术期并发症而推迟全身系统治疗时间，故不建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议行预防性胃空肠吻合术。对在外科探查术中发现肿</w:t>
      </w:r>
      <w:r>
        <w:rPr>
          <w:rFonts w:ascii="Microsoft YaHei" w:hAnsi="Microsoft YaHei" w:eastAsia="Microsoft YaHei" w:cs="Microsoft YaHei"/>
          <w:sz w:val="21"/>
          <w:szCs w:val="21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瘤无法行根治性切除或因消化道梗阻行胃空肠吻合术</w:t>
      </w:r>
      <w:r>
        <w:rPr>
          <w:rFonts w:ascii="Microsoft YaHei" w:hAnsi="Microsoft YaHei" w:eastAsia="Microsoft YaHei" w:cs="Microsoft YaHei"/>
          <w:sz w:val="21"/>
          <w:szCs w:val="21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0"/>
          <w:w w:val="98"/>
        </w:rPr>
        <w:t>的患者，若同时合并胆道梗阻，可行姑息性胆肠吻合</w:t>
      </w:r>
      <w:r>
        <w:rPr>
          <w:rFonts w:ascii="Microsoft YaHei" w:hAnsi="Microsoft YaHei" w:eastAsia="Microsoft YaHei" w:cs="Microsoft YaHei"/>
          <w:sz w:val="21"/>
          <w:szCs w:val="21"/>
          <w:spacing w:val="-11"/>
          <w:w w:val="98"/>
        </w:rPr>
        <w:t>术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2"/>
          <w:w w:val="97"/>
        </w:rPr>
        <w:t>或双旁路手术（胆肠吻合</w:t>
      </w:r>
      <w:r>
        <w:rPr>
          <w:rFonts w:ascii="Times New Roman" w:hAnsi="Times New Roman" w:eastAsia="Times New Roman" w:cs="Times New Roman"/>
          <w:sz w:val="21"/>
          <w:szCs w:val="21"/>
          <w:spacing w:val="-12"/>
          <w:w w:val="97"/>
        </w:rPr>
        <w:t>+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2"/>
          <w:w w:val="97"/>
        </w:rPr>
        <w:t>胃空肠吻合术）。</w:t>
      </w:r>
    </w:p>
    <w:p>
      <w:pPr>
        <w:ind w:left="87" w:right="102" w:firstLine="6"/>
        <w:spacing w:before="7" w:line="2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3.6.4   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纳米刀</w:t>
      </w:r>
      <w:r>
        <w:rPr>
          <w:rFonts w:ascii="Microsoft YaHei" w:hAnsi="Microsoft YaHei" w:eastAsia="Microsoft YaHei" w:cs="Microsoft YaHei"/>
          <w:sz w:val="21"/>
          <w:szCs w:val="21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又称不可逆性电穿孔，于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2011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年被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美国食品药品监督管理局批准用于临床，主要针对局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部进展期胰腺癌</w:t>
      </w:r>
      <w:hyperlink w:history="true" w:anchor="bookmark62">
        <w:r>
          <w:rPr>
            <w:rFonts w:ascii="Times New Roman" w:hAnsi="Times New Roman" w:eastAsia="Times New Roman" w:cs="Times New Roman"/>
            <w:sz w:val="10"/>
            <w:szCs w:val="10"/>
            <w:position w:val="9"/>
          </w:rPr>
          <w:t>[70]</w:t>
        </w:r>
      </w:hyperlink>
      <w:r>
        <w:rPr>
          <w:rFonts w:ascii="Times New Roman" w:hAnsi="Times New Roman" w:eastAsia="Times New Roman" w:cs="Times New Roman"/>
          <w:sz w:val="10"/>
          <w:szCs w:val="10"/>
          <w:spacing w:val="19"/>
          <w:w w:val="102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。</w:t>
      </w:r>
      <w:r>
        <w:rPr>
          <w:rFonts w:ascii="Times New Roman" w:hAnsi="Times New Roman" w:eastAsia="Times New Roman" w:cs="Times New Roman"/>
          <w:sz w:val="21"/>
          <w:szCs w:val="21"/>
        </w:rPr>
        <w:t>2015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</w:rPr>
        <w:t>年被中国中国国家药品监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督管理局批准用于胰腺癌和肝癌的治疗，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2021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年国内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  <w:position w:val="-1"/>
        </w:rPr>
        <w:t>亦发布纳米刀用于胰腺癌的专家共识</w:t>
      </w:r>
      <w:hyperlink w:history="true" w:anchor="bookmark63">
        <w:r>
          <w:rPr>
            <w:rFonts w:ascii="Times New Roman" w:hAnsi="Times New Roman" w:eastAsia="Times New Roman" w:cs="Times New Roman"/>
            <w:sz w:val="10"/>
            <w:szCs w:val="10"/>
            <w:spacing w:val="-5"/>
            <w:position w:val="8"/>
          </w:rPr>
          <w:t>[71]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5"/>
          <w:position w:val="-1"/>
        </w:rPr>
        <w:t>。</w:t>
      </w:r>
    </w:p>
    <w:p>
      <w:pPr>
        <w:ind w:left="89" w:right="21" w:firstLine="4"/>
        <w:spacing w:before="2" w:line="2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3.6.5    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>中医药治疗    中医药治疗是</w:t>
      </w:r>
      <w:r>
        <w:rPr>
          <w:rFonts w:ascii="Microsoft YaHei" w:hAnsi="Microsoft YaHei" w:eastAsia="Microsoft YaHei" w:cs="Microsoft YaHei"/>
          <w:sz w:val="21"/>
          <w:szCs w:val="21"/>
        </w:rPr>
        <w:t>胰腺癌整合治疗  </w:t>
      </w:r>
      <w:r>
        <w:rPr>
          <w:rFonts w:ascii="Microsoft YaHei" w:hAnsi="Microsoft YaHei" w:eastAsia="Microsoft YaHei" w:cs="Microsoft YaHei"/>
          <w:sz w:val="21"/>
          <w:szCs w:val="21"/>
          <w:spacing w:val="-11"/>
          <w:w w:val="98"/>
        </w:rPr>
        <w:t>的组成之一，与西医治疗相比，中医药并非着眼于直接</w:t>
      </w:r>
      <w:r>
        <w:rPr>
          <w:rFonts w:ascii="Microsoft YaHei" w:hAnsi="Microsoft YaHei" w:eastAsia="Microsoft YaHei" w:cs="Microsoft YaHei"/>
          <w:sz w:val="21"/>
          <w:szCs w:val="21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杀灭癌细胞，而是注重于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“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扶正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”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调理</w:t>
      </w:r>
      <w:hyperlink w:history="true" w:anchor="bookmark64">
        <w:r>
          <w:rPr>
            <w:rFonts w:ascii="Times New Roman" w:hAnsi="Times New Roman" w:eastAsia="Times New Roman" w:cs="Times New Roman"/>
            <w:sz w:val="10"/>
            <w:szCs w:val="10"/>
            <w:spacing w:val="-3"/>
            <w:position w:val="9"/>
          </w:rPr>
          <w:t>[72]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。在治疗思路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1"/>
          <w:w w:val="98"/>
        </w:rPr>
        <w:t>上，西医更强调精准治疗，尽管会取得疗效，但相应不</w:t>
      </w:r>
      <w:r>
        <w:rPr>
          <w:rFonts w:ascii="Microsoft YaHei" w:hAnsi="Microsoft YaHei" w:eastAsia="Microsoft YaHei" w:cs="Microsoft YaHei"/>
          <w:sz w:val="21"/>
          <w:szCs w:val="21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良反应不容忽视。中医更强调宏观和整体观念，更注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重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“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人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”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的整体。将中医与西医治疗思路整合起来，不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仅可弥补中医对胰腺癌本身微观认识的不足，更重要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的是可以发挥它的长处，真正达到治病与救人的目的。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中医药治疗胰腺癌证据不多，需要积极开展临床多中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9"/>
        </w:rPr>
        <w:t>心试验研究。</w:t>
      </w:r>
    </w:p>
    <w:p>
      <w:pPr>
        <w:ind w:firstLine="93"/>
        <w:spacing w:line="20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3.6.6    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>介入治疗   采用动脉内灌注化疗治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疗胰腺癌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的效果存在争议，临床操作中建议：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）若见肿瘤供血动</w:t>
      </w:r>
      <w:r>
        <w:rPr>
          <w:rFonts w:ascii="Microsoft YaHei" w:hAnsi="Microsoft YaHei" w:eastAsia="Microsoft YaHei" w:cs="Microsoft YaHei"/>
          <w:sz w:val="21"/>
          <w:szCs w:val="21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2"/>
          <w:w w:val="97"/>
        </w:rPr>
        <w:t>脉，行超选择性动脉灌注化疗；</w:t>
      </w:r>
      <w:r>
        <w:rPr>
          <w:rFonts w:ascii="Times New Roman" w:hAnsi="Times New Roman" w:eastAsia="Times New Roman" w:cs="Times New Roman"/>
          <w:sz w:val="21"/>
          <w:szCs w:val="21"/>
          <w:spacing w:val="-12"/>
          <w:w w:val="97"/>
        </w:rPr>
        <w:t>2</w:t>
      </w:r>
      <w:r>
        <w:rPr>
          <w:rFonts w:ascii="Microsoft YaHei" w:hAnsi="Microsoft YaHei" w:eastAsia="Microsoft YaHei" w:cs="Microsoft YaHei"/>
          <w:sz w:val="21"/>
          <w:szCs w:val="21"/>
          <w:spacing w:val="-12"/>
          <w:w w:val="97"/>
        </w:rPr>
        <w:t>）若未见肿瘤供血动脉，</w:t>
      </w:r>
      <w:r>
        <w:rPr>
          <w:rFonts w:ascii="Microsoft YaHei" w:hAnsi="Microsoft YaHei" w:eastAsia="Microsoft YaHei" w:cs="Microsoft YaHei"/>
          <w:sz w:val="21"/>
          <w:szCs w:val="21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建议胰头、胰颈部肿瘤经胃十二指肠动脉灌注化疗；</w:t>
      </w:r>
      <w:r>
        <w:rPr>
          <w:rFonts w:ascii="Microsoft YaHei" w:hAnsi="Microsoft YaHei" w:eastAsia="Microsoft YaHei" w:cs="Microsoft YaHei"/>
          <w:sz w:val="21"/>
          <w:szCs w:val="21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而胰体尾部肿瘤则根据肿瘤范围、血管造影情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况，经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腹腔动脉、肠系膜上动脉或脾动脉灌注化疗；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）对伴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有肝转移者经肝固有动脉灌注化疗，若造影见肝内转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移灶血供丰富，可联合栓塞治疗。晚期胰腺癌的介入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7"/>
          <w:w w:val="96"/>
        </w:rPr>
        <w:t>治疗可参考《晚期胰腺癌介入治疗临床操作指南（试行）</w:t>
      </w:r>
      <w:r>
        <w:rPr>
          <w:rFonts w:ascii="Microsoft YaHei" w:hAnsi="Microsoft YaHei" w:eastAsia="Microsoft YaHei" w:cs="Microsoft YaHei"/>
          <w:sz w:val="21"/>
          <w:szCs w:val="21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7"/>
          <w:w w:val="87"/>
          <w:position w:val="-2"/>
        </w:rPr>
        <w:t>（第五版）》</w:t>
      </w:r>
      <w:hyperlink w:history="true" w:anchor="bookmark65">
        <w:r>
          <w:rPr>
            <w:rFonts w:ascii="Times New Roman" w:hAnsi="Times New Roman" w:eastAsia="Times New Roman" w:cs="Times New Roman"/>
            <w:sz w:val="10"/>
            <w:szCs w:val="10"/>
            <w:spacing w:val="2"/>
            <w:position w:val="7"/>
          </w:rPr>
          <w:t>[73]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2"/>
          <w:position w:val="-2"/>
        </w:rPr>
        <w:t>。</w:t>
      </w:r>
    </w:p>
    <w:p>
      <w:pPr>
        <w:spacing w:line="201" w:lineRule="auto"/>
        <w:sectPr>
          <w:type w:val="continuous"/>
          <w:pgSz w:w="12246" w:h="17178"/>
          <w:pgMar w:top="1297" w:right="1098" w:bottom="0" w:left="1119" w:header="928" w:footer="0" w:gutter="0"/>
          <w:cols w:equalWidth="0" w:num="2">
            <w:col w:w="5040" w:space="100"/>
            <w:col w:w="4889" w:space="0"/>
          </w:cols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spacing w:before="73"/>
        <w:rPr/>
      </w:pPr>
      <w:r/>
    </w:p>
    <w:p>
      <w:pPr>
        <w:sectPr>
          <w:headerReference w:type="default" r:id="rId13"/>
          <w:pgSz w:w="12246" w:h="17178"/>
          <w:pgMar w:top="1297" w:right="1199" w:bottom="0" w:left="1121" w:header="928" w:footer="0" w:gutter="0"/>
          <w:cols w:equalWidth="0" w:num="1">
            <w:col w:w="9925" w:space="0"/>
          </w:cols>
        </w:sectPr>
        <w:rPr/>
      </w:pPr>
    </w:p>
    <w:p>
      <w:pPr>
        <w:ind w:left="86" w:right="338" w:firstLine="6"/>
        <w:spacing w:before="51" w:line="212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3.6.7    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>针对间质的治疗   去间质治疗一直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是胰腺癌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研究热点，包括透明质酸酶抑制剂、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Hedgehog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信号阻</w:t>
      </w:r>
      <w:r>
        <w:rPr>
          <w:rFonts w:ascii="Microsoft YaHei" w:hAnsi="Microsoft YaHei" w:eastAsia="Microsoft YaHei" w:cs="Microsoft YaHei"/>
          <w:sz w:val="21"/>
          <w:szCs w:val="21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断剂、基质金属蛋白酶抑制剂及肿瘤相关成纤维细胞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>去除剂等。近年来聚乙二醇透明质酸酶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α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>的Ⅲ期临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0"/>
          <w:w w:val="98"/>
        </w:rPr>
        <w:t>床研究备受关注，但即使透明质酸高表达，聚乙二</w:t>
      </w:r>
      <w:r>
        <w:rPr>
          <w:rFonts w:ascii="Microsoft YaHei" w:hAnsi="Microsoft YaHei" w:eastAsia="Microsoft YaHei" w:cs="Microsoft YaHei"/>
          <w:sz w:val="21"/>
          <w:szCs w:val="21"/>
          <w:spacing w:val="-11"/>
          <w:w w:val="98"/>
        </w:rPr>
        <w:t>醇透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明质酸酶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α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联合吉西他滨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+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白蛋白结合紫杉醇在合并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远处转移胰腺癌中的疗效并不优于单纯化疗</w:t>
      </w:r>
      <w:r>
        <w:rPr>
          <w:rFonts w:ascii="Times New Roman" w:hAnsi="Times New Roman" w:eastAsia="Times New Roman" w:cs="Times New Roman"/>
          <w:sz w:val="10"/>
          <w:szCs w:val="10"/>
          <w:spacing w:val="-5"/>
          <w:position w:val="9"/>
        </w:rPr>
        <w:t>[</w:t>
      </w:r>
      <w:hyperlink w:history="true" w:anchor="bookmark66">
        <w:r>
          <w:rPr>
            <w:rFonts w:ascii="Times New Roman" w:hAnsi="Times New Roman" w:eastAsia="Times New Roman" w:cs="Times New Roman"/>
            <w:sz w:val="10"/>
            <w:szCs w:val="10"/>
            <w:spacing w:val="-5"/>
            <w:position w:val="9"/>
          </w:rPr>
          <w:t>74</w:t>
        </w:r>
      </w:hyperlink>
      <w:r>
        <w:rPr>
          <w:rFonts w:ascii="Times New Roman" w:hAnsi="Times New Roman" w:eastAsia="Times New Roman" w:cs="Times New Roman"/>
          <w:sz w:val="10"/>
          <w:szCs w:val="10"/>
          <w:spacing w:val="-5"/>
          <w:position w:val="9"/>
        </w:rPr>
        <w:t>]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。</w:t>
      </w:r>
    </w:p>
    <w:p>
      <w:pPr>
        <w:ind w:left="86"/>
        <w:spacing w:line="221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3"/>
        </w:rPr>
        <w:t>4</w:t>
      </w:r>
      <w:r>
        <w:rPr>
          <w:rFonts w:ascii="SimHei" w:hAnsi="SimHei" w:eastAsia="SimHei" w:cs="SimHei"/>
          <w:sz w:val="21"/>
          <w:szCs w:val="21"/>
          <w:spacing w:val="99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3"/>
        </w:rPr>
        <w:t>康复</w:t>
      </w:r>
    </w:p>
    <w:p>
      <w:pPr>
        <w:ind w:left="86"/>
        <w:spacing w:before="34" w:line="22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4.1  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术后康复</w:t>
      </w:r>
    </w:p>
    <w:p>
      <w:pPr>
        <w:ind w:left="86" w:right="246" w:firstLine="420"/>
        <w:spacing w:before="11" w:line="206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胰腺癌根治性切除术后需要在饮食、休息、活动</w:t>
      </w:r>
      <w:r>
        <w:rPr>
          <w:rFonts w:ascii="Microsoft YaHei" w:hAnsi="Microsoft YaHei" w:eastAsia="Microsoft YaHei" w:cs="Microsoft YaHei"/>
          <w:sz w:val="21"/>
          <w:szCs w:val="21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等多方面加以注意，才能获得良好的术后康复效果。</w:t>
      </w:r>
      <w:r>
        <w:rPr>
          <w:rFonts w:ascii="Microsoft YaHei" w:hAnsi="Microsoft YaHei" w:eastAsia="Microsoft YaHei" w:cs="Microsoft YaHei"/>
          <w:sz w:val="21"/>
          <w:szCs w:val="21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胰腺癌术后，特别是胰十二指肠切除或全胰腺切除术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9"/>
          <w:w w:val="97"/>
        </w:rPr>
        <w:t>后，饮食需要从流质、半流质向软食、正常饮食逐步过</w:t>
      </w:r>
      <w:r>
        <w:rPr>
          <w:rFonts w:ascii="Microsoft YaHei" w:hAnsi="Microsoft YaHei" w:eastAsia="Microsoft YaHei" w:cs="Microsoft YaHei"/>
          <w:sz w:val="21"/>
          <w:szCs w:val="21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渡，可根据消化吸收情况辅助服用一段时间的胰酶胶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0"/>
          <w:w w:val="98"/>
        </w:rPr>
        <w:t>囊，以帮助食物特别是脂肪类食物的消化；同时还</w:t>
      </w:r>
      <w:r>
        <w:rPr>
          <w:rFonts w:ascii="Microsoft YaHei" w:hAnsi="Microsoft YaHei" w:eastAsia="Microsoft YaHei" w:cs="Microsoft YaHei"/>
          <w:sz w:val="21"/>
          <w:szCs w:val="21"/>
          <w:spacing w:val="-11"/>
          <w:w w:val="98"/>
        </w:rPr>
        <w:t>需注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5"/>
        </w:rPr>
        <w:t>意密切监测血糖，控制血糖的稳定。在日常生活中，胰</w:t>
      </w:r>
      <w:r>
        <w:rPr>
          <w:rFonts w:ascii="Microsoft YaHei" w:hAnsi="Microsoft YaHei" w:eastAsia="Microsoft YaHei" w:cs="Microsoft YaHei"/>
          <w:sz w:val="21"/>
          <w:szCs w:val="21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8"/>
          <w:w w:val="97"/>
        </w:rPr>
        <w:t>腺癌患者应放松心情，保持良好心态，养成规律作息习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惯，避免熬夜和过度疲劳，同时还应进行适当的锻炼，</w:t>
      </w:r>
      <w:r>
        <w:rPr>
          <w:rFonts w:ascii="Microsoft YaHei" w:hAnsi="Microsoft YaHei" w:eastAsia="Microsoft YaHei" w:cs="Microsoft YaHei"/>
          <w:sz w:val="21"/>
          <w:szCs w:val="21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增强自身抵抗力。术后良好康复能帮助患者更好地耐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9"/>
          <w:w w:val="95"/>
        </w:rPr>
        <w:t>受术后辅助治疗，同时提高免疫力，减少术后复发机会。</w:t>
      </w:r>
    </w:p>
    <w:p>
      <w:pPr>
        <w:ind w:left="86"/>
        <w:spacing w:before="1" w:line="22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4.2  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术后随访</w:t>
      </w:r>
    </w:p>
    <w:p>
      <w:pPr>
        <w:ind w:left="85" w:right="339" w:firstLine="421"/>
        <w:spacing w:before="18" w:line="206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3"/>
        </w:rPr>
        <w:t>术后随访是通过定期应用血清肿瘤标志物和影</w:t>
      </w:r>
      <w:r>
        <w:rPr>
          <w:rFonts w:ascii="Microsoft YaHei" w:hAnsi="Microsoft YaHei" w:eastAsia="Microsoft YaHei" w:cs="Microsoft YaHei"/>
          <w:sz w:val="21"/>
          <w:szCs w:val="21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像学检查等方法尽早地发现局部复发或远处转移，并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>及时予以治疗</w:t>
      </w:r>
      <w:hyperlink w:history="true" w:anchor="bookmark67">
        <w:r>
          <w:rPr>
            <w:rFonts w:ascii="Times New Roman" w:hAnsi="Times New Roman" w:eastAsia="Times New Roman" w:cs="Times New Roman"/>
            <w:sz w:val="10"/>
            <w:szCs w:val="10"/>
            <w:spacing w:val="3"/>
            <w:position w:val="9"/>
          </w:rPr>
          <w:t>[75] 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3"/>
        </w:rPr>
        <w:t>。术后第 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>年，建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议每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个月随访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1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次；第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2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年，每 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～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6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个月随访</w:t>
      </w:r>
      <w:r>
        <w:rPr>
          <w:rFonts w:ascii="Microsoft YaHei" w:hAnsi="Microsoft YaHei" w:eastAsia="Microsoft YaHei" w:cs="Microsoft YaHei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次；之后每 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>6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个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月随访</w:t>
      </w:r>
      <w:r>
        <w:rPr>
          <w:rFonts w:ascii="Microsoft YaHei" w:hAnsi="Microsoft YaHei" w:eastAsia="Microsoft YaHei" w:cs="Microsoft YaHei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次，随访时间至少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年。胰腺癌根治切除术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后的复发率接近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80</w:t>
      </w:r>
      <w:r>
        <w:rPr>
          <w:rFonts w:ascii="Arial" w:hAnsi="Arial" w:eastAsia="Arial" w:cs="Arial"/>
          <w:sz w:val="21"/>
          <w:szCs w:val="21"/>
          <w:spacing w:val="-7"/>
        </w:rPr>
        <w:t>%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，即使生存时间超过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5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年的患者</w:t>
      </w:r>
      <w:r>
        <w:rPr>
          <w:rFonts w:ascii="Microsoft YaHei" w:hAnsi="Microsoft YaHei" w:eastAsia="Microsoft YaHei" w:cs="Microsoft YaHei"/>
          <w:sz w:val="21"/>
          <w:szCs w:val="21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也会出现复发。随访项目除病史和体征外，包括血常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规、生化、血清肿瘤标志物、胸部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CT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、全腹部增强</w:t>
      </w:r>
      <w:r>
        <w:rPr>
          <w:rFonts w:ascii="Microsoft YaHei" w:hAnsi="Microsoft YaHei" w:eastAsia="Microsoft YaHei" w:cs="Microsoft YaHei"/>
          <w:sz w:val="21"/>
          <w:szCs w:val="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CT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等检查。怀疑肝转移或骨转移者，加行肝脏增强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MRI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或骨扫描，必要时行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PET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检查。随访期间除监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测肿瘤复发外，还应特别关注其他手术相关远期并发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症如胰腺内外分泌功能、营养状态等，最大限度改善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7"/>
          <w:w w:val="99"/>
        </w:rPr>
        <w:t>患者生活质量。</w:t>
      </w:r>
    </w:p>
    <w:p>
      <w:pPr>
        <w:ind w:left="86"/>
        <w:spacing w:line="20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4.3   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术后复发的治疗</w:t>
      </w:r>
    </w:p>
    <w:p>
      <w:pPr>
        <w:ind w:right="256" w:firstLine="506"/>
        <w:spacing w:before="7" w:line="214" w:lineRule="auto"/>
        <w:tabs>
          <w:tab w:val="left" w:pos="85"/>
        </w:tabs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2880080</wp:posOffset>
            </wp:positionH>
            <wp:positionV relativeFrom="paragraph">
              <wp:posOffset>933339</wp:posOffset>
            </wp:positionV>
            <wp:extent cx="66675" cy="66675"/>
            <wp:effectExtent l="0" t="0" r="0" b="0"/>
            <wp:wrapNone/>
            <wp:docPr id="8" name="IM 8">
              <a:hlinkClick xmlns:a="http://schemas.openxmlformats.org/drawingml/2006/main" r:id="rId15"/>
            </wp:docPr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胰腺癌根治性切除术后接近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80</w:t>
      </w:r>
      <w:r>
        <w:rPr>
          <w:rFonts w:ascii="Arial" w:hAnsi="Arial" w:eastAsia="Arial" w:cs="Arial"/>
          <w:sz w:val="21"/>
          <w:szCs w:val="21"/>
          <w:spacing w:val="-2"/>
        </w:rPr>
        <w:t>%</w:t>
      </w:r>
      <w:r>
        <w:rPr>
          <w:rFonts w:ascii="Arial" w:hAnsi="Arial" w:eastAsia="Arial" w:cs="Arial"/>
          <w:sz w:val="21"/>
          <w:szCs w:val="21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的患者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会出现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复发，且大多数复发发生在手术后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年内。术后如出</w:t>
      </w:r>
      <w:r>
        <w:rPr>
          <w:rFonts w:ascii="Microsoft YaHei" w:hAnsi="Microsoft YaHei" w:eastAsia="Microsoft YaHei" w:cs="Microsoft YaHei"/>
          <w:sz w:val="21"/>
          <w:szCs w:val="21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11"/>
        </w:rPr>
        <w:t>现复发，常预后不佳，但仍有相当多患者保持较好的体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2"/>
        </w:rPr>
        <w:t>能状态，可以接受进一步治疗。复发治疗应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>经 </w:t>
      </w:r>
      <w:r>
        <w:rPr>
          <w:rFonts w:ascii="Times New Roman" w:hAnsi="Times New Roman" w:eastAsia="Times New Roman" w:cs="Times New Roman"/>
          <w:sz w:val="21"/>
          <w:szCs w:val="21"/>
        </w:rPr>
        <w:t>MDT   </w:t>
      </w:r>
      <w:r>
        <w:rPr>
          <w:rFonts w:ascii="Times New Roman" w:hAnsi="Times New Roman" w:eastAsia="Times New Roman" w:cs="Times New Roman"/>
          <w:sz w:val="21"/>
          <w:szCs w:val="21"/>
        </w:rPr>
        <w:tab/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HIM </w:t>
      </w:r>
      <w:r>
        <w:rPr>
          <w:rFonts w:ascii="Microsoft YaHei" w:hAnsi="Microsoft YaHei" w:eastAsia="Microsoft YaHei" w:cs="Microsoft YaHei"/>
          <w:sz w:val="21"/>
          <w:szCs w:val="21"/>
          <w:spacing w:val="-8"/>
        </w:rPr>
        <w:t>讨论，以制订个体化的整合治疗方案，可参考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8"/>
          <w:w w:val="97"/>
        </w:rPr>
        <w:t>《中华医学会肿瘤学分会胰腺癌早诊早治专家共识》</w:t>
      </w:r>
      <w:hyperlink w:history="true" w:anchor="bookmark68">
        <w:r>
          <w:rPr>
            <w:rFonts w:ascii="Times New Roman" w:hAnsi="Times New Roman" w:eastAsia="Times New Roman" w:cs="Times New Roman"/>
            <w:sz w:val="10"/>
            <w:szCs w:val="10"/>
            <w:spacing w:val="-3"/>
            <w:position w:val="9"/>
          </w:rPr>
          <w:t>[76]</w:t>
        </w:r>
      </w:hyperlink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。</w:t>
      </w:r>
    </w:p>
    <w:p>
      <w:pPr>
        <w:ind w:left="446"/>
        <w:spacing w:line="18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>本文无影响其科学性与可信度的经济利益冲突。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ind w:left="95" w:right="750" w:firstLine="421"/>
        <w:spacing w:before="91" w:line="208" w:lineRule="auto"/>
        <w:rPr>
          <w:rFonts w:ascii="Microsoft YaHei" w:hAnsi="Microsoft YaHei" w:eastAsia="Microsoft YaHei" w:cs="Microsoft YaHei"/>
          <w:sz w:val="21"/>
          <w:szCs w:val="21"/>
        </w:rPr>
      </w:pPr>
      <w:bookmarkStart w:name="bookmark1" w:id="4"/>
      <w:bookmarkEnd w:id="4"/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8"/>
        </w:rPr>
        <w:t>中国抗癌协会胰腺癌专业委员会指南编委会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5"/>
        </w:rPr>
        <w:t>主编</w:t>
      </w:r>
    </w:p>
    <w:p>
      <w:pPr>
        <w:ind w:left="507"/>
        <w:spacing w:line="227" w:lineRule="exact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4"/>
          <w:position w:val="-1"/>
        </w:rPr>
        <w:t>虞先濬   复旦大学附属肿瘤医院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"/>
        <w:spacing w:before="88" w:line="17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5"/>
        </w:rPr>
        <w:t>副主编</w:t>
      </w:r>
    </w:p>
    <w:p>
      <w:pPr>
        <w:ind w:left="422"/>
        <w:spacing w:before="41" w:line="17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刘续宝</w:t>
      </w:r>
      <w:r>
        <w:rPr>
          <w:rFonts w:ascii="Microsoft YaHei" w:hAnsi="Microsoft YaHei" w:eastAsia="Microsoft YaHei" w:cs="Microsoft YaHei"/>
          <w:sz w:val="21"/>
          <w:szCs w:val="21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四川大学华西医院</w:t>
      </w:r>
    </w:p>
    <w:p>
      <w:pPr>
        <w:ind w:left="421"/>
        <w:spacing w:before="41" w:line="17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傅德良   复旦大学附属华山医院</w:t>
      </w:r>
    </w:p>
    <w:p>
      <w:pPr>
        <w:ind w:left="422"/>
        <w:spacing w:before="36" w:line="20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郝继辉   天津医科大学肿瘤医院</w:t>
      </w:r>
    </w:p>
    <w:p>
      <w:pPr>
        <w:ind w:left="423"/>
        <w:spacing w:before="3" w:line="20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秦仁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义   华中科技大学同济医学院附属同济医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院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邵成浩</w:t>
      </w:r>
      <w:r>
        <w:rPr>
          <w:rFonts w:ascii="Microsoft YaHei" w:hAnsi="Microsoft YaHei" w:eastAsia="Microsoft YaHei" w:cs="Microsoft YaHei"/>
          <w:sz w:val="21"/>
          <w:szCs w:val="21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上海长征医院</w:t>
      </w:r>
    </w:p>
    <w:p>
      <w:pPr>
        <w:ind w:left="434"/>
        <w:spacing w:before="1" w:line="18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6"/>
          <w:w w:val="99"/>
        </w:rPr>
        <w:t>陈汝福</w:t>
      </w:r>
      <w:r>
        <w:rPr>
          <w:rFonts w:ascii="Microsoft YaHei" w:hAnsi="Microsoft YaHei" w:eastAsia="Microsoft YaHei" w:cs="Microsoft YaHei"/>
          <w:sz w:val="21"/>
          <w:szCs w:val="21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6"/>
          <w:w w:val="99"/>
        </w:rPr>
        <w:t>广东省人民医院</w:t>
      </w:r>
    </w:p>
    <w:p>
      <w:pPr>
        <w:ind w:left="423"/>
        <w:spacing w:before="40" w:line="17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徐</w:t>
      </w:r>
      <w:r>
        <w:rPr>
          <w:rFonts w:ascii="Microsoft YaHei" w:hAnsi="Microsoft YaHei" w:eastAsia="Microsoft YaHei" w:cs="Microsoft YaHei"/>
          <w:sz w:val="21"/>
          <w:szCs w:val="21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近</w:t>
      </w:r>
      <w:r>
        <w:rPr>
          <w:rFonts w:ascii="Microsoft YaHei" w:hAnsi="Microsoft YaHei" w:eastAsia="Microsoft YaHei" w:cs="Microsoft YaHei"/>
          <w:sz w:val="21"/>
          <w:szCs w:val="21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复旦大学附属肿瘤医院</w:t>
      </w:r>
    </w:p>
    <w:p>
      <w:pPr>
        <w:ind w:left="8"/>
        <w:spacing w:before="41" w:line="17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6"/>
        </w:rPr>
        <w:t>编写组长</w:t>
      </w:r>
    </w:p>
    <w:p>
      <w:pPr>
        <w:ind w:left="423"/>
        <w:spacing w:before="42" w:line="182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虞先濬   复旦大学附属肿瘤医院</w:t>
      </w:r>
    </w:p>
    <w:p>
      <w:pPr>
        <w:ind w:left="8"/>
        <w:spacing w:before="39" w:line="17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6"/>
        </w:rPr>
        <w:t>编写秘书</w:t>
      </w:r>
    </w:p>
    <w:p>
      <w:pPr>
        <w:ind w:left="421"/>
        <w:spacing w:before="42" w:line="17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施   思</w:t>
      </w:r>
      <w:r>
        <w:rPr>
          <w:rFonts w:ascii="Microsoft YaHei" w:hAnsi="Microsoft YaHei" w:eastAsia="Microsoft YaHei" w:cs="Microsoft YaHei"/>
          <w:sz w:val="21"/>
          <w:szCs w:val="21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复旦大学附属肿瘤医院</w:t>
      </w:r>
    </w:p>
    <w:p>
      <w:pPr>
        <w:ind w:left="422"/>
        <w:spacing w:before="41" w:line="17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华   杰</w:t>
      </w:r>
      <w:r>
        <w:rPr>
          <w:rFonts w:ascii="Microsoft YaHei" w:hAnsi="Microsoft YaHei" w:eastAsia="Microsoft YaHei" w:cs="Microsoft YaHei"/>
          <w:sz w:val="21"/>
          <w:szCs w:val="21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复旦大学附属肿瘤医院</w:t>
      </w:r>
    </w:p>
    <w:p>
      <w:pPr>
        <w:ind w:left="8"/>
        <w:spacing w:before="40" w:line="17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8"/>
          <w:w w:val="96"/>
        </w:rPr>
        <w:t>编写组成员（按姓氏笔画顺序）</w:t>
      </w:r>
    </w:p>
    <w:p>
      <w:pPr>
        <w:ind w:left="427"/>
        <w:spacing w:before="47" w:line="17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王成锋</w:t>
      </w:r>
      <w:r>
        <w:rPr>
          <w:rFonts w:ascii="Microsoft YaHei" w:hAnsi="Microsoft YaHei" w:eastAsia="Microsoft YaHei" w:cs="Microsoft YaHei"/>
          <w:sz w:val="21"/>
          <w:szCs w:val="21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中国医学科学院肿瘤医院</w:t>
      </w:r>
    </w:p>
    <w:p>
      <w:pPr>
        <w:ind w:left="427" w:right="399"/>
        <w:spacing w:before="38" w:line="20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王理伟   上海交通大学医学院附属仁济医院</w:t>
      </w:r>
      <w:r>
        <w:rPr>
          <w:rFonts w:ascii="Microsoft YaHei" w:hAnsi="Microsoft YaHei" w:eastAsia="Microsoft YaHei" w:cs="Microsoft YaHei"/>
          <w:sz w:val="21"/>
          <w:szCs w:val="21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王   巍</w:t>
      </w:r>
      <w:r>
        <w:rPr>
          <w:rFonts w:ascii="Microsoft YaHei" w:hAnsi="Microsoft YaHei" w:eastAsia="Microsoft YaHei" w:cs="Microsoft YaHei"/>
          <w:sz w:val="21"/>
          <w:szCs w:val="21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复旦大学附属肿瘤医院</w:t>
      </w:r>
    </w:p>
    <w:p>
      <w:pPr>
        <w:ind w:left="451"/>
        <w:spacing w:before="1" w:line="17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>田伯乐</w:t>
      </w:r>
      <w:r>
        <w:rPr>
          <w:rFonts w:ascii="Microsoft YaHei" w:hAnsi="Microsoft YaHei" w:eastAsia="Microsoft YaHei" w:cs="Microsoft YaHei"/>
          <w:sz w:val="21"/>
          <w:szCs w:val="21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10"/>
        </w:rPr>
        <w:t>四川大学华西医院</w:t>
      </w:r>
    </w:p>
    <w:p>
      <w:pPr>
        <w:ind w:left="422"/>
        <w:spacing w:before="39" w:line="181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刘大伟</w:t>
      </w:r>
      <w:r>
        <w:rPr>
          <w:rFonts w:ascii="Microsoft YaHei" w:hAnsi="Microsoft YaHei" w:eastAsia="Microsoft YaHei" w:cs="Microsoft YaHei"/>
          <w:sz w:val="21"/>
          <w:szCs w:val="21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黑龙江省医院</w:t>
      </w:r>
    </w:p>
    <w:p>
      <w:pPr>
        <w:ind w:left="422"/>
        <w:spacing w:before="39" w:line="17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刘   亮</w:t>
      </w:r>
      <w:r>
        <w:rPr>
          <w:rFonts w:ascii="Microsoft YaHei" w:hAnsi="Microsoft YaHei" w:eastAsia="Microsoft YaHei" w:cs="Microsoft YaHei"/>
          <w:sz w:val="21"/>
          <w:szCs w:val="21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复旦大学附属中山医院</w:t>
      </w:r>
    </w:p>
    <w:p>
      <w:pPr>
        <w:ind w:left="422" w:right="399"/>
        <w:spacing w:before="38" w:line="20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刘颖斌   上海交通大学医学院附属仁济医院</w:t>
      </w:r>
      <w:r>
        <w:rPr>
          <w:rFonts w:ascii="Microsoft YaHei" w:hAnsi="Microsoft YaHei" w:eastAsia="Microsoft YaHei" w:cs="Microsoft YaHei"/>
          <w:sz w:val="21"/>
          <w:szCs w:val="21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孙   备</w:t>
      </w:r>
      <w:r>
        <w:rPr>
          <w:rFonts w:ascii="Microsoft YaHei" w:hAnsi="Microsoft YaHei" w:eastAsia="Microsoft YaHei" w:cs="Microsoft YaHei"/>
          <w:sz w:val="21"/>
          <w:szCs w:val="21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哈尔滨医科大学附属第一医院</w:t>
      </w:r>
    </w:p>
    <w:p>
      <w:pPr>
        <w:ind w:left="423"/>
        <w:spacing w:before="1" w:line="17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牟一平</w:t>
      </w:r>
      <w:r>
        <w:rPr>
          <w:rFonts w:ascii="Microsoft YaHei" w:hAnsi="Microsoft YaHei" w:eastAsia="Microsoft YaHei" w:cs="Microsoft YaHei"/>
          <w:sz w:val="21"/>
          <w:szCs w:val="21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浙江省人民医院</w:t>
      </w:r>
    </w:p>
    <w:p>
      <w:pPr>
        <w:ind w:left="423"/>
        <w:spacing w:before="40" w:line="17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麦</w:t>
      </w:r>
      <w:r>
        <w:rPr>
          <w:rFonts w:ascii="Microsoft YaHei" w:hAnsi="Microsoft YaHei" w:eastAsia="Microsoft YaHei" w:cs="Microsoft YaHei"/>
          <w:sz w:val="21"/>
          <w:szCs w:val="21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刚</w:t>
      </w:r>
      <w:r>
        <w:rPr>
          <w:rFonts w:ascii="Microsoft YaHei" w:hAnsi="Microsoft YaHei" w:eastAsia="Microsoft YaHei" w:cs="Microsoft YaHei"/>
          <w:sz w:val="21"/>
          <w:szCs w:val="21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德阳市人民医院</w:t>
      </w:r>
    </w:p>
    <w:p>
      <w:pPr>
        <w:ind w:left="422"/>
        <w:spacing w:before="42" w:line="17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李升平</w:t>
      </w:r>
      <w:r>
        <w:rPr>
          <w:rFonts w:ascii="Microsoft YaHei" w:hAnsi="Microsoft YaHei" w:eastAsia="Microsoft YaHei" w:cs="Microsoft YaHei"/>
          <w:sz w:val="21"/>
          <w:szCs w:val="21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中山大学附属肿瘤医院</w:t>
      </w:r>
    </w:p>
    <w:p>
      <w:pPr>
        <w:ind w:left="422"/>
        <w:spacing w:before="39" w:line="17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李宜雄</w:t>
      </w:r>
      <w:r>
        <w:rPr>
          <w:rFonts w:ascii="Microsoft YaHei" w:hAnsi="Microsoft YaHei" w:eastAsia="Microsoft YaHei" w:cs="Microsoft YaHei"/>
          <w:sz w:val="21"/>
          <w:szCs w:val="21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中南大学湘雅医院</w:t>
      </w:r>
    </w:p>
    <w:p>
      <w:pPr>
        <w:ind w:left="423"/>
        <w:spacing w:before="40" w:line="17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杨尹默   北京大学第一医院</w:t>
      </w:r>
    </w:p>
    <w:p>
      <w:pPr>
        <w:ind w:left="419" w:firstLine="3"/>
        <w:spacing w:before="41" w:line="20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吴河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水   华中科技大学同济医学院附属协和医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院</w:t>
      </w:r>
      <w:r>
        <w:rPr>
          <w:rFonts w:ascii="Microsoft YaHei" w:hAnsi="Microsoft YaHei" w:eastAsia="Microsoft YaHei" w:cs="Microsoft YaHei"/>
          <w:sz w:val="21"/>
          <w:szCs w:val="21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余</w:t>
      </w:r>
      <w:r>
        <w:rPr>
          <w:rFonts w:ascii="Microsoft YaHei" w:hAnsi="Microsoft YaHei" w:eastAsia="Microsoft YaHei" w:cs="Microsoft YaHei"/>
          <w:sz w:val="21"/>
          <w:szCs w:val="21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枭</w:t>
      </w:r>
      <w:r>
        <w:rPr>
          <w:rFonts w:ascii="Microsoft YaHei" w:hAnsi="Microsoft YaHei" w:eastAsia="Microsoft YaHei" w:cs="Microsoft YaHei"/>
          <w:sz w:val="21"/>
          <w:szCs w:val="21"/>
          <w:spacing w:val="12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中南大学湘雅三医院</w:t>
      </w:r>
    </w:p>
    <w:p>
      <w:pPr>
        <w:ind w:left="434" w:right="399" w:hanging="9"/>
        <w:spacing w:line="2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沈柏用   上海交通大学医学院附属瑞金医院</w:t>
      </w:r>
      <w:r>
        <w:rPr>
          <w:rFonts w:ascii="Microsoft YaHei" w:hAnsi="Microsoft YaHei" w:eastAsia="Microsoft YaHei" w:cs="Microsoft YaHei"/>
          <w:sz w:val="21"/>
          <w:szCs w:val="21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6"/>
          <w:w w:val="99"/>
        </w:rPr>
        <w:t>陈</w:t>
      </w:r>
      <w:r>
        <w:rPr>
          <w:rFonts w:ascii="Microsoft YaHei" w:hAnsi="Microsoft YaHei" w:eastAsia="Microsoft YaHei" w:cs="Microsoft YaHei"/>
          <w:sz w:val="21"/>
          <w:szCs w:val="21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6"/>
          <w:w w:val="99"/>
        </w:rPr>
        <w:t>洁</w:t>
      </w:r>
      <w:r>
        <w:rPr>
          <w:rFonts w:ascii="Microsoft YaHei" w:hAnsi="Microsoft YaHei" w:eastAsia="Microsoft YaHei" w:cs="Microsoft YaHei"/>
          <w:sz w:val="21"/>
          <w:szCs w:val="21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6"/>
          <w:w w:val="99"/>
        </w:rPr>
        <w:t>复旦大学附属肿瘤医院</w:t>
      </w:r>
    </w:p>
    <w:p>
      <w:pPr>
        <w:ind w:left="423" w:firstLine="2"/>
        <w:spacing w:before="2" w:line="2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赵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 xml:space="preserve">  刚</w:t>
      </w:r>
      <w:r>
        <w:rPr>
          <w:rFonts w:ascii="Microsoft YaHei" w:hAnsi="Microsoft YaHei" w:eastAsia="Microsoft YaHei" w:cs="Microsoft YaHei"/>
          <w:sz w:val="21"/>
          <w:szCs w:val="21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华中科技大学同济医学院附属协和医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院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徐晓武   复旦大学附属肿瘤医院</w:t>
      </w:r>
    </w:p>
    <w:p>
      <w:pPr>
        <w:ind w:left="4" w:right="2" w:firstLine="421"/>
        <w:spacing w:before="2" w:line="2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黄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 xml:space="preserve">   强    中国科学技术大学附属第一医院（安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徽</w:t>
      </w:r>
      <w:r>
        <w:rPr>
          <w:rFonts w:ascii="Microsoft YaHei" w:hAnsi="Microsoft YaHei" w:eastAsia="Microsoft YaHei" w:cs="Microsoft YaHei"/>
          <w:sz w:val="21"/>
          <w:szCs w:val="21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9"/>
        </w:rPr>
        <w:t>省立医院）</w:t>
      </w:r>
    </w:p>
    <w:p>
      <w:pPr>
        <w:ind w:left="421" w:right="807" w:firstLine="2"/>
        <w:spacing w:before="2" w:line="20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梁廷波   浙江大学医学院附属第一医院</w:t>
      </w:r>
      <w:r>
        <w:rPr>
          <w:rFonts w:ascii="Microsoft YaHei" w:hAnsi="Microsoft YaHei" w:eastAsia="Microsoft YaHei" w:cs="Microsoft YaHei"/>
          <w:sz w:val="21"/>
          <w:szCs w:val="21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廖</w:t>
      </w:r>
      <w:r>
        <w:rPr>
          <w:rFonts w:ascii="Microsoft YaHei" w:hAnsi="Microsoft YaHei" w:eastAsia="Microsoft YaHei" w:cs="Microsoft YaHei"/>
          <w:sz w:val="21"/>
          <w:szCs w:val="21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泉</w:t>
      </w:r>
      <w:r>
        <w:rPr>
          <w:rFonts w:ascii="Microsoft YaHei" w:hAnsi="Microsoft YaHei" w:eastAsia="Microsoft YaHei" w:cs="Microsoft YaHei"/>
          <w:sz w:val="21"/>
          <w:szCs w:val="21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北京协和医院</w:t>
      </w:r>
    </w:p>
    <w:p>
      <w:pPr>
        <w:ind w:left="421"/>
        <w:spacing w:before="1" w:line="17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谭   广</w:t>
      </w:r>
      <w:r>
        <w:rPr>
          <w:rFonts w:ascii="Microsoft YaHei" w:hAnsi="Microsoft YaHei" w:eastAsia="Microsoft YaHei" w:cs="Microsoft YaHei"/>
          <w:sz w:val="21"/>
          <w:szCs w:val="21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大连医科大学附属第一医院</w:t>
      </w:r>
    </w:p>
    <w:p>
      <w:pPr>
        <w:ind w:left="3"/>
        <w:spacing w:before="41" w:line="17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4"/>
        </w:rPr>
        <w:t>执笔人</w:t>
      </w:r>
    </w:p>
    <w:p>
      <w:pPr>
        <w:ind w:left="423"/>
        <w:spacing w:before="41" w:line="178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徐</w:t>
      </w:r>
      <w:r>
        <w:rPr>
          <w:rFonts w:ascii="Microsoft YaHei" w:hAnsi="Microsoft YaHei" w:eastAsia="Microsoft YaHei" w:cs="Microsoft YaHei"/>
          <w:sz w:val="21"/>
          <w:szCs w:val="21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近</w:t>
      </w:r>
      <w:r>
        <w:rPr>
          <w:rFonts w:ascii="Microsoft YaHei" w:hAnsi="Microsoft YaHei" w:eastAsia="Microsoft YaHei" w:cs="Microsoft YaHei"/>
          <w:sz w:val="21"/>
          <w:szCs w:val="21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复旦大学附属肿瘤医院</w:t>
      </w:r>
    </w:p>
    <w:p>
      <w:pPr>
        <w:ind w:left="2006"/>
        <w:spacing w:before="75" w:line="222" w:lineRule="auto"/>
        <w:rPr>
          <w:rFonts w:ascii="SimHei" w:hAnsi="SimHei" w:eastAsia="SimHei" w:cs="SimHei"/>
          <w:sz w:val="18"/>
          <w:szCs w:val="18"/>
        </w:rPr>
      </w:pPr>
      <w:bookmarkStart w:name="bookmark69" w:id="5"/>
      <w:bookmarkEnd w:id="5"/>
      <w:r>
        <w:rPr>
          <w:rFonts w:ascii="SimHei" w:hAnsi="SimHei" w:eastAsia="SimHei" w:cs="SimHei"/>
          <w:sz w:val="18"/>
          <w:szCs w:val="18"/>
          <w:spacing w:val="-5"/>
        </w:rPr>
        <w:t>参考文献</w:t>
      </w:r>
    </w:p>
    <w:p>
      <w:pPr>
        <w:pStyle w:val="BodyText"/>
        <w:ind w:left="360" w:right="4" w:hanging="361"/>
        <w:spacing w:before="43" w:line="302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[1]     Khalaf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2"/>
        </w:rPr>
        <w:t>N,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2"/>
        </w:rPr>
        <w:t>El-Serag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HB,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Abrams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HR,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2"/>
        </w:rPr>
        <w:t>Burden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Pancreatic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Can-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cer: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1"/>
        </w:rPr>
        <w:t>From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1"/>
        </w:rPr>
        <w:t>Epidemiology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1"/>
        </w:rPr>
        <w:t>Practice[J].</w:t>
      </w:r>
      <w:r>
        <w:rPr>
          <w:sz w:val="16"/>
          <w:szCs w:val="16"/>
          <w:spacing w:val="10"/>
        </w:rPr>
        <w:t xml:space="preserve"> </w:t>
      </w:r>
      <w:hyperlink w:history="true" r:id="rId16">
        <w:r>
          <w:rPr>
            <w:sz w:val="16"/>
            <w:szCs w:val="16"/>
            <w:spacing w:val="-1"/>
          </w:rPr>
          <w:t>Clin</w:t>
        </w:r>
        <w:r>
          <w:rPr>
            <w:sz w:val="16"/>
            <w:szCs w:val="16"/>
            <w:spacing w:val="17"/>
            <w:w w:val="101"/>
          </w:rPr>
          <w:t xml:space="preserve"> </w:t>
        </w:r>
        <w:r>
          <w:rPr>
            <w:sz w:val="16"/>
            <w:szCs w:val="16"/>
            <w:spacing w:val="-1"/>
          </w:rPr>
          <w:t>Gas</w:t>
        </w:r>
        <w:r>
          <w:rPr>
            <w:sz w:val="16"/>
            <w:szCs w:val="16"/>
            <w:spacing w:val="-2"/>
          </w:rPr>
          <w:t>troenterol</w:t>
        </w:r>
        <w:r>
          <w:rPr>
            <w:sz w:val="16"/>
            <w:szCs w:val="16"/>
            <w:spacing w:val="24"/>
          </w:rPr>
          <w:t xml:space="preserve"> </w:t>
        </w:r>
        <w:r>
          <w:rPr>
            <w:sz w:val="16"/>
            <w:szCs w:val="16"/>
            <w:spacing w:val="-2"/>
          </w:rPr>
          <w:t>Hepato</w:t>
        </w:r>
      </w:hyperlink>
      <w:r>
        <w:rPr>
          <w:sz w:val="16"/>
          <w:szCs w:val="16"/>
          <w:spacing w:val="-2"/>
        </w:rPr>
        <w:t>l,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2021,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1"/>
        </w:rPr>
        <w:t>19(5):876-884.</w:t>
      </w:r>
    </w:p>
    <w:p>
      <w:pPr>
        <w:pStyle w:val="BodyText"/>
        <w:ind w:left="357" w:right="4" w:hanging="357"/>
        <w:spacing w:before="39" w:line="30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[2]     GBD  2017  Pancreatic  Cancer  Collaborators.  The  global,  regional,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national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-1"/>
        </w:rPr>
        <w:t>burden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p</w:t>
      </w:r>
      <w:r>
        <w:rPr>
          <w:sz w:val="16"/>
          <w:szCs w:val="16"/>
          <w:spacing w:val="-2"/>
        </w:rPr>
        <w:t>ancreatic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2"/>
        </w:rPr>
        <w:t>cancer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2"/>
        </w:rPr>
        <w:t>its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2"/>
        </w:rPr>
        <w:t>attributable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risk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factors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-1"/>
        </w:rPr>
        <w:t>in  195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countries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-1"/>
        </w:rPr>
        <w:t>territories,  1990-2</w:t>
      </w:r>
      <w:r>
        <w:rPr>
          <w:sz w:val="16"/>
          <w:szCs w:val="16"/>
          <w:spacing w:val="-2"/>
        </w:rPr>
        <w:t>017: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2"/>
        </w:rPr>
        <w:t>systematic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analysis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-1"/>
        </w:rPr>
        <w:t>the  Global  Burden  of  Disease  Study  2017[J].</w:t>
      </w:r>
      <w:r>
        <w:rPr>
          <w:sz w:val="16"/>
          <w:szCs w:val="16"/>
          <w:spacing w:val="13"/>
          <w:w w:val="101"/>
        </w:rPr>
        <w:t xml:space="preserve"> </w:t>
      </w:r>
      <w:hyperlink w:history="true" r:id="rId17">
        <w:r>
          <w:rPr>
            <w:sz w:val="16"/>
            <w:szCs w:val="16"/>
            <w:spacing w:val="-1"/>
          </w:rPr>
          <w:t>Lancet</w:t>
        </w:r>
      </w:hyperlink>
    </w:p>
    <w:p>
      <w:pPr>
        <w:spacing w:line="301" w:lineRule="auto"/>
        <w:sectPr>
          <w:type w:val="continuous"/>
          <w:pgSz w:w="12246" w:h="17178"/>
          <w:pgMar w:top="1297" w:right="1199" w:bottom="0" w:left="1121" w:header="928" w:footer="0" w:gutter="0"/>
          <w:cols w:equalWidth="0" w:num="2">
            <w:col w:w="5124" w:space="100"/>
            <w:col w:w="4701" w:space="0"/>
          </w:cols>
        </w:sectPr>
        <w:rPr>
          <w:sz w:val="16"/>
          <w:szCs w:val="16"/>
        </w:rPr>
      </w:pPr>
    </w:p>
    <w:p>
      <w:pPr>
        <w:spacing w:before="95"/>
        <w:rPr/>
      </w:pPr>
      <w:r/>
    </w:p>
    <w:p>
      <w:pPr>
        <w:sectPr>
          <w:headerReference w:type="default" r:id="rId18"/>
          <w:pgSz w:w="12246" w:h="17178"/>
          <w:pgMar w:top="1297" w:right="1202" w:bottom="0" w:left="1205" w:header="928" w:footer="0" w:gutter="0"/>
          <w:cols w:equalWidth="0" w:num="1">
            <w:col w:w="9838" w:space="0"/>
          </w:cols>
        </w:sectPr>
        <w:rPr/>
      </w:pPr>
    </w:p>
    <w:p>
      <w:pPr>
        <w:pStyle w:val="BodyText"/>
        <w:ind w:left="361"/>
        <w:spacing w:before="40" w:line="203" w:lineRule="exact"/>
        <w:rPr>
          <w:sz w:val="16"/>
          <w:szCs w:val="16"/>
        </w:rPr>
      </w:pPr>
      <w:bookmarkStart w:name="bookmark2" w:id="6"/>
      <w:bookmarkEnd w:id="6"/>
      <w:hyperlink w:history="true" r:id="rId17">
        <w:r>
          <w:rPr>
            <w:sz w:val="16"/>
            <w:szCs w:val="16"/>
            <w:spacing w:val="-1"/>
            <w:position w:val="2"/>
          </w:rPr>
          <w:t>Gastroenterol</w:t>
        </w:r>
        <w:r>
          <w:rPr>
            <w:sz w:val="16"/>
            <w:szCs w:val="16"/>
            <w:spacing w:val="32"/>
            <w:position w:val="2"/>
          </w:rPr>
          <w:t xml:space="preserve"> </w:t>
        </w:r>
        <w:r>
          <w:rPr>
            <w:sz w:val="16"/>
            <w:szCs w:val="16"/>
            <w:spacing w:val="-1"/>
            <w:position w:val="2"/>
          </w:rPr>
          <w:t>Hepatol</w:t>
        </w:r>
      </w:hyperlink>
      <w:r>
        <w:rPr>
          <w:sz w:val="16"/>
          <w:szCs w:val="16"/>
          <w:spacing w:val="-1"/>
          <w:position w:val="2"/>
        </w:rPr>
        <w:t>,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2019, 4(12):934-947.</w:t>
      </w:r>
    </w:p>
    <w:p>
      <w:pPr>
        <w:pStyle w:val="BodyText"/>
        <w:ind w:left="362" w:right="342" w:hanging="362"/>
        <w:spacing w:before="54" w:line="294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[3]     Zheng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2"/>
        </w:rPr>
        <w:t>R,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2"/>
        </w:rPr>
        <w:t>Zhang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2"/>
        </w:rPr>
        <w:t>S,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2"/>
        </w:rPr>
        <w:t>Zeng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2"/>
        </w:rPr>
        <w:t>H,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2"/>
        </w:rPr>
        <w:t>Cancer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incidence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mortality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</w:rPr>
        <w:t xml:space="preserve"> </w:t>
      </w:r>
      <w:bookmarkStart w:name="bookmark3" w:id="7"/>
      <w:bookmarkEnd w:id="7"/>
      <w:r>
        <w:rPr>
          <w:sz w:val="16"/>
          <w:szCs w:val="16"/>
          <w:spacing w:val="-1"/>
        </w:rPr>
        <w:t>China,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2016[J]. </w:t>
      </w:r>
      <w:hyperlink w:history="true" r:id="rId19">
        <w:r>
          <w:rPr>
            <w:sz w:val="16"/>
            <w:szCs w:val="16"/>
            <w:spacing w:val="-1"/>
          </w:rPr>
          <w:t>J</w:t>
        </w:r>
        <w:r>
          <w:rPr>
            <w:sz w:val="16"/>
            <w:szCs w:val="16"/>
            <w:spacing w:val="13"/>
            <w:w w:val="101"/>
          </w:rPr>
          <w:t xml:space="preserve"> </w:t>
        </w:r>
        <w:r>
          <w:rPr>
            <w:sz w:val="16"/>
            <w:szCs w:val="16"/>
            <w:spacing w:val="-1"/>
          </w:rPr>
          <w:t>Natl Cancer Cent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2022,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2(1):1-9.</w:t>
      </w:r>
    </w:p>
    <w:p>
      <w:pPr>
        <w:pStyle w:val="BodyText"/>
        <w:ind w:left="362" w:right="343" w:hanging="362"/>
        <w:spacing w:before="39" w:line="294" w:lineRule="auto"/>
        <w:rPr>
          <w:sz w:val="16"/>
          <w:szCs w:val="16"/>
        </w:rPr>
      </w:pPr>
      <w:r>
        <w:rPr>
          <w:sz w:val="16"/>
          <w:szCs w:val="16"/>
        </w:rPr>
        <w:t>[4]     Jemal A,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Siegel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R,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Xu J,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</w:rPr>
        <w:t>al.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</w:rPr>
        <w:t>Cancer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statisti</w:t>
      </w:r>
      <w:r>
        <w:rPr>
          <w:sz w:val="16"/>
          <w:szCs w:val="16"/>
          <w:spacing w:val="-1"/>
        </w:rPr>
        <w:t>cs,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2010[J]. </w:t>
      </w:r>
      <w:hyperlink w:history="true" r:id="rId20">
        <w:r>
          <w:rPr>
            <w:sz w:val="16"/>
            <w:szCs w:val="16"/>
            <w:spacing w:val="-1"/>
          </w:rPr>
          <w:t>CA</w:t>
        </w:r>
        <w:r>
          <w:rPr>
            <w:sz w:val="16"/>
            <w:szCs w:val="16"/>
            <w:spacing w:val="13"/>
          </w:rPr>
          <w:t xml:space="preserve"> </w:t>
        </w:r>
        <w:r>
          <w:rPr>
            <w:sz w:val="16"/>
            <w:szCs w:val="16"/>
            <w:spacing w:val="-1"/>
          </w:rPr>
          <w:t>Cancer</w:t>
        </w:r>
      </w:hyperlink>
      <w:r>
        <w:rPr>
          <w:sz w:val="16"/>
          <w:szCs w:val="16"/>
          <w:spacing w:val="-1"/>
        </w:rPr>
        <w:t>J</w:t>
      </w:r>
      <w:r>
        <w:rPr>
          <w:sz w:val="16"/>
          <w:szCs w:val="16"/>
        </w:rPr>
        <w:t xml:space="preserve"> </w:t>
      </w:r>
      <w:hyperlink w:history="true" r:id="rId20">
        <w:r>
          <w:rPr>
            <w:sz w:val="16"/>
            <w:szCs w:val="16"/>
            <w:spacing w:val="-1"/>
          </w:rPr>
          <w:t>Clin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-1"/>
        </w:rPr>
        <w:t>2010, 60(5):277-300.</w:t>
      </w:r>
    </w:p>
    <w:p>
      <w:pPr>
        <w:pStyle w:val="BodyText"/>
        <w:ind w:left="362" w:right="342" w:hanging="362"/>
        <w:spacing w:before="38" w:line="29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[5]     Siegel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RL,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Miller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KD, Jemal A.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statistics,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-1"/>
        </w:rPr>
        <w:t>2020[J]. </w:t>
      </w:r>
      <w:hyperlink w:history="true" r:id="rId21">
        <w:r>
          <w:rPr>
            <w:sz w:val="16"/>
            <w:szCs w:val="16"/>
            <w:spacing w:val="-1"/>
          </w:rPr>
          <w:t>CA</w:t>
        </w:r>
        <w:r>
          <w:rPr>
            <w:sz w:val="16"/>
            <w:szCs w:val="16"/>
            <w:spacing w:val="9"/>
            <w:w w:val="101"/>
          </w:rPr>
          <w:t xml:space="preserve"> </w:t>
        </w:r>
        <w:r>
          <w:rPr>
            <w:sz w:val="16"/>
            <w:szCs w:val="16"/>
            <w:spacing w:val="-1"/>
          </w:rPr>
          <w:t>Can</w:t>
        </w:r>
        <w:r>
          <w:rPr>
            <w:sz w:val="16"/>
            <w:szCs w:val="16"/>
            <w:spacing w:val="-2"/>
          </w:rPr>
          <w:t>cer J</w:t>
        </w:r>
      </w:hyperlink>
      <w:r>
        <w:rPr>
          <w:sz w:val="16"/>
          <w:szCs w:val="16"/>
        </w:rPr>
        <w:t xml:space="preserve"> </w:t>
      </w:r>
      <w:bookmarkStart w:name="bookmark4" w:id="8"/>
      <w:bookmarkEnd w:id="8"/>
      <w:hyperlink w:history="true" r:id="rId21">
        <w:r>
          <w:rPr>
            <w:sz w:val="16"/>
            <w:szCs w:val="16"/>
            <w:spacing w:val="-1"/>
          </w:rPr>
          <w:t>Clin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2020, 70(1):7-30.</w:t>
      </w:r>
    </w:p>
    <w:p>
      <w:pPr>
        <w:pStyle w:val="BodyText"/>
        <w:ind w:left="362" w:right="355" w:hanging="362"/>
        <w:spacing w:before="39" w:line="294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[6]     Siegel  RL,  Miller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2"/>
        </w:rPr>
        <w:t>KD,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-2"/>
        </w:rPr>
        <w:t>Fuchs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HE,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2"/>
        </w:rPr>
        <w:t>Cancer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2"/>
        </w:rPr>
        <w:t>Statistics,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2021[J]. </w:t>
      </w:r>
      <w:hyperlink w:history="true" r:id="rId22">
        <w:r>
          <w:rPr>
            <w:sz w:val="16"/>
            <w:szCs w:val="16"/>
            <w:spacing w:val="-2"/>
          </w:rPr>
          <w:t>CA</w:t>
        </w:r>
      </w:hyperlink>
      <w:r>
        <w:rPr>
          <w:sz w:val="16"/>
          <w:szCs w:val="16"/>
        </w:rPr>
        <w:t xml:space="preserve"> </w:t>
      </w:r>
      <w:bookmarkStart w:name="bookmark5" w:id="9"/>
      <w:bookmarkEnd w:id="9"/>
      <w:hyperlink w:history="true" r:id="rId22">
        <w:r>
          <w:rPr>
            <w:sz w:val="16"/>
            <w:szCs w:val="16"/>
          </w:rPr>
          <w:t>Cancer J Clin</w:t>
        </w:r>
      </w:hyperlink>
      <w:r>
        <w:rPr>
          <w:sz w:val="16"/>
          <w:szCs w:val="16"/>
        </w:rPr>
        <w:t>,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</w:rPr>
        <w:t>2021, 71</w:t>
      </w:r>
      <w:r>
        <w:rPr>
          <w:sz w:val="16"/>
          <w:szCs w:val="16"/>
          <w:spacing w:val="-1"/>
        </w:rPr>
        <w:t>(1):7-33.</w:t>
      </w:r>
    </w:p>
    <w:p>
      <w:pPr>
        <w:pStyle w:val="BodyText"/>
        <w:ind w:left="357" w:right="343" w:hanging="357"/>
        <w:spacing w:before="39" w:line="302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[7]     Huang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J,  Lok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2"/>
        </w:rPr>
        <w:t>V,  Ngai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2"/>
        </w:rPr>
        <w:t>CH,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2"/>
        </w:rPr>
        <w:t>Worldwide  Burden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2"/>
        </w:rPr>
        <w:t>o</w:t>
      </w:r>
      <w:r>
        <w:rPr>
          <w:sz w:val="16"/>
          <w:szCs w:val="16"/>
          <w:spacing w:val="-3"/>
        </w:rPr>
        <w:t>f,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3"/>
        </w:rPr>
        <w:t>Risk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3"/>
        </w:rPr>
        <w:t>Factors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for,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Trends  in  Pancreatic  Cancer[J]</w:t>
      </w:r>
      <w:r>
        <w:rPr>
          <w:sz w:val="16"/>
          <w:szCs w:val="16"/>
          <w:spacing w:val="-1"/>
        </w:rPr>
        <w:t>. </w:t>
      </w:r>
      <w:hyperlink w:history="true" r:id="rId23">
        <w:r>
          <w:rPr>
            <w:sz w:val="16"/>
            <w:szCs w:val="16"/>
            <w:spacing w:val="-1"/>
          </w:rPr>
          <w:t>Gastroenterology</w:t>
        </w:r>
      </w:hyperlink>
      <w:r>
        <w:rPr>
          <w:sz w:val="16"/>
          <w:szCs w:val="16"/>
          <w:spacing w:val="-1"/>
        </w:rPr>
        <w:t>,  2021,</w:t>
      </w:r>
      <w:r>
        <w:rPr>
          <w:sz w:val="16"/>
          <w:szCs w:val="16"/>
        </w:rPr>
        <w:t xml:space="preserve"> </w:t>
      </w:r>
      <w:bookmarkStart w:name="bookmark6" w:id="10"/>
      <w:bookmarkEnd w:id="10"/>
      <w:r>
        <w:rPr>
          <w:sz w:val="16"/>
          <w:szCs w:val="16"/>
        </w:rPr>
        <w:t>160(3):744-754.</w:t>
      </w:r>
    </w:p>
    <w:p>
      <w:pPr>
        <w:pStyle w:val="BodyText"/>
        <w:ind w:left="360" w:right="342" w:hanging="361"/>
        <w:spacing w:before="40" w:line="30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[8]     Sung  H,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Siegel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-1"/>
        </w:rPr>
        <w:t>RL,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1"/>
        </w:rPr>
        <w:t>R</w:t>
      </w:r>
      <w:r>
        <w:rPr>
          <w:sz w:val="16"/>
          <w:szCs w:val="16"/>
          <w:spacing w:val="-2"/>
        </w:rPr>
        <w:t>osenberg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-2"/>
        </w:rPr>
        <w:t>PS,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-2"/>
        </w:rPr>
        <w:t>Emerging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-2"/>
        </w:rPr>
        <w:t>cancer  trends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among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-1"/>
        </w:rPr>
        <w:t>young  adults  in  the  USA:  analysis  of  a  population-b</w:t>
      </w:r>
      <w:r>
        <w:rPr>
          <w:sz w:val="16"/>
          <w:szCs w:val="16"/>
          <w:spacing w:val="-2"/>
        </w:rPr>
        <w:t>ased</w:t>
      </w:r>
      <w:r>
        <w:rPr>
          <w:sz w:val="16"/>
          <w:szCs w:val="16"/>
        </w:rPr>
        <w:t xml:space="preserve"> </w:t>
      </w:r>
      <w:bookmarkStart w:name="bookmark8" w:id="11"/>
      <w:bookmarkEnd w:id="11"/>
      <w:r>
        <w:rPr>
          <w:sz w:val="16"/>
          <w:szCs w:val="16"/>
          <w:spacing w:val="-1"/>
        </w:rPr>
        <w:t>cancer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registry[J]. </w:t>
      </w:r>
      <w:hyperlink w:history="true" r:id="rId24">
        <w:r>
          <w:rPr>
            <w:sz w:val="16"/>
            <w:szCs w:val="16"/>
            <w:spacing w:val="-1"/>
          </w:rPr>
          <w:t>Lancet</w:t>
        </w:r>
        <w:r>
          <w:rPr>
            <w:sz w:val="16"/>
            <w:szCs w:val="16"/>
            <w:spacing w:val="13"/>
            <w:w w:val="102"/>
          </w:rPr>
          <w:t xml:space="preserve"> </w:t>
        </w:r>
        <w:r>
          <w:rPr>
            <w:sz w:val="16"/>
            <w:szCs w:val="16"/>
            <w:spacing w:val="-1"/>
          </w:rPr>
          <w:t>Public</w:t>
        </w:r>
        <w:r>
          <w:rPr>
            <w:sz w:val="16"/>
            <w:szCs w:val="16"/>
            <w:spacing w:val="13"/>
            <w:w w:val="101"/>
          </w:rPr>
          <w:t xml:space="preserve"> </w:t>
        </w:r>
        <w:r>
          <w:rPr>
            <w:sz w:val="16"/>
            <w:szCs w:val="16"/>
            <w:spacing w:val="-1"/>
          </w:rPr>
          <w:t>Health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2019, 4(3):e137-e147.</w:t>
      </w:r>
    </w:p>
    <w:p>
      <w:pPr>
        <w:pStyle w:val="BodyText"/>
        <w:ind w:left="357" w:right="343" w:hanging="357"/>
        <w:spacing w:before="40" w:line="30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[9]     Zhao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Z,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Yin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-1"/>
        </w:rPr>
        <w:t>Z,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Pu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-1"/>
        </w:rPr>
        <w:t>Z,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al.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As</w:t>
      </w:r>
      <w:r>
        <w:rPr>
          <w:sz w:val="16"/>
          <w:szCs w:val="16"/>
          <w:spacing w:val="-2"/>
        </w:rPr>
        <w:t>sociation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2"/>
        </w:rPr>
        <w:t>between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consumption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2"/>
        </w:rPr>
        <w:t>red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2"/>
        </w:rPr>
        <w:t>processed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-2"/>
        </w:rPr>
        <w:t>meat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-2"/>
        </w:rPr>
        <w:t>pancreatic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2"/>
        </w:rPr>
        <w:t>cancer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2"/>
        </w:rPr>
        <w:t>risk: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-2"/>
        </w:rPr>
        <w:t>systematic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2"/>
        </w:rPr>
        <w:t>re-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view   and   meta-ana</w:t>
      </w:r>
      <w:r>
        <w:rPr>
          <w:sz w:val="16"/>
          <w:szCs w:val="16"/>
          <w:spacing w:val="-1"/>
        </w:rPr>
        <w:t>lysis[J].   </w:t>
      </w:r>
      <w:hyperlink w:history="true" r:id="rId25">
        <w:r>
          <w:rPr>
            <w:sz w:val="16"/>
            <w:szCs w:val="16"/>
            <w:spacing w:val="-1"/>
          </w:rPr>
          <w:t>Clin   Gastroenterol    Hepat</w:t>
        </w:r>
      </w:hyperlink>
      <w:r>
        <w:rPr>
          <w:sz w:val="16"/>
          <w:szCs w:val="16"/>
          <w:spacing w:val="-1"/>
        </w:rPr>
        <w:t>ol,   2017,</w:t>
      </w:r>
      <w:r>
        <w:rPr>
          <w:sz w:val="16"/>
          <w:szCs w:val="16"/>
        </w:rPr>
        <w:t xml:space="preserve"> </w:t>
      </w:r>
      <w:bookmarkStart w:name="bookmark7" w:id="12"/>
      <w:bookmarkEnd w:id="12"/>
      <w:r>
        <w:rPr>
          <w:sz w:val="16"/>
          <w:szCs w:val="16"/>
        </w:rPr>
        <w:t>15(4):486-493.</w:t>
      </w:r>
    </w:p>
    <w:p>
      <w:pPr>
        <w:pStyle w:val="BodyText"/>
        <w:ind w:left="360" w:right="354" w:hanging="361"/>
        <w:spacing w:before="39" w:line="301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[10]   Fu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H,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Zeng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J,  Liu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C,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al.  Fola</w:t>
      </w:r>
      <w:r>
        <w:rPr>
          <w:sz w:val="16"/>
          <w:szCs w:val="16"/>
          <w:spacing w:val="-3"/>
        </w:rPr>
        <w:t>te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3"/>
        </w:rPr>
        <w:t>intake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3"/>
        </w:rPr>
        <w:t>and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3"/>
        </w:rPr>
        <w:t>risk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3"/>
        </w:rPr>
        <w:t>of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3"/>
        </w:rPr>
        <w:t>pancreatic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3"/>
        </w:rPr>
        <w:t>can-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cer: a  systematic  review  and  updated  meta-anal</w:t>
      </w:r>
      <w:r>
        <w:rPr>
          <w:sz w:val="16"/>
          <w:szCs w:val="16"/>
          <w:spacing w:val="-2"/>
        </w:rPr>
        <w:t>ysis  of  epidemi-</w:t>
      </w:r>
      <w:r>
        <w:rPr>
          <w:sz w:val="16"/>
          <w:szCs w:val="16"/>
        </w:rPr>
        <w:t xml:space="preserve"> </w:t>
      </w:r>
      <w:bookmarkStart w:name="bookmark9" w:id="13"/>
      <w:bookmarkEnd w:id="13"/>
      <w:r>
        <w:rPr>
          <w:sz w:val="16"/>
          <w:szCs w:val="16"/>
        </w:rPr>
        <w:t>ological studies[J]. </w:t>
      </w:r>
      <w:hyperlink w:history="true" r:id="rId26">
        <w:r>
          <w:rPr>
            <w:sz w:val="16"/>
            <w:szCs w:val="16"/>
          </w:rPr>
          <w:t>Dig</w:t>
        </w:r>
        <w:r>
          <w:rPr>
            <w:sz w:val="16"/>
            <w:szCs w:val="16"/>
            <w:spacing w:val="14"/>
          </w:rPr>
          <w:t xml:space="preserve"> </w:t>
        </w:r>
        <w:r>
          <w:rPr>
            <w:sz w:val="16"/>
            <w:szCs w:val="16"/>
          </w:rPr>
          <w:t>Dis Sc</w:t>
        </w:r>
        <w:r>
          <w:rPr>
            <w:sz w:val="16"/>
            <w:szCs w:val="16"/>
            <w:spacing w:val="-1"/>
          </w:rPr>
          <w:t>i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2021, 66(7):2368-2379.</w:t>
      </w:r>
    </w:p>
    <w:p>
      <w:pPr>
        <w:pStyle w:val="BodyText"/>
        <w:ind w:left="362" w:right="343" w:hanging="362"/>
        <w:spacing w:before="42" w:line="30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[11]   Morrison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MEW,  Hobika  EG,  Jo</w:t>
      </w:r>
      <w:r>
        <w:rPr>
          <w:sz w:val="16"/>
          <w:szCs w:val="16"/>
          <w:spacing w:val="-2"/>
        </w:rPr>
        <w:t>seph  JM,  et  al.  Cruciferous  veget-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able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consumption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pancreatic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cancer: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case-control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stu</w:t>
      </w:r>
      <w:r>
        <w:rPr>
          <w:sz w:val="16"/>
          <w:szCs w:val="16"/>
          <w:spacing w:val="-2"/>
        </w:rPr>
        <w:t>dy[J].</w:t>
      </w:r>
      <w:r>
        <w:rPr>
          <w:sz w:val="16"/>
          <w:szCs w:val="16"/>
        </w:rPr>
        <w:t xml:space="preserve"> </w:t>
      </w:r>
      <w:bookmarkStart w:name="bookmark10" w:id="14"/>
      <w:bookmarkEnd w:id="14"/>
      <w:hyperlink w:history="true" r:id="rId27">
        <w:r>
          <w:rPr>
            <w:sz w:val="16"/>
            <w:szCs w:val="16"/>
            <w:spacing w:val="-1"/>
          </w:rPr>
          <w:t>Cancer</w:t>
        </w:r>
        <w:r>
          <w:rPr>
            <w:sz w:val="16"/>
            <w:szCs w:val="16"/>
            <w:spacing w:val="23"/>
            <w:w w:val="101"/>
          </w:rPr>
          <w:t xml:space="preserve"> </w:t>
        </w:r>
        <w:r>
          <w:rPr>
            <w:sz w:val="16"/>
            <w:szCs w:val="16"/>
            <w:spacing w:val="-1"/>
          </w:rPr>
          <w:t>Epidemiol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2021, 72:101924.</w:t>
      </w:r>
    </w:p>
    <w:p>
      <w:pPr>
        <w:pStyle w:val="BodyText"/>
        <w:ind w:left="359" w:right="343" w:hanging="359"/>
        <w:spacing w:before="42" w:line="312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[12]   Garcia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2"/>
        </w:rPr>
        <w:t>DI,  Hurst  KE,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-2"/>
        </w:rPr>
        <w:t>Bradshaw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A,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-2"/>
        </w:rPr>
        <w:t>High-</w:t>
      </w:r>
      <w:r>
        <w:rPr>
          <w:sz w:val="16"/>
          <w:szCs w:val="16"/>
          <w:spacing w:val="-3"/>
        </w:rPr>
        <w:t>fat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3"/>
        </w:rPr>
        <w:t>diet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3"/>
        </w:rPr>
        <w:t>drives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3"/>
        </w:rPr>
        <w:t>an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3"/>
        </w:rPr>
        <w:t>ag-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gressive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pancreatic cancer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phenotype[J]. </w:t>
      </w:r>
      <w:hyperlink w:history="true" r:id="rId28">
        <w:r>
          <w:rPr>
            <w:sz w:val="16"/>
            <w:szCs w:val="16"/>
            <w:spacing w:val="-1"/>
          </w:rPr>
          <w:t>J Surg</w:t>
        </w:r>
        <w:r>
          <w:rPr>
            <w:sz w:val="16"/>
            <w:szCs w:val="16"/>
            <w:spacing w:val="10"/>
          </w:rPr>
          <w:t xml:space="preserve"> </w:t>
        </w:r>
        <w:r>
          <w:rPr>
            <w:sz w:val="16"/>
            <w:szCs w:val="16"/>
            <w:spacing w:val="-1"/>
          </w:rPr>
          <w:t>Res</w:t>
        </w:r>
      </w:hyperlink>
      <w:r>
        <w:rPr>
          <w:sz w:val="16"/>
          <w:szCs w:val="16"/>
          <w:spacing w:val="-1"/>
        </w:rPr>
        <w:t>, 2021, 264:16</w:t>
      </w:r>
      <w:r>
        <w:rPr>
          <w:sz w:val="16"/>
          <w:szCs w:val="16"/>
          <w:spacing w:val="-2"/>
        </w:rPr>
        <w:t>3-</w:t>
      </w:r>
      <w:r>
        <w:rPr>
          <w:sz w:val="16"/>
          <w:szCs w:val="16"/>
        </w:rPr>
        <w:t xml:space="preserve"> </w:t>
      </w:r>
      <w:bookmarkStart w:name="bookmark11" w:id="15"/>
      <w:bookmarkEnd w:id="15"/>
      <w:r>
        <w:rPr>
          <w:sz w:val="16"/>
          <w:szCs w:val="16"/>
          <w:spacing w:val="-1"/>
        </w:rPr>
        <w:t>172.</w:t>
      </w:r>
    </w:p>
    <w:p>
      <w:pPr>
        <w:pStyle w:val="BodyText"/>
        <w:ind w:left="365" w:right="341" w:hanging="366"/>
        <w:spacing w:before="13" w:line="301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[13]   Behrens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2"/>
        </w:rPr>
        <w:t>G,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Jochem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C,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-2"/>
        </w:rPr>
        <w:t>Schmid  D,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2"/>
        </w:rPr>
        <w:t>Physical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activity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2"/>
        </w:rPr>
        <w:t>risk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pancreatic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cancer: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systematic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</w:rPr>
        <w:t>review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an</w:t>
      </w:r>
      <w:r>
        <w:rPr>
          <w:sz w:val="16"/>
          <w:szCs w:val="16"/>
          <w:spacing w:val="-1"/>
        </w:rPr>
        <w:t>d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1"/>
        </w:rPr>
        <w:t>meta-analysis[J].</w:t>
      </w:r>
      <w:r>
        <w:rPr>
          <w:sz w:val="16"/>
          <w:szCs w:val="16"/>
          <w:spacing w:val="11"/>
          <w:w w:val="101"/>
        </w:rPr>
        <w:t xml:space="preserve"> </w:t>
      </w:r>
      <w:hyperlink w:history="true" r:id="rId29">
        <w:r>
          <w:rPr>
            <w:sz w:val="16"/>
            <w:szCs w:val="16"/>
            <w:spacing w:val="-1"/>
          </w:rPr>
          <w:t>Eur</w:t>
        </w:r>
      </w:hyperlink>
      <w:r>
        <w:rPr>
          <w:sz w:val="16"/>
          <w:szCs w:val="16"/>
          <w:spacing w:val="-1"/>
        </w:rPr>
        <w:t>J</w:t>
      </w:r>
      <w:r>
        <w:rPr>
          <w:sz w:val="16"/>
          <w:szCs w:val="16"/>
        </w:rPr>
        <w:t xml:space="preserve"> </w:t>
      </w:r>
      <w:bookmarkStart w:name="bookmark12" w:id="16"/>
      <w:bookmarkEnd w:id="16"/>
      <w:hyperlink w:history="true" r:id="rId29">
        <w:r>
          <w:rPr>
            <w:sz w:val="16"/>
            <w:szCs w:val="16"/>
            <w:spacing w:val="-1"/>
          </w:rPr>
          <w:t>Epidemiol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2015, 30(4):279-298.</w:t>
      </w:r>
    </w:p>
    <w:p>
      <w:pPr>
        <w:pStyle w:val="BodyText"/>
        <w:ind w:left="362" w:right="343" w:hanging="363"/>
        <w:spacing w:before="40" w:line="302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[14]   Xiao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Q, Jones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2"/>
        </w:rPr>
        <w:t>RR, James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2"/>
        </w:rPr>
        <w:t>P,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2"/>
        </w:rPr>
        <w:t>Light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at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night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risk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pan</w:t>
      </w:r>
      <w:r>
        <w:rPr>
          <w:sz w:val="16"/>
          <w:szCs w:val="16"/>
          <w:spacing w:val="-3"/>
        </w:rPr>
        <w:t>creat-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ic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</w:rPr>
        <w:t>cancer  in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the  NIH-AARP  diet  and  health  study[J</w:t>
      </w:r>
      <w:r>
        <w:rPr>
          <w:sz w:val="16"/>
          <w:szCs w:val="16"/>
          <w:spacing w:val="-1"/>
        </w:rPr>
        <w:t>].  </w:t>
      </w:r>
      <w:hyperlink w:history="true" r:id="rId30">
        <w:r>
          <w:rPr>
            <w:sz w:val="16"/>
            <w:szCs w:val="16"/>
            <w:spacing w:val="-1"/>
          </w:rPr>
          <w:t>Cancer</w:t>
        </w:r>
      </w:hyperlink>
      <w:r>
        <w:rPr>
          <w:sz w:val="16"/>
          <w:szCs w:val="16"/>
          <w:spacing w:val="-1"/>
        </w:rPr>
        <w:t>Res,</w:t>
      </w:r>
      <w:r>
        <w:rPr>
          <w:sz w:val="16"/>
          <w:szCs w:val="16"/>
        </w:rPr>
        <w:t xml:space="preserve"> </w:t>
      </w:r>
      <w:bookmarkStart w:name="bookmark13" w:id="17"/>
      <w:bookmarkEnd w:id="17"/>
      <w:r>
        <w:rPr>
          <w:sz w:val="16"/>
          <w:szCs w:val="16"/>
        </w:rPr>
        <w:t>2021, 81(6):1616-1622.</w:t>
      </w:r>
    </w:p>
    <w:p>
      <w:pPr>
        <w:pStyle w:val="BodyText"/>
        <w:ind w:left="359" w:right="348" w:hanging="359"/>
        <w:spacing w:before="41" w:line="305" w:lineRule="auto"/>
        <w:rPr>
          <w:sz w:val="16"/>
          <w:szCs w:val="16"/>
        </w:rPr>
      </w:pPr>
      <w:r>
        <w:rPr>
          <w:sz w:val="16"/>
          <w:szCs w:val="16"/>
        </w:rPr>
        <w:t>[15]   American Gastroenterology Association. American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</w:rPr>
        <w:t>ga</w:t>
      </w:r>
      <w:r>
        <w:rPr>
          <w:sz w:val="16"/>
          <w:szCs w:val="16"/>
          <w:spacing w:val="-1"/>
        </w:rPr>
        <w:t>stroenterolo-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gical association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-1"/>
        </w:rPr>
        <w:t>institute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guideline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1"/>
        </w:rPr>
        <w:t>on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diagnosis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1"/>
        </w:rPr>
        <w:t>manag</w:t>
      </w:r>
      <w:r>
        <w:rPr>
          <w:sz w:val="16"/>
          <w:szCs w:val="16"/>
          <w:spacing w:val="-2"/>
        </w:rPr>
        <w:t>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ment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asymptomatic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neoplastic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1"/>
        </w:rPr>
        <w:t>pancreatic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cysts[J]. </w:t>
      </w:r>
      <w:hyperlink w:history="true" r:id="rId31">
        <w:r>
          <w:rPr>
            <w:sz w:val="16"/>
            <w:szCs w:val="16"/>
            <w:spacing w:val="-1"/>
          </w:rPr>
          <w:t>Gastroenter-</w:t>
        </w:r>
      </w:hyperlink>
      <w:r>
        <w:rPr>
          <w:sz w:val="16"/>
          <w:szCs w:val="16"/>
        </w:rPr>
        <w:t xml:space="preserve"> </w:t>
      </w:r>
      <w:bookmarkStart w:name="bookmark14" w:id="18"/>
      <w:bookmarkEnd w:id="18"/>
      <w:hyperlink w:history="true" r:id="rId31">
        <w:r>
          <w:rPr>
            <w:sz w:val="16"/>
            <w:szCs w:val="16"/>
            <w:spacing w:val="-1"/>
          </w:rPr>
          <w:t>ology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2015,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148(4):819-822.</w:t>
      </w:r>
    </w:p>
    <w:p>
      <w:pPr>
        <w:pStyle w:val="BodyText"/>
        <w:ind w:left="362" w:right="343" w:hanging="362"/>
        <w:spacing w:before="41" w:line="30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[16]   Kogekar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N,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Diaz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KE, Wei</w:t>
      </w:r>
      <w:r>
        <w:rPr>
          <w:sz w:val="16"/>
          <w:szCs w:val="16"/>
          <w:spacing w:val="-2"/>
        </w:rPr>
        <w:t>nberg AD,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Surveillance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high-risk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-2"/>
        </w:rPr>
        <w:t>in-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dividuals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-1"/>
        </w:rPr>
        <w:t>for   pancreatic   cancer   with   EUS   and  </w:t>
      </w:r>
      <w:r>
        <w:rPr>
          <w:sz w:val="16"/>
          <w:szCs w:val="16"/>
          <w:spacing w:val="-2"/>
        </w:rPr>
        <w:t xml:space="preserve"> MRI:   A   meta-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analysis[J]. </w:t>
      </w:r>
      <w:hyperlink w:history="true" r:id="rId32">
        <w:r>
          <w:rPr>
            <w:sz w:val="16"/>
            <w:szCs w:val="16"/>
          </w:rPr>
          <w:t>Pancreatology</w:t>
        </w:r>
      </w:hyperlink>
      <w:r>
        <w:rPr>
          <w:sz w:val="16"/>
          <w:szCs w:val="16"/>
        </w:rPr>
        <w:t>,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</w:rPr>
        <w:t>20</w:t>
      </w:r>
      <w:r>
        <w:rPr>
          <w:sz w:val="16"/>
          <w:szCs w:val="16"/>
          <w:spacing w:val="-1"/>
        </w:rPr>
        <w:t>20,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20(8):1739-1746.</w:t>
      </w:r>
    </w:p>
    <w:p>
      <w:pPr>
        <w:pStyle w:val="BodyText"/>
        <w:ind w:left="357" w:right="353" w:hanging="357"/>
        <w:spacing w:before="40" w:line="30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[17]   US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Preventive  Services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Task  Force</w:t>
      </w:r>
      <w:r>
        <w:rPr>
          <w:sz w:val="16"/>
          <w:szCs w:val="16"/>
          <w:spacing w:val="-2"/>
        </w:rPr>
        <w:t>.  Screening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-2"/>
        </w:rPr>
        <w:t>for  pancreatic  can-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cer: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US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preventive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services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task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force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reaffirmati</w:t>
      </w:r>
      <w:r>
        <w:rPr>
          <w:sz w:val="16"/>
          <w:szCs w:val="16"/>
          <w:spacing w:val="-2"/>
        </w:rPr>
        <w:t>on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2"/>
        </w:rPr>
        <w:t>recommenda-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tion statement[J]. </w:t>
      </w:r>
      <w:hyperlink w:history="true" r:id="rId33">
        <w:r>
          <w:rPr>
            <w:sz w:val="16"/>
            <w:szCs w:val="16"/>
          </w:rPr>
          <w:t>JAMA</w:t>
        </w:r>
      </w:hyperlink>
      <w:r>
        <w:rPr>
          <w:sz w:val="16"/>
          <w:szCs w:val="16"/>
        </w:rPr>
        <w:t>, 2019, 322(5):438-444.</w:t>
      </w:r>
    </w:p>
    <w:p>
      <w:pPr>
        <w:pStyle w:val="BodyText"/>
        <w:ind w:left="360" w:right="343" w:hanging="361"/>
        <w:spacing w:before="40" w:line="30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[18]   International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of the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Pancreas Screening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(CAPS)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consortium.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Management of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1"/>
        </w:rPr>
        <w:t>increased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risk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familial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2"/>
        </w:rPr>
        <w:t>pancreat-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ic cancer: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"/>
        </w:rPr>
        <w:t>updated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"/>
        </w:rPr>
        <w:t>recommendations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1"/>
        </w:rPr>
        <w:t>from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the  Inte</w:t>
      </w:r>
      <w:r>
        <w:rPr>
          <w:sz w:val="16"/>
          <w:szCs w:val="16"/>
          <w:spacing w:val="-2"/>
        </w:rPr>
        <w:t>rnational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2"/>
        </w:rPr>
        <w:t>Can-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cer  of  the  Pancreas  Screening  (CAPS)  Consortium[</w:t>
      </w:r>
      <w:r>
        <w:rPr>
          <w:sz w:val="16"/>
          <w:szCs w:val="16"/>
          <w:spacing w:val="-1"/>
        </w:rPr>
        <w:t>J]. </w:t>
      </w:r>
      <w:hyperlink w:history="true" r:id="rId34">
        <w:r>
          <w:rPr>
            <w:sz w:val="16"/>
            <w:szCs w:val="16"/>
            <w:spacing w:val="-1"/>
          </w:rPr>
          <w:t>Gut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1"/>
        </w:rPr>
        <w:t>2020,</w:t>
      </w:r>
      <w:r>
        <w:rPr>
          <w:sz w:val="16"/>
          <w:szCs w:val="16"/>
          <w:spacing w:val="1"/>
        </w:rPr>
        <w:t xml:space="preserve"> </w:t>
      </w:r>
      <w:bookmarkStart w:name="bookmark15" w:id="19"/>
      <w:bookmarkEnd w:id="19"/>
      <w:r>
        <w:rPr>
          <w:sz w:val="16"/>
          <w:szCs w:val="16"/>
        </w:rPr>
        <w:t>69(1):7-17.</w:t>
      </w:r>
    </w:p>
    <w:p>
      <w:pPr>
        <w:pStyle w:val="BodyText"/>
        <w:ind w:left="365" w:right="343" w:hanging="366"/>
        <w:spacing w:before="40" w:line="30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[19]   Aslanian  HR,  Lee  JH,  Canto  MI.  AGA  </w:t>
      </w:r>
      <w:r>
        <w:rPr>
          <w:sz w:val="16"/>
          <w:szCs w:val="16"/>
          <w:spacing w:val="-2"/>
        </w:rPr>
        <w:t>Clinical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2"/>
        </w:rPr>
        <w:t>practice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2"/>
        </w:rPr>
        <w:t>update  on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pancreas    cancer </w:t>
      </w:r>
      <w:r>
        <w:rPr>
          <w:sz w:val="16"/>
          <w:szCs w:val="16"/>
          <w:spacing w:val="-1"/>
        </w:rPr>
        <w:t xml:space="preserve">   screening    in     high-risk    individuals:    expert</w:t>
      </w:r>
      <w:r>
        <w:rPr>
          <w:sz w:val="16"/>
          <w:szCs w:val="16"/>
        </w:rPr>
        <w:t xml:space="preserve"> </w:t>
      </w:r>
      <w:bookmarkStart w:name="bookmark16" w:id="20"/>
      <w:bookmarkEnd w:id="20"/>
      <w:r>
        <w:rPr>
          <w:sz w:val="16"/>
          <w:szCs w:val="16"/>
        </w:rPr>
        <w:t>Review[J]. </w:t>
      </w:r>
      <w:hyperlink w:history="true" r:id="rId35">
        <w:r>
          <w:rPr>
            <w:sz w:val="16"/>
            <w:szCs w:val="16"/>
          </w:rPr>
          <w:t>Gastroen</w:t>
        </w:r>
        <w:r>
          <w:rPr>
            <w:sz w:val="16"/>
            <w:szCs w:val="16"/>
            <w:spacing w:val="-1"/>
          </w:rPr>
          <w:t>terology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1"/>
        </w:rPr>
        <w:t>2020,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159(1):358-362.</w:t>
      </w:r>
    </w:p>
    <w:p>
      <w:pPr>
        <w:pStyle w:val="BodyText"/>
        <w:ind w:left="362" w:right="342" w:hanging="362"/>
        <w:spacing w:before="40" w:line="302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[20]   Poruk  KE,  Gay  DZ,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-2"/>
        </w:rPr>
        <w:t>Brown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2"/>
        </w:rPr>
        <w:t>K,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2"/>
        </w:rPr>
        <w:t>al</w:t>
      </w:r>
      <w:r>
        <w:rPr>
          <w:sz w:val="16"/>
          <w:szCs w:val="16"/>
          <w:spacing w:val="-3"/>
        </w:rPr>
        <w:t>.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3"/>
        </w:rPr>
        <w:t>The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3"/>
        </w:rPr>
        <w:t>clinical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3"/>
        </w:rPr>
        <w:t>utility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3"/>
        </w:rPr>
        <w:t>of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3"/>
        </w:rPr>
        <w:t>CA19-9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-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pancreatic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adenocarcinoma: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diagnostic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1"/>
        </w:rPr>
        <w:t>prognostic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updates[J].</w:t>
      </w:r>
      <w:r>
        <w:rPr>
          <w:sz w:val="16"/>
          <w:szCs w:val="16"/>
        </w:rPr>
        <w:t xml:space="preserve"> </w:t>
      </w:r>
      <w:bookmarkStart w:name="bookmark70" w:id="21"/>
      <w:bookmarkEnd w:id="21"/>
      <w:r>
        <w:rPr>
          <w:sz w:val="16"/>
          <w:szCs w:val="16"/>
          <w:spacing w:val="-2"/>
        </w:rPr>
        <w:t>Curr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2"/>
        </w:rPr>
        <w:t>Mol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2"/>
        </w:rPr>
        <w:t>Med,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2013,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2"/>
        </w:rPr>
        <w:t>13(3):340-351.</w:t>
      </w:r>
    </w:p>
    <w:p>
      <w:pPr>
        <w:pStyle w:val="BodyText"/>
        <w:spacing w:before="40" w:line="203" w:lineRule="exact"/>
        <w:rPr>
          <w:sz w:val="16"/>
          <w:szCs w:val="16"/>
        </w:rPr>
      </w:pPr>
      <w:r>
        <w:rPr>
          <w:sz w:val="16"/>
          <w:szCs w:val="16"/>
          <w:spacing w:val="-2"/>
          <w:position w:val="2"/>
        </w:rPr>
        <w:t>[21]   Luo  G,</w:t>
      </w:r>
      <w:r>
        <w:rPr>
          <w:sz w:val="16"/>
          <w:szCs w:val="16"/>
          <w:spacing w:val="18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Jin  K,  Deng</w:t>
      </w:r>
      <w:r>
        <w:rPr>
          <w:sz w:val="16"/>
          <w:szCs w:val="16"/>
          <w:spacing w:val="23"/>
          <w:w w:val="102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S,</w:t>
      </w:r>
      <w:r>
        <w:rPr>
          <w:sz w:val="16"/>
          <w:szCs w:val="16"/>
          <w:spacing w:val="25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et</w:t>
      </w:r>
      <w:r>
        <w:rPr>
          <w:sz w:val="16"/>
          <w:szCs w:val="16"/>
          <w:spacing w:val="25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al.  Roles</w:t>
      </w:r>
      <w:r>
        <w:rPr>
          <w:sz w:val="16"/>
          <w:szCs w:val="16"/>
          <w:spacing w:val="25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of</w:t>
      </w:r>
      <w:r>
        <w:rPr>
          <w:sz w:val="16"/>
          <w:szCs w:val="16"/>
          <w:spacing w:val="24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CA19-9</w:t>
      </w:r>
      <w:r>
        <w:rPr>
          <w:sz w:val="16"/>
          <w:szCs w:val="16"/>
          <w:spacing w:val="28"/>
          <w:w w:val="101"/>
          <w:position w:val="2"/>
        </w:rPr>
        <w:t xml:space="preserve"> </w:t>
      </w:r>
      <w:r>
        <w:rPr>
          <w:sz w:val="16"/>
          <w:szCs w:val="16"/>
          <w:spacing w:val="-2"/>
          <w:position w:val="2"/>
        </w:rPr>
        <w:t>i</w:t>
      </w:r>
      <w:r>
        <w:rPr>
          <w:sz w:val="16"/>
          <w:szCs w:val="16"/>
          <w:spacing w:val="-3"/>
          <w:position w:val="2"/>
        </w:rPr>
        <w:t>n  pancreatic</w:t>
      </w:r>
      <w:r>
        <w:rPr>
          <w:sz w:val="16"/>
          <w:szCs w:val="16"/>
          <w:spacing w:val="25"/>
          <w:position w:val="2"/>
        </w:rPr>
        <w:t xml:space="preserve"> </w:t>
      </w:r>
      <w:r>
        <w:rPr>
          <w:sz w:val="16"/>
          <w:szCs w:val="16"/>
          <w:spacing w:val="-3"/>
          <w:position w:val="2"/>
        </w:rPr>
        <w:t>cancer: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62" w:right="1" w:firstLine="4"/>
        <w:spacing w:before="38" w:line="30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biomarker,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-1"/>
        </w:rPr>
        <w:t>predictor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1"/>
        </w:rPr>
        <w:t>promoter[J].</w:t>
      </w:r>
      <w:r>
        <w:rPr>
          <w:sz w:val="16"/>
          <w:szCs w:val="16"/>
          <w:spacing w:val="21"/>
          <w:w w:val="102"/>
        </w:rPr>
        <w:t xml:space="preserve"> </w:t>
      </w:r>
      <w:hyperlink w:history="true" r:id="rId36">
        <w:r>
          <w:rPr>
            <w:sz w:val="16"/>
            <w:szCs w:val="16"/>
            <w:spacing w:val="-1"/>
          </w:rPr>
          <w:t>Bio</w:t>
        </w:r>
        <w:r>
          <w:rPr>
            <w:sz w:val="16"/>
            <w:szCs w:val="16"/>
            <w:spacing w:val="-2"/>
          </w:rPr>
          <w:t>chim  Biophys</w:t>
        </w:r>
        <w:r>
          <w:rPr>
            <w:sz w:val="16"/>
            <w:szCs w:val="16"/>
            <w:spacing w:val="24"/>
            <w:w w:val="101"/>
          </w:rPr>
          <w:t xml:space="preserve"> </w:t>
        </w:r>
        <w:r>
          <w:rPr>
            <w:sz w:val="16"/>
            <w:szCs w:val="16"/>
            <w:spacing w:val="-2"/>
          </w:rPr>
          <w:t>Acta  Re</w:t>
        </w:r>
      </w:hyperlink>
      <w:r>
        <w:rPr>
          <w:sz w:val="16"/>
          <w:szCs w:val="16"/>
          <w:spacing w:val="-2"/>
        </w:rPr>
        <w:t>v</w:t>
      </w:r>
      <w:r>
        <w:rPr>
          <w:sz w:val="16"/>
          <w:szCs w:val="16"/>
        </w:rPr>
        <w:t xml:space="preserve"> </w:t>
      </w:r>
      <w:bookmarkStart w:name="bookmark17" w:id="22"/>
      <w:bookmarkEnd w:id="22"/>
      <w:hyperlink w:history="true" r:id="rId36">
        <w:r>
          <w:rPr>
            <w:sz w:val="16"/>
            <w:szCs w:val="16"/>
            <w:spacing w:val="-1"/>
          </w:rPr>
          <w:t>Cancer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2021,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1875(2):188409.</w:t>
      </w:r>
    </w:p>
    <w:p>
      <w:pPr>
        <w:pStyle w:val="BodyText"/>
        <w:ind w:left="362" w:right="8" w:hanging="363"/>
        <w:spacing w:before="17" w:line="302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[22]   Luo G,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2"/>
        </w:rPr>
        <w:t>Guo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2"/>
        </w:rPr>
        <w:t>M,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Jin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2"/>
        </w:rPr>
        <w:t>K,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2"/>
        </w:rPr>
        <w:t>Optimize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2"/>
        </w:rPr>
        <w:t>CA19-9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2"/>
        </w:rPr>
        <w:t>detecting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2"/>
        </w:rPr>
        <w:t>pancreat-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ic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-1"/>
        </w:rPr>
        <w:t>by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-1"/>
        </w:rPr>
        <w:t>Lewis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1"/>
        </w:rPr>
        <w:t>Secretor</w:t>
      </w:r>
      <w:r>
        <w:rPr>
          <w:sz w:val="16"/>
          <w:szCs w:val="16"/>
          <w:spacing w:val="9"/>
          <w:w w:val="101"/>
        </w:rPr>
        <w:t xml:space="preserve">  </w:t>
      </w:r>
      <w:r>
        <w:rPr>
          <w:sz w:val="16"/>
          <w:szCs w:val="16"/>
          <w:spacing w:val="-1"/>
        </w:rPr>
        <w:t>geno</w:t>
      </w:r>
      <w:r>
        <w:rPr>
          <w:sz w:val="16"/>
          <w:szCs w:val="16"/>
          <w:spacing w:val="-2"/>
        </w:rPr>
        <w:t>typing[J].</w:t>
      </w:r>
      <w:r>
        <w:rPr>
          <w:sz w:val="16"/>
          <w:szCs w:val="16"/>
          <w:spacing w:val="14"/>
        </w:rPr>
        <w:t xml:space="preserve"> </w:t>
      </w:r>
      <w:hyperlink w:history="true" r:id="rId37">
        <w:r>
          <w:rPr>
            <w:sz w:val="16"/>
            <w:szCs w:val="16"/>
            <w:spacing w:val="-2"/>
          </w:rPr>
          <w:t>Pancreatology,</w:t>
        </w:r>
      </w:hyperlink>
      <w:r>
        <w:rPr>
          <w:sz w:val="16"/>
          <w:szCs w:val="16"/>
        </w:rPr>
        <w:t xml:space="preserve">  </w:t>
      </w:r>
      <w:bookmarkStart w:name="bookmark19" w:id="23"/>
      <w:bookmarkEnd w:id="23"/>
      <w:r>
        <w:rPr>
          <w:sz w:val="16"/>
          <w:szCs w:val="16"/>
          <w:spacing w:val="-1"/>
        </w:rPr>
        <w:t>2016,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16(6):1057-1062.</w:t>
      </w:r>
    </w:p>
    <w:p>
      <w:pPr>
        <w:pStyle w:val="BodyText"/>
        <w:ind w:left="357" w:hanging="357"/>
        <w:spacing w:before="39" w:line="301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[23]</w:t>
      </w:r>
      <w:r>
        <w:rPr>
          <w:sz w:val="16"/>
          <w:szCs w:val="16"/>
          <w:spacing w:val="-2"/>
        </w:rPr>
        <w:t xml:space="preserve">   Meng  Q,  Shi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S,  Liang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2"/>
        </w:rPr>
        <w:t>C,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2"/>
        </w:rPr>
        <w:t>al.  Diagnostic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-2"/>
        </w:rPr>
        <w:t>prognostic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2"/>
        </w:rPr>
        <w:t>val</w:t>
      </w:r>
      <w:r>
        <w:rPr>
          <w:sz w:val="16"/>
          <w:szCs w:val="16"/>
          <w:spacing w:val="-3"/>
        </w:rPr>
        <w:t>ue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-3"/>
        </w:rPr>
        <w:t>o</w:t>
      </w:r>
      <w:r>
        <w:rPr>
          <w:sz w:val="16"/>
          <w:szCs w:val="16"/>
          <w:spacing w:val="1"/>
        </w:rPr>
        <w:t>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carcinoembryonic ant</w:t>
      </w:r>
      <w:r>
        <w:rPr>
          <w:sz w:val="16"/>
          <w:szCs w:val="16"/>
          <w:spacing w:val="-1"/>
        </w:rPr>
        <w:t>igen  in  pancreatic  cancer:  a  systematic  re-</w:t>
      </w:r>
      <w:r>
        <w:rPr>
          <w:sz w:val="16"/>
          <w:szCs w:val="16"/>
        </w:rPr>
        <w:t xml:space="preserve">  </w:t>
      </w:r>
      <w:bookmarkStart w:name="bookmark18" w:id="24"/>
      <w:bookmarkEnd w:id="24"/>
      <w:r>
        <w:rPr>
          <w:sz w:val="16"/>
          <w:szCs w:val="16"/>
          <w:spacing w:val="-1"/>
        </w:rPr>
        <w:t>view and meta-analysis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[J]. Onco Targets Ther, 2017, 10:4591-4598.</w:t>
      </w:r>
    </w:p>
    <w:p>
      <w:pPr>
        <w:pStyle w:val="BodyText"/>
        <w:ind w:left="357" w:right="1" w:hanging="357"/>
        <w:spacing w:before="39" w:line="31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[24]   Meng  Q,  Shi  S,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1"/>
        </w:rPr>
        <w:t>Li</w:t>
      </w:r>
      <w:r>
        <w:rPr>
          <w:sz w:val="16"/>
          <w:szCs w:val="16"/>
          <w:spacing w:val="-2"/>
        </w:rPr>
        <w:t>ang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-2"/>
        </w:rPr>
        <w:t>C,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2"/>
        </w:rPr>
        <w:t>Diagnostic  Accuracy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2"/>
        </w:rPr>
        <w:t>CA125-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Based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2"/>
        </w:rPr>
        <w:t>Biomarker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2"/>
        </w:rPr>
        <w:t>Panel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2"/>
        </w:rPr>
        <w:t>Patients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2"/>
        </w:rPr>
        <w:t>with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2"/>
        </w:rPr>
        <w:t>Pancreatic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2"/>
        </w:rPr>
        <w:t>Cancer: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2"/>
        </w:rPr>
        <w:t>Sys-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tematic  Review  and  Meta-Analysis[J]. </w:t>
      </w:r>
      <w:hyperlink w:history="true" r:id="rId38">
        <w:r>
          <w:rPr>
            <w:sz w:val="16"/>
            <w:szCs w:val="16"/>
          </w:rPr>
          <w:t>Cancer</w:t>
        </w:r>
      </w:hyperlink>
      <w:r>
        <w:rPr>
          <w:sz w:val="16"/>
          <w:szCs w:val="16"/>
        </w:rPr>
        <w:t>,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2017,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8(17):3615- </w:t>
      </w:r>
      <w:bookmarkStart w:name="bookmark20" w:id="25"/>
      <w:bookmarkEnd w:id="25"/>
      <w:r>
        <w:rPr>
          <w:sz w:val="16"/>
          <w:szCs w:val="16"/>
          <w:spacing w:val="-1"/>
        </w:rPr>
        <w:t>3622.</w:t>
      </w:r>
    </w:p>
    <w:p>
      <w:pPr>
        <w:pStyle w:val="BodyText"/>
        <w:ind w:left="357" w:right="1" w:hanging="357"/>
        <w:spacing w:before="14" w:line="306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[25]   Gu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2"/>
        </w:rPr>
        <w:t>YL,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2"/>
        </w:rPr>
        <w:t>Lan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2"/>
        </w:rPr>
        <w:t>C,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2"/>
        </w:rPr>
        <w:t>Pei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2"/>
        </w:rPr>
        <w:t>H,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Applicative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Value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Serum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2"/>
        </w:rPr>
        <w:t>CA19-9,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2"/>
        </w:rPr>
        <w:t>CEA,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CA125  and  CA242  in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1"/>
        </w:rPr>
        <w:t>diagnosis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1"/>
        </w:rPr>
        <w:t>prognosis  for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pancreatic  cancer  treated   by  concurren</w:t>
      </w:r>
      <w:r>
        <w:rPr>
          <w:sz w:val="16"/>
          <w:szCs w:val="16"/>
          <w:spacing w:val="-1"/>
        </w:rPr>
        <w:t>t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1"/>
        </w:rPr>
        <w:t>chemoradiotherapy[J].</w:t>
      </w:r>
      <w:r>
        <w:rPr>
          <w:sz w:val="16"/>
          <w:szCs w:val="16"/>
        </w:rPr>
        <w:t xml:space="preserve"> </w:t>
      </w:r>
      <w:bookmarkStart w:name="bookmark71" w:id="26"/>
      <w:bookmarkEnd w:id="26"/>
      <w:hyperlink w:history="true" r:id="rId39">
        <w:r>
          <w:rPr>
            <w:sz w:val="16"/>
            <w:szCs w:val="16"/>
            <w:spacing w:val="-1"/>
          </w:rPr>
          <w:t>Asian</w:t>
        </w:r>
        <w:r>
          <w:rPr>
            <w:sz w:val="16"/>
            <w:szCs w:val="16"/>
            <w:spacing w:val="14"/>
          </w:rPr>
          <w:t xml:space="preserve"> </w:t>
        </w:r>
        <w:r>
          <w:rPr>
            <w:sz w:val="16"/>
            <w:szCs w:val="16"/>
            <w:spacing w:val="-1"/>
          </w:rPr>
          <w:t>Pac J Cancer</w:t>
        </w:r>
        <w:r>
          <w:rPr>
            <w:sz w:val="16"/>
            <w:szCs w:val="16"/>
            <w:spacing w:val="13"/>
            <w:w w:val="101"/>
          </w:rPr>
          <w:t xml:space="preserve"> </w:t>
        </w:r>
        <w:r>
          <w:rPr>
            <w:sz w:val="16"/>
            <w:szCs w:val="16"/>
            <w:spacing w:val="-1"/>
          </w:rPr>
          <w:t>Prev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2015,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16(15):6569-657</w:t>
      </w:r>
      <w:r>
        <w:rPr>
          <w:sz w:val="16"/>
          <w:szCs w:val="16"/>
          <w:spacing w:val="-2"/>
        </w:rPr>
        <w:t>3.</w:t>
      </w:r>
    </w:p>
    <w:p>
      <w:pPr>
        <w:pStyle w:val="BodyText"/>
        <w:ind w:left="365" w:right="1" w:hanging="366"/>
        <w:spacing w:before="39" w:line="301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[26]   Zhu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-2"/>
        </w:rPr>
        <w:t>Y,  Zhang  H,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2"/>
        </w:rPr>
        <w:t>Chen  N,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-2"/>
        </w:rPr>
        <w:t>al.  Diagnostic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value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2"/>
        </w:rPr>
        <w:t>various  liquid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biopsy  methods  for  pancreatic  cancer:  A  systematic  review  and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meta-analysis[J]. </w:t>
      </w:r>
      <w:hyperlink w:history="true" r:id="rId40">
        <w:r>
          <w:rPr>
            <w:sz w:val="16"/>
            <w:szCs w:val="16"/>
          </w:rPr>
          <w:t>Medicine</w:t>
        </w:r>
        <w:r>
          <w:rPr>
            <w:sz w:val="16"/>
            <w:szCs w:val="16"/>
            <w:spacing w:val="10"/>
            <w:w w:val="102"/>
          </w:rPr>
          <w:t xml:space="preserve"> </w:t>
        </w:r>
        <w:r>
          <w:rPr>
            <w:sz w:val="16"/>
            <w:szCs w:val="16"/>
          </w:rPr>
          <w:t>(Balt</w:t>
        </w:r>
        <w:r>
          <w:rPr>
            <w:sz w:val="16"/>
            <w:szCs w:val="16"/>
            <w:spacing w:val="-1"/>
          </w:rPr>
          <w:t>imore)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2020, 99(3):e18581.</w:t>
      </w:r>
    </w:p>
    <w:p>
      <w:pPr>
        <w:pStyle w:val="BodyText"/>
        <w:ind w:left="357" w:right="2" w:hanging="357"/>
        <w:spacing w:before="41" w:line="302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[27]   Peng C,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Wang J,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Gao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W,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al.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Meta-analy</w:t>
      </w:r>
      <w:r>
        <w:rPr>
          <w:sz w:val="16"/>
          <w:szCs w:val="16"/>
          <w:spacing w:val="-2"/>
        </w:rPr>
        <w:t>sis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2"/>
        </w:rPr>
        <w:t>diagnostic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per-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formance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circulating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microRNAs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pancreatic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cancer</w:t>
      </w:r>
      <w:r>
        <w:rPr>
          <w:sz w:val="16"/>
          <w:szCs w:val="16"/>
          <w:spacing w:val="1"/>
        </w:rPr>
        <w:t>[J].</w:t>
      </w:r>
      <w:r>
        <w:rPr>
          <w:sz w:val="16"/>
          <w:szCs w:val="16"/>
          <w:spacing w:val="23"/>
          <w:w w:val="101"/>
        </w:rPr>
        <w:t xml:space="preserve"> </w:t>
      </w:r>
      <w:hyperlink w:history="true" r:id="rId41">
        <w:r>
          <w:rPr>
            <w:sz w:val="16"/>
            <w:szCs w:val="16"/>
          </w:rPr>
          <w:t>Int</w:t>
        </w:r>
      </w:hyperlink>
      <w:r>
        <w:rPr>
          <w:sz w:val="16"/>
          <w:szCs w:val="16"/>
        </w:rPr>
        <w:t>J </w:t>
      </w:r>
      <w:hyperlink w:history="true" r:id="rId41">
        <w:r>
          <w:rPr>
            <w:sz w:val="16"/>
            <w:szCs w:val="16"/>
            <w:spacing w:val="-1"/>
          </w:rPr>
          <w:t>Med Sci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2021,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18(3):660-671.</w:t>
      </w:r>
    </w:p>
    <w:p>
      <w:pPr>
        <w:pStyle w:val="BodyText"/>
        <w:ind w:left="359" w:hanging="359"/>
        <w:spacing w:before="38" w:line="306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[28</w:t>
      </w:r>
      <w:r>
        <w:rPr>
          <w:sz w:val="16"/>
          <w:szCs w:val="16"/>
          <w:spacing w:val="-2"/>
        </w:rPr>
        <w:t>]   Yang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2"/>
        </w:rPr>
        <w:t>Z,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LaRiviere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2"/>
        </w:rPr>
        <w:t>MJ,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Ko J,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2"/>
        </w:rPr>
        <w:t>multianalyte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panel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consisting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2"/>
        </w:rPr>
        <w:t>o</w:t>
      </w:r>
      <w:r>
        <w:rPr>
          <w:sz w:val="16"/>
          <w:szCs w:val="16"/>
          <w:spacing w:val="1"/>
        </w:rPr>
        <w:t>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extracellular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vesicle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miRNAs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mRNAs,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c</w:t>
      </w:r>
      <w:r>
        <w:rPr>
          <w:sz w:val="16"/>
          <w:szCs w:val="16"/>
          <w:spacing w:val="-2"/>
        </w:rPr>
        <w:t>fDNA,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2"/>
        </w:rPr>
        <w:t>CA19-9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2"/>
        </w:rPr>
        <w:t>sho-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ws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utility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diagnosis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staging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1"/>
        </w:rPr>
        <w:t>pancre</w:t>
      </w:r>
      <w:r>
        <w:rPr>
          <w:sz w:val="16"/>
          <w:szCs w:val="16"/>
          <w:spacing w:val="-2"/>
        </w:rPr>
        <w:t>atic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2"/>
        </w:rPr>
        <w:t>ductal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adenocar-</w:t>
      </w:r>
      <w:r>
        <w:rPr>
          <w:sz w:val="16"/>
          <w:szCs w:val="16"/>
        </w:rPr>
        <w:t xml:space="preserve"> </w:t>
      </w:r>
      <w:bookmarkStart w:name="bookmark21" w:id="27"/>
      <w:bookmarkEnd w:id="27"/>
      <w:r>
        <w:rPr>
          <w:sz w:val="16"/>
          <w:szCs w:val="16"/>
          <w:spacing w:val="-1"/>
        </w:rPr>
        <w:t>cinoma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1"/>
        </w:rPr>
        <w:t>[J]. Clin Cancer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Res,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2020,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26(13):3248-3258.</w:t>
      </w:r>
    </w:p>
    <w:p>
      <w:pPr>
        <w:pStyle w:val="BodyText"/>
        <w:ind w:left="365" w:right="1" w:hanging="366"/>
        <w:spacing w:before="39" w:line="302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[29]   Hou  J,  Li  X,</w:t>
      </w:r>
      <w:r>
        <w:rPr>
          <w:sz w:val="16"/>
          <w:szCs w:val="16"/>
          <w:spacing w:val="44"/>
          <w:w w:val="101"/>
        </w:rPr>
        <w:t xml:space="preserve"> </w:t>
      </w:r>
      <w:r>
        <w:rPr>
          <w:sz w:val="16"/>
          <w:szCs w:val="16"/>
          <w:spacing w:val="-2"/>
        </w:rPr>
        <w:t>Xie  KP.  Coupled  liquid  biopsy  and  bioinformatics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2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pancreatic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-1"/>
        </w:rPr>
        <w:t>early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detection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-1"/>
        </w:rPr>
        <w:t>precision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prognosti</w:t>
      </w:r>
      <w:r>
        <w:rPr>
          <w:sz w:val="16"/>
          <w:szCs w:val="16"/>
          <w:spacing w:val="-2"/>
        </w:rPr>
        <w:t>cation[J].</w:t>
      </w:r>
      <w:r>
        <w:rPr>
          <w:sz w:val="16"/>
          <w:szCs w:val="16"/>
        </w:rPr>
        <w:t xml:space="preserve"> </w:t>
      </w:r>
      <w:bookmarkStart w:name="bookmark22" w:id="28"/>
      <w:bookmarkEnd w:id="28"/>
      <w:hyperlink w:history="true" r:id="rId42">
        <w:r>
          <w:rPr>
            <w:sz w:val="16"/>
            <w:szCs w:val="16"/>
            <w:spacing w:val="-1"/>
          </w:rPr>
          <w:t>Mol Cancer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2021,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20(1):34.</w:t>
      </w:r>
    </w:p>
    <w:p>
      <w:pPr>
        <w:pStyle w:val="BodyText"/>
        <w:ind w:left="360" w:right="25" w:hanging="361"/>
        <w:spacing w:before="39" w:line="293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[30]   Harrington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KA,  Shukla-Dave  A,  Paudyal  R,  et  al.  MRI  of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2"/>
        </w:rPr>
        <w:t>the  Pan-</w:t>
      </w:r>
      <w:r>
        <w:rPr>
          <w:sz w:val="16"/>
          <w:szCs w:val="16"/>
        </w:rPr>
        <w:t xml:space="preserve"> </w:t>
      </w:r>
      <w:bookmarkStart w:name="bookmark72" w:id="29"/>
      <w:bookmarkEnd w:id="29"/>
      <w:r>
        <w:rPr>
          <w:sz w:val="16"/>
          <w:szCs w:val="16"/>
        </w:rPr>
        <w:t>creas[J]. </w:t>
      </w:r>
      <w:hyperlink w:history="true" r:id="rId43">
        <w:r>
          <w:rPr>
            <w:sz w:val="16"/>
            <w:szCs w:val="16"/>
          </w:rPr>
          <w:t>J</w:t>
        </w:r>
        <w:r>
          <w:rPr>
            <w:sz w:val="16"/>
            <w:szCs w:val="16"/>
            <w:spacing w:val="22"/>
          </w:rPr>
          <w:t xml:space="preserve"> </w:t>
        </w:r>
        <w:r>
          <w:rPr>
            <w:sz w:val="16"/>
            <w:szCs w:val="16"/>
          </w:rPr>
          <w:t>Magn</w:t>
        </w:r>
        <w:r>
          <w:rPr>
            <w:sz w:val="16"/>
            <w:szCs w:val="16"/>
            <w:spacing w:val="13"/>
            <w:w w:val="101"/>
          </w:rPr>
          <w:t xml:space="preserve"> </w:t>
        </w:r>
        <w:r>
          <w:rPr>
            <w:sz w:val="16"/>
            <w:szCs w:val="16"/>
          </w:rPr>
          <w:t>Reson</w:t>
        </w:r>
      </w:hyperlink>
      <w:r>
        <w:rPr>
          <w:sz w:val="16"/>
          <w:szCs w:val="16"/>
        </w:rPr>
        <w:t>Imaging, 2021, 53(2):347-359.</w:t>
      </w:r>
    </w:p>
    <w:p>
      <w:pPr>
        <w:pStyle w:val="BodyText"/>
        <w:ind w:left="357" w:right="1" w:hanging="357"/>
        <w:spacing w:before="42" w:line="305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[31]   Alabousi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2"/>
        </w:rPr>
        <w:t>M,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McInnes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2"/>
        </w:rPr>
        <w:t>MD,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Salameh JP,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MRI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i/>
          <w:iCs/>
          <w:spacing w:val="-2"/>
        </w:rPr>
        <w:t>vs</w:t>
      </w:r>
      <w:r>
        <w:rPr>
          <w:sz w:val="16"/>
          <w:szCs w:val="16"/>
          <w:i/>
          <w:iCs/>
          <w:spacing w:val="-19"/>
        </w:rPr>
        <w:t xml:space="preserve"> </w:t>
      </w:r>
      <w:r>
        <w:rPr>
          <w:sz w:val="16"/>
          <w:szCs w:val="16"/>
          <w:spacing w:val="-2"/>
        </w:rPr>
        <w:t>. CT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for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2"/>
        </w:rPr>
        <w:t>de-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tection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liver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metastases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patien</w:t>
      </w:r>
      <w:r>
        <w:rPr>
          <w:sz w:val="16"/>
          <w:szCs w:val="16"/>
          <w:spacing w:val="-2"/>
        </w:rPr>
        <w:t>ts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with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2"/>
        </w:rPr>
        <w:t>pancreatic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2"/>
        </w:rPr>
        <w:t>carcinoma: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1"/>
        </w:rPr>
        <w:t>comparative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1"/>
        </w:rPr>
        <w:t>diagnostic  test   accuracy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1"/>
        </w:rPr>
        <w:t>systematic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-1"/>
        </w:rPr>
        <w:t>review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</w:rPr>
        <w:t xml:space="preserve"> </w:t>
      </w:r>
      <w:bookmarkStart w:name="bookmark23" w:id="30"/>
      <w:bookmarkEnd w:id="30"/>
      <w:r>
        <w:rPr>
          <w:sz w:val="16"/>
          <w:szCs w:val="16"/>
        </w:rPr>
        <w:t>meta-analysis[J]. </w:t>
      </w:r>
      <w:hyperlink w:history="true" r:id="rId44">
        <w:r>
          <w:rPr>
            <w:sz w:val="16"/>
            <w:szCs w:val="16"/>
          </w:rPr>
          <w:t>J</w:t>
        </w:r>
        <w:r>
          <w:rPr>
            <w:sz w:val="16"/>
            <w:szCs w:val="16"/>
            <w:spacing w:val="26"/>
            <w:w w:val="101"/>
          </w:rPr>
          <w:t xml:space="preserve"> </w:t>
        </w:r>
        <w:r>
          <w:rPr>
            <w:sz w:val="16"/>
            <w:szCs w:val="16"/>
          </w:rPr>
          <w:t>Magn</w:t>
        </w:r>
        <w:r>
          <w:rPr>
            <w:sz w:val="16"/>
            <w:szCs w:val="16"/>
            <w:spacing w:val="13"/>
            <w:w w:val="101"/>
          </w:rPr>
          <w:t xml:space="preserve"> </w:t>
        </w:r>
        <w:r>
          <w:rPr>
            <w:sz w:val="16"/>
            <w:szCs w:val="16"/>
          </w:rPr>
          <w:t>Reson</w:t>
        </w:r>
      </w:hyperlink>
      <w:r>
        <w:rPr>
          <w:sz w:val="16"/>
          <w:szCs w:val="16"/>
        </w:rPr>
        <w:t>Imaging, 2021, 53(1):38-48.</w:t>
      </w:r>
    </w:p>
    <w:p>
      <w:pPr>
        <w:pStyle w:val="BodyText"/>
        <w:ind w:left="359" w:right="8" w:hanging="359"/>
        <w:spacing w:before="41" w:line="301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[32]   Hong SB,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2"/>
        </w:rPr>
        <w:t>Choi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SH,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Kim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KW,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Meta-analysis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MRI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for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dia-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gnosis of  liver  metastasis  in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-1"/>
        </w:rPr>
        <w:t>pancreatic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1"/>
        </w:rPr>
        <w:t>adenocar-</w:t>
      </w:r>
      <w:r>
        <w:rPr>
          <w:sz w:val="16"/>
          <w:szCs w:val="16"/>
        </w:rPr>
        <w:t xml:space="preserve">  </w:t>
      </w:r>
      <w:bookmarkStart w:name="bookmark24" w:id="31"/>
      <w:bookmarkEnd w:id="31"/>
      <w:r>
        <w:rPr>
          <w:sz w:val="16"/>
          <w:szCs w:val="16"/>
        </w:rPr>
        <w:t>cinoma[J]. </w:t>
      </w:r>
      <w:hyperlink w:history="true" r:id="rId45">
        <w:r>
          <w:rPr>
            <w:sz w:val="16"/>
            <w:szCs w:val="16"/>
          </w:rPr>
          <w:t>J</w:t>
        </w:r>
        <w:r>
          <w:rPr>
            <w:sz w:val="16"/>
            <w:szCs w:val="16"/>
            <w:spacing w:val="24"/>
            <w:w w:val="101"/>
          </w:rPr>
          <w:t xml:space="preserve"> </w:t>
        </w:r>
        <w:r>
          <w:rPr>
            <w:sz w:val="16"/>
            <w:szCs w:val="16"/>
          </w:rPr>
          <w:t>Magn</w:t>
        </w:r>
        <w:r>
          <w:rPr>
            <w:sz w:val="16"/>
            <w:szCs w:val="16"/>
            <w:spacing w:val="13"/>
            <w:w w:val="101"/>
          </w:rPr>
          <w:t xml:space="preserve"> </w:t>
        </w:r>
        <w:r>
          <w:rPr>
            <w:sz w:val="16"/>
            <w:szCs w:val="16"/>
          </w:rPr>
          <w:t>Reson</w:t>
        </w:r>
      </w:hyperlink>
      <w:r>
        <w:rPr>
          <w:sz w:val="16"/>
          <w:szCs w:val="16"/>
        </w:rPr>
        <w:t>Imaging, 2020, 51(6):1737-1744.</w:t>
      </w:r>
    </w:p>
    <w:p>
      <w:pPr>
        <w:pStyle w:val="BodyText"/>
        <w:ind w:left="360" w:right="1" w:hanging="361"/>
        <w:spacing w:before="41" w:line="301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[33]   Boraschi   P,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-2"/>
        </w:rPr>
        <w:t>Donati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-2"/>
        </w:rPr>
        <w:t>F,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2"/>
        </w:rPr>
        <w:t>Cervelli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-2"/>
        </w:rPr>
        <w:t>R,  et   al.  Secretin-stimulated   MR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cholangiopancreatography: spectrum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1"/>
        </w:rPr>
        <w:t>findings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pancreatic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-1"/>
        </w:rPr>
        <w:t>dis-</w:t>
      </w:r>
      <w:r>
        <w:rPr>
          <w:sz w:val="16"/>
          <w:szCs w:val="16"/>
        </w:rPr>
        <w:t xml:space="preserve"> </w:t>
      </w:r>
      <w:bookmarkStart w:name="bookmark25" w:id="32"/>
      <w:bookmarkEnd w:id="32"/>
      <w:r>
        <w:rPr>
          <w:sz w:val="16"/>
          <w:szCs w:val="16"/>
          <w:spacing w:val="-1"/>
        </w:rPr>
        <w:t>eases[J].</w:t>
      </w:r>
      <w:hyperlink w:history="true" r:id="rId46">
        <w:r>
          <w:rPr>
            <w:sz w:val="16"/>
            <w:szCs w:val="16"/>
            <w:spacing w:val="21"/>
            <w:w w:val="101"/>
          </w:rPr>
          <w:t xml:space="preserve"> </w:t>
        </w:r>
        <w:r>
          <w:rPr>
            <w:sz w:val="16"/>
            <w:szCs w:val="16"/>
            <w:spacing w:val="-1"/>
          </w:rPr>
          <w:t>Insights</w:t>
        </w:r>
        <w:r>
          <w:rPr>
            <w:sz w:val="16"/>
            <w:szCs w:val="16"/>
            <w:spacing w:val="13"/>
            <w:w w:val="101"/>
          </w:rPr>
          <w:t xml:space="preserve"> </w:t>
        </w:r>
        <w:r>
          <w:rPr>
            <w:sz w:val="16"/>
            <w:szCs w:val="16"/>
            <w:spacing w:val="-1"/>
          </w:rPr>
          <w:t>Imaging,</w:t>
        </w:r>
      </w:hyperlink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2016, 7(6):819-829.</w:t>
      </w:r>
    </w:p>
    <w:p>
      <w:pPr>
        <w:pStyle w:val="BodyText"/>
        <w:ind w:left="365" w:right="1" w:hanging="366"/>
        <w:spacing w:before="41" w:line="301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[34]   Que  R,  Chen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-2"/>
        </w:rPr>
        <w:t>Y,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2"/>
        </w:rPr>
        <w:t>Tao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2"/>
        </w:rPr>
        <w:t>Z,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2"/>
        </w:rPr>
        <w:t>al.  Diffusion-weighted  MRI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2"/>
        </w:rPr>
        <w:t>versus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-2"/>
        </w:rPr>
        <w:t>FDG-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PET/CT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diagnosing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1"/>
        </w:rPr>
        <w:t>pancreatic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cancer: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an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-2"/>
        </w:rPr>
        <w:t>direct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2"/>
        </w:rPr>
        <w:t>comparison</w:t>
      </w:r>
      <w:r>
        <w:rPr>
          <w:sz w:val="16"/>
          <w:szCs w:val="16"/>
        </w:rPr>
        <w:t xml:space="preserve"> </w:t>
      </w:r>
      <w:bookmarkStart w:name="bookmark26" w:id="33"/>
      <w:bookmarkEnd w:id="33"/>
      <w:r>
        <w:rPr>
          <w:sz w:val="16"/>
          <w:szCs w:val="16"/>
        </w:rPr>
        <w:t>meta-analysis[J]. </w:t>
      </w:r>
      <w:hyperlink w:history="true" r:id="rId47">
        <w:r>
          <w:rPr>
            <w:sz w:val="16"/>
            <w:szCs w:val="16"/>
          </w:rPr>
          <w:t>Acta</w:t>
        </w:r>
        <w:r>
          <w:rPr>
            <w:sz w:val="16"/>
            <w:szCs w:val="16"/>
            <w:spacing w:val="14"/>
            <w:w w:val="101"/>
          </w:rPr>
          <w:t xml:space="preserve"> </w:t>
        </w:r>
        <w:r>
          <w:rPr>
            <w:sz w:val="16"/>
            <w:szCs w:val="16"/>
          </w:rPr>
          <w:t>R</w:t>
        </w:r>
        <w:r>
          <w:rPr>
            <w:sz w:val="16"/>
            <w:szCs w:val="16"/>
            <w:spacing w:val="-1"/>
          </w:rPr>
          <w:t>adiol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2020, 61(11):1473-1483.</w:t>
      </w:r>
    </w:p>
    <w:p>
      <w:pPr>
        <w:pStyle w:val="BodyText"/>
        <w:ind w:left="360" w:right="1" w:hanging="361"/>
        <w:spacing w:before="41" w:line="306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[35]   Ikemoto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J,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Serikawa  M,  Hanada  K,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2"/>
        </w:rPr>
        <w:t>Clinical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-2"/>
        </w:rPr>
        <w:t>analysis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2"/>
        </w:rPr>
        <w:t>early-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pancreatic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pro</w:t>
      </w:r>
      <w:r>
        <w:rPr>
          <w:sz w:val="16"/>
          <w:szCs w:val="16"/>
          <w:spacing w:val="-2"/>
        </w:rPr>
        <w:t>posal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-2"/>
        </w:rPr>
        <w:t>for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2"/>
        </w:rPr>
        <w:t>new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diagnostic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2"/>
        </w:rPr>
        <w:t>algorit-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hm: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-1"/>
        </w:rPr>
        <w:t>multicenter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-1"/>
        </w:rPr>
        <w:t>observational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study[J].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Diagnostics(Basel</w:t>
      </w:r>
      <w:r>
        <w:rPr>
          <w:sz w:val="16"/>
          <w:szCs w:val="16"/>
          <w:spacing w:val="-2"/>
        </w:rPr>
        <w:t>),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2"/>
        </w:rPr>
        <w:t>2021,</w:t>
      </w:r>
      <w:r>
        <w:rPr>
          <w:sz w:val="16"/>
          <w:szCs w:val="16"/>
        </w:rPr>
        <w:t xml:space="preserve"> </w:t>
      </w:r>
      <w:bookmarkStart w:name="bookmark27" w:id="34"/>
      <w:bookmarkEnd w:id="34"/>
      <w:r>
        <w:rPr>
          <w:sz w:val="16"/>
          <w:szCs w:val="16"/>
        </w:rPr>
        <w:t>11(2):287.</w:t>
      </w:r>
    </w:p>
    <w:p>
      <w:pPr>
        <w:pStyle w:val="BodyText"/>
        <w:ind w:left="357" w:hanging="357"/>
        <w:spacing w:before="40" w:line="308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[36]</w:t>
      </w:r>
      <w:r>
        <w:rPr>
          <w:sz w:val="16"/>
          <w:szCs w:val="16"/>
          <w:spacing w:val="-2"/>
        </w:rPr>
        <w:t xml:space="preserve">   Psar  R,  Urban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O,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Cerna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2"/>
        </w:rPr>
        <w:t>M,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2"/>
        </w:rPr>
        <w:t>Improve</w:t>
      </w:r>
      <w:r>
        <w:rPr>
          <w:sz w:val="16"/>
          <w:szCs w:val="16"/>
          <w:spacing w:val="-3"/>
        </w:rPr>
        <w:t>ment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3"/>
        </w:rPr>
        <w:t>of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3"/>
        </w:rPr>
        <w:t>the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3"/>
        </w:rPr>
        <w:t>diagnosis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3"/>
        </w:rPr>
        <w:t>o</w:t>
      </w:r>
      <w:r>
        <w:rPr>
          <w:sz w:val="16"/>
          <w:szCs w:val="16"/>
          <w:spacing w:val="1"/>
        </w:rPr>
        <w:t>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isoattenuating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</w:rPr>
        <w:t>pancreatic carcinomas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by defining their characteris-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tics on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1"/>
        </w:rPr>
        <w:t>contrast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enhanced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computed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1"/>
        </w:rPr>
        <w:t>tomography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endosono-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graphy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1"/>
        </w:rPr>
        <w:t>fine-needle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1"/>
        </w:rPr>
        <w:t>aspiration (EUS-FNA) [J]</w:t>
      </w:r>
      <w:r>
        <w:rPr>
          <w:sz w:val="16"/>
          <w:szCs w:val="16"/>
          <w:spacing w:val="-2"/>
        </w:rPr>
        <w:t>. Diagnostics (Basel),</w:t>
      </w:r>
      <w:r>
        <w:rPr>
          <w:sz w:val="16"/>
          <w:szCs w:val="16"/>
        </w:rPr>
        <w:t xml:space="preserve"> </w:t>
      </w:r>
      <w:bookmarkStart w:name="bookmark28" w:id="35"/>
      <w:bookmarkEnd w:id="35"/>
      <w:r>
        <w:rPr>
          <w:sz w:val="16"/>
          <w:szCs w:val="16"/>
          <w:spacing w:val="-1"/>
        </w:rPr>
        <w:t>2021,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11(5):776.</w:t>
      </w:r>
    </w:p>
    <w:p>
      <w:pPr>
        <w:pStyle w:val="BodyText"/>
        <w:ind w:left="365" w:right="2" w:hanging="365"/>
        <w:spacing w:before="39" w:line="29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[37]   Shi S,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Liang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-1"/>
        </w:rPr>
        <w:t>C, Xu J,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-1"/>
        </w:rPr>
        <w:t>al.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strain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2"/>
        </w:rPr>
        <w:t>ratio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-2"/>
        </w:rPr>
        <w:t>as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obtained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by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-2"/>
        </w:rPr>
        <w:t>endoscop-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ic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ultrasonography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1"/>
        </w:rPr>
        <w:t>elastography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1"/>
        </w:rPr>
        <w:t>correlates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1"/>
        </w:rPr>
        <w:t>strom</w:t>
      </w:r>
      <w:r>
        <w:rPr>
          <w:sz w:val="16"/>
          <w:szCs w:val="16"/>
          <w:spacing w:val="-2"/>
        </w:rPr>
        <w:t>a  pro-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portion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prognosis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local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panc</w:t>
      </w:r>
      <w:r>
        <w:rPr>
          <w:sz w:val="16"/>
          <w:szCs w:val="16"/>
          <w:spacing w:val="-2"/>
        </w:rPr>
        <w:t>reatic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2"/>
        </w:rPr>
        <w:t>cancer[J].</w:t>
      </w:r>
      <w:r>
        <w:rPr>
          <w:sz w:val="16"/>
          <w:szCs w:val="16"/>
          <w:spacing w:val="13"/>
          <w:w w:val="101"/>
        </w:rPr>
        <w:t xml:space="preserve"> </w:t>
      </w:r>
      <w:hyperlink w:history="true" r:id="rId48">
        <w:r>
          <w:rPr>
            <w:sz w:val="16"/>
            <w:szCs w:val="16"/>
            <w:spacing w:val="-2"/>
          </w:rPr>
          <w:t>Ann</w:t>
        </w:r>
        <w:r>
          <w:rPr>
            <w:sz w:val="16"/>
            <w:szCs w:val="16"/>
            <w:spacing w:val="18"/>
            <w:w w:val="101"/>
          </w:rPr>
          <w:t xml:space="preserve"> </w:t>
        </w:r>
        <w:r>
          <w:rPr>
            <w:sz w:val="16"/>
            <w:szCs w:val="16"/>
            <w:spacing w:val="-2"/>
          </w:rPr>
          <w:t>Surg</w:t>
        </w:r>
      </w:hyperlink>
      <w:r>
        <w:rPr>
          <w:sz w:val="16"/>
          <w:szCs w:val="16"/>
          <w:spacing w:val="-2"/>
        </w:rPr>
        <w:t>,</w:t>
      </w:r>
    </w:p>
    <w:p>
      <w:pPr>
        <w:spacing w:line="295" w:lineRule="auto"/>
        <w:sectPr>
          <w:type w:val="continuous"/>
          <w:pgSz w:w="12246" w:h="17178"/>
          <w:pgMar w:top="1297" w:right="1202" w:bottom="0" w:left="1205" w:header="928" w:footer="0" w:gutter="0"/>
          <w:cols w:equalWidth="0" w:num="2">
            <w:col w:w="5040" w:space="100"/>
            <w:col w:w="4698" w:space="0"/>
          </w:cols>
        </w:sectPr>
        <w:rPr>
          <w:sz w:val="16"/>
          <w:szCs w:val="16"/>
        </w:rPr>
      </w:pPr>
    </w:p>
    <w:p>
      <w:pPr>
        <w:spacing w:before="95"/>
        <w:rPr/>
      </w:pPr>
      <w:r/>
    </w:p>
    <w:p>
      <w:pPr>
        <w:sectPr>
          <w:headerReference w:type="default" r:id="rId49"/>
          <w:pgSz w:w="12246" w:h="17178"/>
          <w:pgMar w:top="1297" w:right="1202" w:bottom="0" w:left="1190" w:header="928" w:footer="0" w:gutter="0"/>
          <w:cols w:equalWidth="0" w:num="1">
            <w:col w:w="9853" w:space="0"/>
          </w:cols>
        </w:sectPr>
        <w:rPr/>
      </w:pPr>
    </w:p>
    <w:p>
      <w:pPr>
        <w:pStyle w:val="BodyText"/>
        <w:ind w:left="379"/>
        <w:spacing w:before="40" w:line="203" w:lineRule="exact"/>
        <w:rPr>
          <w:sz w:val="16"/>
          <w:szCs w:val="16"/>
        </w:rPr>
      </w:pPr>
      <w:bookmarkStart w:name="bookmark29" w:id="36"/>
      <w:bookmarkEnd w:id="36"/>
      <w:r>
        <w:rPr>
          <w:sz w:val="16"/>
          <w:szCs w:val="16"/>
          <w:position w:val="2"/>
        </w:rPr>
        <w:t>2020, 271(3):559-565.</w:t>
      </w:r>
    </w:p>
    <w:p>
      <w:pPr>
        <w:pStyle w:val="BodyText"/>
        <w:ind w:left="374" w:right="342" w:hanging="359"/>
        <w:spacing w:before="53" w:line="31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[38]   Ishii Y,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Serikawa </w:t>
      </w:r>
      <w:r>
        <w:rPr>
          <w:sz w:val="16"/>
          <w:szCs w:val="16"/>
          <w:spacing w:val="-2"/>
        </w:rPr>
        <w:t xml:space="preserve"> M,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2"/>
        </w:rPr>
        <w:t>Tsuboi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T,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2"/>
        </w:rPr>
        <w:t>al.  Role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2"/>
        </w:rPr>
        <w:t>endoscopic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ultrasono-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graphyandendoscopic retrograde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cholangiopancreatography in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the </w:t>
      </w:r>
      <w:r>
        <w:rPr>
          <w:sz w:val="16"/>
          <w:szCs w:val="16"/>
          <w:spacing w:val="-1"/>
        </w:rPr>
        <w:t>diagnosis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1"/>
        </w:rPr>
        <w:t>pancreatic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-1"/>
        </w:rPr>
        <w:t>cancer[J].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1"/>
        </w:rPr>
        <w:t>Diagnostics(Basel),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-1"/>
        </w:rPr>
        <w:t>2</w:t>
      </w:r>
      <w:r>
        <w:rPr>
          <w:sz w:val="16"/>
          <w:szCs w:val="16"/>
          <w:spacing w:val="-2"/>
        </w:rPr>
        <w:t>021,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2"/>
        </w:rPr>
        <w:t>11(2):</w:t>
      </w:r>
      <w:r>
        <w:rPr>
          <w:sz w:val="16"/>
          <w:szCs w:val="16"/>
        </w:rPr>
        <w:t xml:space="preserve"> </w:t>
      </w:r>
      <w:bookmarkStart w:name="bookmark30" w:id="37"/>
      <w:bookmarkEnd w:id="37"/>
      <w:r>
        <w:rPr>
          <w:sz w:val="16"/>
          <w:szCs w:val="16"/>
          <w:spacing w:val="-1"/>
        </w:rPr>
        <w:t>238.</w:t>
      </w:r>
    </w:p>
    <w:p>
      <w:pPr>
        <w:pStyle w:val="BodyText"/>
        <w:ind w:left="376" w:right="342" w:hanging="361"/>
        <w:spacing w:before="13" w:line="306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[39]   Yousaf   MN,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-2"/>
        </w:rPr>
        <w:t>Ehsan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-2"/>
        </w:rPr>
        <w:t>H,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2"/>
        </w:rPr>
        <w:t>Wahab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2"/>
        </w:rPr>
        <w:t>A,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-2"/>
        </w:rPr>
        <w:t>Endoscopic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-2"/>
        </w:rPr>
        <w:t>retrograde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cholangiopancreatography guided  in</w:t>
      </w:r>
      <w:r>
        <w:rPr>
          <w:sz w:val="16"/>
          <w:szCs w:val="16"/>
          <w:spacing w:val="-1"/>
        </w:rPr>
        <w:t>terventions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1"/>
        </w:rPr>
        <w:t>in  the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1"/>
        </w:rPr>
        <w:t>manage-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ment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pancreatic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cancer[J].</w:t>
      </w:r>
      <w:r>
        <w:rPr>
          <w:sz w:val="16"/>
          <w:szCs w:val="16"/>
          <w:spacing w:val="19"/>
        </w:rPr>
        <w:t xml:space="preserve"> </w:t>
      </w:r>
      <w:hyperlink w:history="true" r:id="rId50">
        <w:r>
          <w:rPr>
            <w:sz w:val="16"/>
            <w:szCs w:val="16"/>
            <w:spacing w:val="-1"/>
          </w:rPr>
          <w:t>World</w:t>
        </w:r>
        <w:r>
          <w:rPr>
            <w:sz w:val="16"/>
            <w:szCs w:val="16"/>
            <w:spacing w:val="19"/>
            <w:w w:val="101"/>
          </w:rPr>
          <w:t xml:space="preserve"> </w:t>
        </w:r>
        <w:r>
          <w:rPr>
            <w:sz w:val="16"/>
            <w:szCs w:val="16"/>
            <w:spacing w:val="-1"/>
          </w:rPr>
          <w:t>J</w:t>
        </w:r>
        <w:r>
          <w:rPr>
            <w:sz w:val="16"/>
            <w:szCs w:val="16"/>
            <w:spacing w:val="26"/>
          </w:rPr>
          <w:t xml:space="preserve"> </w:t>
        </w:r>
        <w:r>
          <w:rPr>
            <w:sz w:val="16"/>
            <w:szCs w:val="16"/>
            <w:spacing w:val="-1"/>
          </w:rPr>
          <w:t>Gastrointest</w:t>
        </w:r>
        <w:r>
          <w:rPr>
            <w:sz w:val="16"/>
            <w:szCs w:val="16"/>
            <w:spacing w:val="32"/>
            <w:w w:val="101"/>
          </w:rPr>
          <w:t xml:space="preserve"> </w:t>
        </w:r>
        <w:r>
          <w:rPr>
            <w:sz w:val="16"/>
            <w:szCs w:val="16"/>
            <w:spacing w:val="-2"/>
          </w:rPr>
          <w:t>Endos</w:t>
        </w:r>
      </w:hyperlink>
      <w:r>
        <w:rPr>
          <w:sz w:val="16"/>
          <w:szCs w:val="16"/>
          <w:spacing w:val="-2"/>
        </w:rPr>
        <w:t>c,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-2"/>
        </w:rPr>
        <w:t>2020,</w:t>
      </w:r>
      <w:r>
        <w:rPr>
          <w:sz w:val="16"/>
          <w:szCs w:val="16"/>
        </w:rPr>
        <w:t xml:space="preserve"> </w:t>
      </w:r>
      <w:bookmarkStart w:name="bookmark31" w:id="38"/>
      <w:bookmarkEnd w:id="38"/>
      <w:r>
        <w:rPr>
          <w:sz w:val="16"/>
          <w:szCs w:val="16"/>
        </w:rPr>
        <w:t>12(10):323-340.</w:t>
      </w:r>
    </w:p>
    <w:p>
      <w:pPr>
        <w:pStyle w:val="BodyText"/>
        <w:ind w:left="378" w:right="342" w:hanging="363"/>
        <w:spacing w:before="38" w:line="31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[40]   Takadate  T,  Morikawa  T,  Ishida  M,  et  al.  Stag</w:t>
      </w:r>
      <w:r>
        <w:rPr>
          <w:sz w:val="16"/>
          <w:szCs w:val="16"/>
          <w:spacing w:val="-2"/>
        </w:rPr>
        <w:t>ing  laparoscopy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-2"/>
        </w:rPr>
        <w:t>is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mandatory for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treatment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"/>
        </w:rPr>
        <w:t>pancreatic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t</w:t>
      </w:r>
      <w:r>
        <w:rPr>
          <w:sz w:val="16"/>
          <w:szCs w:val="16"/>
          <w:spacing w:val="-2"/>
        </w:rPr>
        <w:t>o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2"/>
        </w:rPr>
        <w:t>avoid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2"/>
        </w:rPr>
        <w:t>miss-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ing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1"/>
        </w:rPr>
        <w:t>radiologically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1"/>
        </w:rPr>
        <w:t>negative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1"/>
        </w:rPr>
        <w:t>metastases[J].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Surg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Tod</w:t>
      </w:r>
      <w:r>
        <w:rPr>
          <w:sz w:val="16"/>
          <w:szCs w:val="16"/>
          <w:spacing w:val="-2"/>
        </w:rPr>
        <w:t>ay,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2"/>
        </w:rPr>
        <w:t>2021,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2"/>
        </w:rPr>
        <w:t>51(5):</w:t>
      </w:r>
      <w:r>
        <w:rPr>
          <w:sz w:val="16"/>
          <w:szCs w:val="16"/>
        </w:rPr>
        <w:t xml:space="preserve"> </w:t>
      </w:r>
      <w:bookmarkStart w:name="bookmark34" w:id="39"/>
      <w:bookmarkEnd w:id="39"/>
      <w:r>
        <w:rPr>
          <w:sz w:val="16"/>
          <w:szCs w:val="16"/>
          <w:spacing w:val="-2"/>
        </w:rPr>
        <w:t>686-694.</w:t>
      </w:r>
    </w:p>
    <w:p>
      <w:pPr>
        <w:pStyle w:val="BodyText"/>
        <w:ind w:left="376" w:right="342" w:hanging="361"/>
        <w:spacing w:before="15" w:line="30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[41]   Allen</w:t>
      </w:r>
      <w:r>
        <w:rPr>
          <w:sz w:val="16"/>
          <w:szCs w:val="16"/>
          <w:spacing w:val="9"/>
          <w:w w:val="101"/>
        </w:rPr>
        <w:t xml:space="preserve">  </w:t>
      </w:r>
      <w:r>
        <w:rPr>
          <w:sz w:val="16"/>
          <w:szCs w:val="16"/>
          <w:spacing w:val="-1"/>
        </w:rPr>
        <w:t>PJ,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1"/>
        </w:rPr>
        <w:t>Kuk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-1"/>
        </w:rPr>
        <w:t>D,  Castillo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1"/>
        </w:rPr>
        <w:t>CF,  et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1"/>
        </w:rPr>
        <w:t>al.   multi-instit</w:t>
      </w:r>
      <w:r>
        <w:rPr>
          <w:sz w:val="16"/>
          <w:szCs w:val="16"/>
          <w:spacing w:val="-2"/>
        </w:rPr>
        <w:t>utional  validation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study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1"/>
        </w:rPr>
        <w:t>American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Joint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-1"/>
        </w:rPr>
        <w:t>Commission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"/>
        </w:rPr>
        <w:t>on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-1"/>
        </w:rPr>
        <w:t>Cance</w:t>
      </w:r>
      <w:r>
        <w:rPr>
          <w:sz w:val="16"/>
          <w:szCs w:val="16"/>
          <w:spacing w:val="-2"/>
        </w:rPr>
        <w:t>r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2"/>
        </w:rPr>
        <w:t>(8th  Edition)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changes for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T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-1"/>
        </w:rPr>
        <w:t>N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staging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p</w:t>
      </w:r>
      <w:r>
        <w:rPr>
          <w:sz w:val="16"/>
          <w:szCs w:val="16"/>
          <w:spacing w:val="-2"/>
        </w:rPr>
        <w:t>atients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2"/>
        </w:rPr>
        <w:t>with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2"/>
        </w:rPr>
        <w:t>pancreatic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2"/>
        </w:rPr>
        <w:t>adenocar-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cinoma[J]. </w:t>
      </w:r>
      <w:hyperlink w:history="true" r:id="rId51">
        <w:r>
          <w:rPr>
            <w:sz w:val="16"/>
            <w:szCs w:val="16"/>
          </w:rPr>
          <w:t>Ann Surg</w:t>
        </w:r>
      </w:hyperlink>
      <w:r>
        <w:rPr>
          <w:sz w:val="16"/>
          <w:szCs w:val="16"/>
        </w:rPr>
        <w:t>,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</w:rPr>
        <w:t>20</w:t>
      </w:r>
      <w:r>
        <w:rPr>
          <w:sz w:val="16"/>
          <w:szCs w:val="16"/>
          <w:spacing w:val="-1"/>
        </w:rPr>
        <w:t>17,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265(1):185-191.</w:t>
      </w:r>
    </w:p>
    <w:p>
      <w:pPr>
        <w:pStyle w:val="BodyText"/>
        <w:ind w:left="372" w:right="342" w:hanging="357"/>
        <w:spacing w:before="42" w:line="30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[42]   van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Roessel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S,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Kasumova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GG,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Verhe</w:t>
      </w:r>
      <w:r>
        <w:rPr>
          <w:sz w:val="16"/>
          <w:szCs w:val="16"/>
          <w:spacing w:val="-2"/>
        </w:rPr>
        <w:t>ij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J,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2"/>
        </w:rPr>
        <w:t>International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valida-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tion  of  the  eighth  ed</w:t>
      </w:r>
      <w:r>
        <w:rPr>
          <w:sz w:val="16"/>
          <w:szCs w:val="16"/>
          <w:spacing w:val="-1"/>
        </w:rPr>
        <w:t>ition  of  the  American  Joint  Committee  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-1"/>
        </w:rPr>
        <w:t>(AJCC)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TNM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staging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sys</w:t>
      </w:r>
      <w:r>
        <w:rPr>
          <w:sz w:val="16"/>
          <w:szCs w:val="16"/>
          <w:spacing w:val="-2"/>
        </w:rPr>
        <w:t>tem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-2"/>
        </w:rPr>
        <w:t>patients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2"/>
        </w:rPr>
        <w:t>with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-2"/>
        </w:rPr>
        <w:t>resected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pan-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creatic cancer[J]. </w:t>
      </w:r>
      <w:hyperlink w:history="true" r:id="rId52">
        <w:r>
          <w:rPr>
            <w:sz w:val="16"/>
            <w:szCs w:val="16"/>
          </w:rPr>
          <w:t>JAMA Surg</w:t>
        </w:r>
      </w:hyperlink>
      <w:r>
        <w:rPr>
          <w:sz w:val="16"/>
          <w:szCs w:val="16"/>
        </w:rPr>
        <w:t>,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</w:rPr>
        <w:t>2</w:t>
      </w:r>
      <w:r>
        <w:rPr>
          <w:sz w:val="16"/>
          <w:szCs w:val="16"/>
          <w:spacing w:val="-1"/>
        </w:rPr>
        <w:t>018,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153(12):e183617.</w:t>
      </w:r>
    </w:p>
    <w:p>
      <w:pPr>
        <w:pStyle w:val="BodyText"/>
        <w:ind w:left="372" w:right="358" w:hanging="357"/>
        <w:spacing w:before="41" w:line="301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[43]   Shi S,  Hua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J,  Liang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2"/>
        </w:rPr>
        <w:t>C,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2"/>
        </w:rPr>
        <w:t>al.  Proposed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2"/>
        </w:rPr>
        <w:t>modification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3"/>
        </w:rPr>
        <w:t>8th  Edi-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tion of  the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AJCC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1"/>
        </w:rPr>
        <w:t>staging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1"/>
        </w:rPr>
        <w:t>system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-1"/>
        </w:rPr>
        <w:t>for  pancreatic  ductal  adenocar-</w:t>
      </w:r>
      <w:r>
        <w:rPr>
          <w:sz w:val="16"/>
          <w:szCs w:val="16"/>
        </w:rPr>
        <w:t xml:space="preserve"> </w:t>
      </w:r>
      <w:bookmarkStart w:name="bookmark33" w:id="40"/>
      <w:bookmarkEnd w:id="40"/>
      <w:r>
        <w:rPr>
          <w:sz w:val="16"/>
          <w:szCs w:val="16"/>
        </w:rPr>
        <w:t>cinoma[J]. </w:t>
      </w:r>
      <w:hyperlink w:history="true" r:id="rId53">
        <w:r>
          <w:rPr>
            <w:sz w:val="16"/>
            <w:szCs w:val="16"/>
          </w:rPr>
          <w:t>Ann Surg</w:t>
        </w:r>
      </w:hyperlink>
      <w:r>
        <w:rPr>
          <w:sz w:val="16"/>
          <w:szCs w:val="16"/>
        </w:rPr>
        <w:t>, 2019, 269(5):944-950.</w:t>
      </w:r>
    </w:p>
    <w:p>
      <w:pPr>
        <w:pStyle w:val="BodyText"/>
        <w:ind w:left="376" w:right="342" w:hanging="361"/>
        <w:spacing w:before="40" w:line="306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[44]   Hu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2"/>
        </w:rPr>
        <w:t>H,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2"/>
        </w:rPr>
        <w:t>Qu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2"/>
        </w:rPr>
        <w:t>C,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2"/>
        </w:rPr>
        <w:t>Tang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2"/>
        </w:rPr>
        <w:t>B,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Validation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modification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AJCC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8th TNM staging system for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pancreatic ductal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adenocarcinoma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Chinese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cohort: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1"/>
        </w:rPr>
        <w:t>nationwide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1"/>
        </w:rPr>
        <w:t>pancreas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dat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center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analysis[J].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Ch-</w:t>
      </w:r>
      <w:r>
        <w:rPr>
          <w:sz w:val="16"/>
          <w:szCs w:val="16"/>
        </w:rPr>
        <w:t xml:space="preserve"> </w:t>
      </w:r>
      <w:bookmarkStart w:name="bookmark35" w:id="41"/>
      <w:bookmarkEnd w:id="41"/>
      <w:r>
        <w:rPr>
          <w:sz w:val="16"/>
          <w:szCs w:val="16"/>
          <w:spacing w:val="-1"/>
        </w:rPr>
        <w:t>in J Cancer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Res,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2021, 33(4):457-469.</w:t>
      </w:r>
    </w:p>
    <w:p>
      <w:pPr>
        <w:pStyle w:val="BodyText"/>
        <w:ind w:left="375" w:right="344" w:hanging="360"/>
        <w:spacing w:before="40" w:line="22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[45]  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樊代明</w:t>
      </w:r>
      <w:r>
        <w:rPr>
          <w:sz w:val="16"/>
          <w:szCs w:val="16"/>
          <w:spacing w:val="-1"/>
        </w:rPr>
        <w:t>. 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整合肿瘤学临床卷腹部盆腔肿瘤分册</w:t>
      </w:r>
      <w:r>
        <w:rPr>
          <w:sz w:val="16"/>
          <w:szCs w:val="16"/>
          <w:spacing w:val="-1"/>
        </w:rPr>
        <w:t>[M].</w:t>
      </w:r>
      <w:r>
        <w:rPr>
          <w:rFonts w:ascii="Microsoft YaHei" w:hAnsi="Microsoft YaHei" w:eastAsia="Microsoft YaHei" w:cs="Microsoft YaHei"/>
          <w:sz w:val="16"/>
          <w:szCs w:val="16"/>
          <w:spacing w:val="-1"/>
        </w:rPr>
        <w:t>北京：科学出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 xml:space="preserve"> </w:t>
      </w:r>
      <w:bookmarkStart w:name="bookmark37" w:id="42"/>
      <w:bookmarkEnd w:id="42"/>
      <w:r>
        <w:rPr>
          <w:rFonts w:ascii="Microsoft YaHei" w:hAnsi="Microsoft YaHei" w:eastAsia="Microsoft YaHei" w:cs="Microsoft YaHei"/>
          <w:sz w:val="16"/>
          <w:szCs w:val="16"/>
        </w:rPr>
        <w:t>版社</w:t>
      </w:r>
      <w:r>
        <w:rPr>
          <w:sz w:val="16"/>
          <w:szCs w:val="16"/>
        </w:rPr>
        <w:t>,2021.</w:t>
      </w:r>
    </w:p>
    <w:p>
      <w:pPr>
        <w:pStyle w:val="BodyText"/>
        <w:ind w:left="376" w:right="342" w:hanging="361"/>
        <w:spacing w:before="4" w:line="31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[46]   Wainberg  ZA,  Feeney  K,  Lee </w:t>
      </w:r>
      <w:r>
        <w:rPr>
          <w:sz w:val="16"/>
          <w:szCs w:val="16"/>
          <w:spacing w:val="-2"/>
        </w:rPr>
        <w:t xml:space="preserve"> MA,  et  al.  Meta-analysis  examining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overall  survival  i</w:t>
      </w:r>
      <w:r>
        <w:rPr>
          <w:sz w:val="16"/>
          <w:szCs w:val="16"/>
          <w:spacing w:val="-1"/>
        </w:rPr>
        <w:t>n  patients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1"/>
        </w:rPr>
        <w:t>pancreatic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-1"/>
        </w:rPr>
        <w:t>treated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second-line 5-fluorourac</w:t>
      </w:r>
      <w:r>
        <w:rPr>
          <w:sz w:val="16"/>
          <w:szCs w:val="16"/>
          <w:spacing w:val="-1"/>
        </w:rPr>
        <w:t>il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oxaliplatin-based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1"/>
        </w:rPr>
        <w:t>therapy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after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fail-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ing first-line  gemcitabine-containing  therapy:  e</w:t>
      </w:r>
      <w:r>
        <w:rPr>
          <w:sz w:val="16"/>
          <w:szCs w:val="16"/>
          <w:spacing w:val="-1"/>
        </w:rPr>
        <w:t>ffect  of  perform-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ance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status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comparison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other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regimens[J].</w:t>
      </w:r>
      <w:r>
        <w:rPr>
          <w:sz w:val="16"/>
          <w:szCs w:val="16"/>
          <w:spacing w:val="13"/>
          <w:w w:val="101"/>
        </w:rPr>
        <w:t xml:space="preserve"> </w:t>
      </w:r>
      <w:hyperlink w:history="true" r:id="rId54">
        <w:r>
          <w:rPr>
            <w:sz w:val="16"/>
            <w:szCs w:val="16"/>
            <w:spacing w:val="-1"/>
          </w:rPr>
          <w:t>B</w:t>
        </w:r>
        <w:r>
          <w:rPr>
            <w:sz w:val="16"/>
            <w:szCs w:val="16"/>
            <w:spacing w:val="-2"/>
          </w:rPr>
          <w:t>MC</w:t>
        </w:r>
        <w:r>
          <w:rPr>
            <w:sz w:val="16"/>
            <w:szCs w:val="16"/>
            <w:spacing w:val="21"/>
            <w:w w:val="102"/>
          </w:rPr>
          <w:t xml:space="preserve"> </w:t>
        </w:r>
        <w:r>
          <w:rPr>
            <w:sz w:val="16"/>
            <w:szCs w:val="16"/>
            <w:spacing w:val="-2"/>
          </w:rPr>
          <w:t>Cancer</w:t>
        </w:r>
      </w:hyperlink>
      <w:r>
        <w:rPr>
          <w:sz w:val="16"/>
          <w:szCs w:val="16"/>
          <w:spacing w:val="-2"/>
        </w:rPr>
        <w:t>,</w:t>
      </w:r>
      <w:r>
        <w:rPr>
          <w:sz w:val="16"/>
          <w:szCs w:val="16"/>
        </w:rPr>
        <w:t xml:space="preserve"> </w:t>
      </w:r>
      <w:bookmarkStart w:name="bookmark38" w:id="43"/>
      <w:bookmarkEnd w:id="43"/>
      <w:r>
        <w:rPr>
          <w:sz w:val="16"/>
          <w:szCs w:val="16"/>
        </w:rPr>
        <w:t>2020, 20(1):633.</w:t>
      </w:r>
    </w:p>
    <w:p>
      <w:pPr>
        <w:pStyle w:val="BodyText"/>
        <w:ind w:left="376" w:right="343" w:hanging="361"/>
        <w:spacing w:before="38" w:line="30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[47]   Colloca G.  Perf</w:t>
      </w:r>
      <w:r>
        <w:rPr>
          <w:sz w:val="16"/>
          <w:szCs w:val="16"/>
          <w:spacing w:val="-2"/>
        </w:rPr>
        <w:t>ormance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status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2"/>
        </w:rPr>
        <w:t>as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2"/>
        </w:rPr>
        <w:t>prognostic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factor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2"/>
        </w:rPr>
        <w:t>phase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2"/>
        </w:rPr>
        <w:t>III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tri-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als of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1"/>
        </w:rPr>
        <w:t>first-line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chemotherapy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1"/>
        </w:rPr>
        <w:t>of  unresectable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2"/>
        </w:rPr>
        <w:t>or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2"/>
        </w:rPr>
        <w:t>metastatic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2"/>
        </w:rPr>
        <w:t>pan-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creatic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cancer: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trial-level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1"/>
        </w:rPr>
        <w:t>meta-an</w:t>
      </w:r>
      <w:r>
        <w:rPr>
          <w:sz w:val="16"/>
          <w:szCs w:val="16"/>
          <w:spacing w:val="-2"/>
        </w:rPr>
        <w:t>alysis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2"/>
        </w:rPr>
        <w:t>[J].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Asia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2"/>
        </w:rPr>
        <w:t>Pac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2"/>
        </w:rPr>
        <w:t>J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2"/>
        </w:rPr>
        <w:t>Clin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2"/>
        </w:rPr>
        <w:t>Oncol,</w:t>
      </w:r>
      <w:r>
        <w:rPr>
          <w:sz w:val="16"/>
          <w:szCs w:val="16"/>
        </w:rPr>
        <w:t xml:space="preserve"> </w:t>
      </w:r>
      <w:bookmarkStart w:name="bookmark39" w:id="44"/>
      <w:bookmarkEnd w:id="44"/>
      <w:r>
        <w:rPr>
          <w:sz w:val="16"/>
          <w:szCs w:val="16"/>
          <w:spacing w:val="-1"/>
        </w:rPr>
        <w:t>2022,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1"/>
        </w:rPr>
        <w:t>18(3):232-239.</w:t>
      </w:r>
    </w:p>
    <w:p>
      <w:pPr>
        <w:pStyle w:val="BodyText"/>
        <w:ind w:left="380" w:right="342" w:hanging="365"/>
        <w:spacing w:before="40" w:line="30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[48]   Zins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M,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Matos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C,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Cassinotto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2"/>
        </w:rPr>
        <w:t>C.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Pancreatic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adenocarcinoma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staging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era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preoperative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chemotherapy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radia</w:t>
      </w:r>
      <w:r>
        <w:rPr>
          <w:sz w:val="16"/>
          <w:szCs w:val="16"/>
          <w:spacing w:val="-2"/>
        </w:rPr>
        <w:t>tion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therapy[J].</w:t>
      </w:r>
      <w:r>
        <w:rPr>
          <w:sz w:val="16"/>
          <w:szCs w:val="16"/>
        </w:rPr>
        <w:t xml:space="preserve"> </w:t>
      </w:r>
      <w:bookmarkStart w:name="bookmark41" w:id="45"/>
      <w:bookmarkEnd w:id="45"/>
      <w:hyperlink w:history="true" r:id="rId55">
        <w:r>
          <w:rPr>
            <w:sz w:val="16"/>
            <w:szCs w:val="16"/>
            <w:spacing w:val="-1"/>
          </w:rPr>
          <w:t>Radiology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2018,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287(2):374-390.</w:t>
      </w:r>
    </w:p>
    <w:p>
      <w:pPr>
        <w:pStyle w:val="BodyText"/>
        <w:ind w:left="376" w:right="342" w:hanging="361"/>
        <w:spacing w:before="41" w:line="301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[49]   Tsai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2"/>
        </w:rPr>
        <w:t>S,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George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-2"/>
        </w:rPr>
        <w:t>B,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Wittmann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-2"/>
        </w:rPr>
        <w:t>D,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2"/>
        </w:rPr>
        <w:t>Importance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2"/>
        </w:rPr>
        <w:t>normalization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1"/>
        </w:rPr>
        <w:t>CA19-9  levels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following  neoadjuvant  therapy  in  patien</w:t>
      </w:r>
      <w:r>
        <w:rPr>
          <w:sz w:val="16"/>
          <w:szCs w:val="16"/>
          <w:spacing w:val="-2"/>
        </w:rPr>
        <w:t>ts  with</w:t>
      </w:r>
      <w:r>
        <w:rPr>
          <w:sz w:val="16"/>
          <w:szCs w:val="16"/>
        </w:rPr>
        <w:t xml:space="preserve"> </w:t>
      </w:r>
      <w:bookmarkStart w:name="bookmark40" w:id="46"/>
      <w:bookmarkEnd w:id="46"/>
      <w:r>
        <w:rPr>
          <w:sz w:val="16"/>
          <w:szCs w:val="16"/>
        </w:rPr>
        <w:t>localized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pancreatic cancer[J</w:t>
      </w:r>
      <w:r>
        <w:rPr>
          <w:sz w:val="16"/>
          <w:szCs w:val="16"/>
          <w:spacing w:val="-1"/>
        </w:rPr>
        <w:t>]. </w:t>
      </w:r>
      <w:hyperlink w:history="true" r:id="rId56">
        <w:r>
          <w:rPr>
            <w:sz w:val="16"/>
            <w:szCs w:val="16"/>
            <w:spacing w:val="-1"/>
          </w:rPr>
          <w:t>Ann Surg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2020,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271(4):740-747.</w:t>
      </w:r>
    </w:p>
    <w:p>
      <w:pPr>
        <w:pStyle w:val="BodyText"/>
        <w:ind w:left="376" w:right="350" w:hanging="361"/>
        <w:spacing w:before="40" w:line="306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[50]   Ye C,  Sadula  A,  Ren  S,</w:t>
      </w:r>
      <w:r>
        <w:rPr>
          <w:sz w:val="16"/>
          <w:szCs w:val="16"/>
          <w:spacing w:val="47"/>
          <w:w w:val="102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2"/>
        </w:rPr>
        <w:t>The  prognostic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2"/>
        </w:rPr>
        <w:t>value  of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-2"/>
        </w:rPr>
        <w:t>CA19-9  re-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sponse after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1"/>
        </w:rPr>
        <w:t>neoadjuvant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therapy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2"/>
        </w:rPr>
        <w:t>pancreatic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2"/>
        </w:rPr>
        <w:t>can-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cer: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systematic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</w:rPr>
        <w:t>review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pool</w:t>
      </w:r>
      <w:r>
        <w:rPr>
          <w:sz w:val="16"/>
          <w:szCs w:val="16"/>
          <w:spacing w:val="-1"/>
        </w:rPr>
        <w:t>ed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analysis[J].</w:t>
      </w:r>
      <w:r>
        <w:rPr>
          <w:sz w:val="16"/>
          <w:szCs w:val="16"/>
          <w:spacing w:val="14"/>
        </w:rPr>
        <w:t xml:space="preserve"> </w:t>
      </w:r>
      <w:hyperlink w:history="true" r:id="rId57">
        <w:r>
          <w:rPr>
            <w:sz w:val="16"/>
            <w:szCs w:val="16"/>
            <w:spacing w:val="-1"/>
          </w:rPr>
          <w:t>Cancer</w:t>
        </w:r>
      </w:hyperlink>
      <w:hyperlink w:history="true" r:id="rId57">
        <w:r>
          <w:rPr>
            <w:sz w:val="16"/>
            <w:szCs w:val="16"/>
            <w:spacing w:val="-1"/>
          </w:rPr>
          <w:t>Chemoth-</w:t>
        </w:r>
      </w:hyperlink>
      <w:r>
        <w:rPr>
          <w:sz w:val="16"/>
          <w:szCs w:val="16"/>
        </w:rPr>
        <w:t xml:space="preserve"> </w:t>
      </w:r>
      <w:bookmarkStart w:name="bookmark42" w:id="47"/>
      <w:bookmarkEnd w:id="47"/>
      <w:hyperlink w:history="true" r:id="rId57">
        <w:r>
          <w:rPr>
            <w:sz w:val="16"/>
            <w:szCs w:val="16"/>
            <w:spacing w:val="-1"/>
          </w:rPr>
          <w:t>er</w:t>
        </w:r>
        <w:r>
          <w:rPr>
            <w:sz w:val="16"/>
            <w:szCs w:val="16"/>
            <w:spacing w:val="24"/>
            <w:w w:val="101"/>
          </w:rPr>
          <w:t xml:space="preserve"> </w:t>
        </w:r>
        <w:r>
          <w:rPr>
            <w:sz w:val="16"/>
            <w:szCs w:val="16"/>
            <w:spacing w:val="-1"/>
          </w:rPr>
          <w:t>Pharmacol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2020, 86(6):731-740.</w:t>
      </w:r>
    </w:p>
    <w:p>
      <w:pPr>
        <w:pStyle w:val="BodyText"/>
        <w:ind w:left="372" w:right="343" w:hanging="357"/>
        <w:spacing w:before="41" w:line="30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[51]   International Study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Group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Pancreatic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Pathologists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(ISGPP). Ams-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terdam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International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Consensus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1"/>
        </w:rPr>
        <w:t>Meeting: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tumor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respons</w:t>
      </w:r>
      <w:r>
        <w:rPr>
          <w:sz w:val="16"/>
          <w:szCs w:val="16"/>
          <w:spacing w:val="-2"/>
        </w:rPr>
        <w:t>e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2"/>
        </w:rPr>
        <w:t>scoring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1"/>
        </w:rPr>
        <w:t>the  pathology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1"/>
        </w:rPr>
        <w:t>assessment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1"/>
        </w:rPr>
        <w:t>of  resected  pancre</w:t>
      </w:r>
      <w:r>
        <w:rPr>
          <w:sz w:val="16"/>
          <w:szCs w:val="16"/>
          <w:spacing w:val="-2"/>
        </w:rPr>
        <w:t>atic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-2"/>
        </w:rPr>
        <w:t>cancer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2"/>
        </w:rPr>
        <w:t>after</w:t>
      </w:r>
      <w:r>
        <w:rPr>
          <w:sz w:val="16"/>
          <w:szCs w:val="16"/>
        </w:rPr>
        <w:t xml:space="preserve"> </w:t>
      </w:r>
      <w:bookmarkStart w:name="bookmark43" w:id="48"/>
      <w:bookmarkEnd w:id="48"/>
      <w:r>
        <w:rPr>
          <w:sz w:val="16"/>
          <w:szCs w:val="16"/>
        </w:rPr>
        <w:t>neoadjuvant therapy[J]. </w:t>
      </w:r>
      <w:hyperlink w:history="true" r:id="rId58">
        <w:r>
          <w:rPr>
            <w:sz w:val="16"/>
            <w:szCs w:val="16"/>
          </w:rPr>
          <w:t>Mod</w:t>
        </w:r>
        <w:r>
          <w:rPr>
            <w:sz w:val="16"/>
            <w:szCs w:val="16"/>
            <w:spacing w:val="14"/>
          </w:rPr>
          <w:t xml:space="preserve"> </w:t>
        </w:r>
        <w:r>
          <w:rPr>
            <w:sz w:val="16"/>
            <w:szCs w:val="16"/>
          </w:rPr>
          <w:t>Patho</w:t>
        </w:r>
        <w:r>
          <w:rPr>
            <w:sz w:val="16"/>
            <w:szCs w:val="16"/>
            <w:spacing w:val="-1"/>
          </w:rPr>
          <w:t>l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2021, 34(1):4-12.</w:t>
      </w:r>
    </w:p>
    <w:p>
      <w:pPr>
        <w:pStyle w:val="BodyText"/>
        <w:ind w:left="376" w:right="343" w:hanging="361"/>
        <w:spacing w:before="40" w:line="28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[52]   Gall TM, Jacob J,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Frampton AE,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al.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Reduced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-1"/>
        </w:rPr>
        <w:t>dissemination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cir-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culating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tumor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cells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no-touch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-1"/>
        </w:rPr>
        <w:t>isolation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surgical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technique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-2"/>
        </w:rPr>
        <w:t>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8" w:right="2" w:firstLine="8"/>
        <w:spacing w:before="38" w:line="31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patients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-1"/>
        </w:rPr>
        <w:t>pancreatic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"/>
        </w:rPr>
        <w:t>cancer[J].</w:t>
      </w:r>
      <w:r>
        <w:rPr>
          <w:sz w:val="16"/>
          <w:szCs w:val="16"/>
          <w:spacing w:val="21"/>
          <w:w w:val="101"/>
        </w:rPr>
        <w:t xml:space="preserve"> </w:t>
      </w:r>
      <w:hyperlink w:history="true" r:id="rId59">
        <w:r>
          <w:rPr>
            <w:sz w:val="16"/>
            <w:szCs w:val="16"/>
            <w:spacing w:val="-1"/>
          </w:rPr>
          <w:t>JAMA</w:t>
        </w:r>
        <w:r>
          <w:rPr>
            <w:sz w:val="16"/>
            <w:szCs w:val="16"/>
            <w:spacing w:val="26"/>
            <w:w w:val="102"/>
          </w:rPr>
          <w:t xml:space="preserve"> </w:t>
        </w:r>
        <w:r>
          <w:rPr>
            <w:sz w:val="16"/>
            <w:szCs w:val="16"/>
            <w:spacing w:val="-1"/>
          </w:rPr>
          <w:t>Surg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201</w:t>
      </w:r>
      <w:r>
        <w:rPr>
          <w:sz w:val="16"/>
          <w:szCs w:val="16"/>
          <w:spacing w:val="-2"/>
        </w:rPr>
        <w:t>4,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-2"/>
        </w:rPr>
        <w:t>149(5):482-</w:t>
      </w:r>
      <w:r>
        <w:rPr>
          <w:sz w:val="16"/>
          <w:szCs w:val="16"/>
        </w:rPr>
        <w:t xml:space="preserve"> </w:t>
      </w:r>
      <w:bookmarkStart w:name="bookmark45" w:id="49"/>
      <w:bookmarkEnd w:id="49"/>
      <w:r>
        <w:rPr>
          <w:sz w:val="16"/>
          <w:szCs w:val="16"/>
          <w:spacing w:val="-1"/>
        </w:rPr>
        <w:t>485.</w:t>
      </w:r>
    </w:p>
    <w:p>
      <w:pPr>
        <w:pStyle w:val="BodyText"/>
        <w:ind w:left="360" w:right="1" w:hanging="361"/>
        <w:spacing w:before="3" w:line="307" w:lineRule="auto"/>
        <w:tabs>
          <w:tab w:val="left" w:pos="760"/>
        </w:tabs>
        <w:rPr>
          <w:sz w:val="16"/>
          <w:szCs w:val="16"/>
        </w:rPr>
      </w:pPr>
      <w:r>
        <w:rPr>
          <w:sz w:val="16"/>
          <w:szCs w:val="16"/>
          <w:spacing w:val="-2"/>
        </w:rPr>
        <w:t>[53]   Kotb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-2"/>
        </w:rPr>
        <w:t>A,  Hajibandeh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2"/>
        </w:rPr>
        <w:t>S,  Hajibandeh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S,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2"/>
        </w:rPr>
        <w:t>Meta-analysis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trial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sequential</w:t>
      </w:r>
      <w:r>
        <w:rPr>
          <w:sz w:val="16"/>
          <w:szCs w:val="16"/>
          <w:spacing w:val="16"/>
        </w:rPr>
        <w:t xml:space="preserve">  </w:t>
      </w:r>
      <w:r>
        <w:rPr>
          <w:sz w:val="16"/>
          <w:szCs w:val="16"/>
          <w:spacing w:val="-1"/>
        </w:rPr>
        <w:t>analysis</w:t>
      </w:r>
      <w:r>
        <w:rPr>
          <w:sz w:val="16"/>
          <w:szCs w:val="16"/>
          <w:spacing w:val="14"/>
          <w:w w:val="102"/>
        </w:rPr>
        <w:t xml:space="preserve"> 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-1"/>
        </w:rPr>
        <w:t>randomised</w:t>
      </w:r>
      <w:r>
        <w:rPr>
          <w:sz w:val="16"/>
          <w:szCs w:val="16"/>
          <w:spacing w:val="14"/>
          <w:w w:val="102"/>
        </w:rPr>
        <w:t xml:space="preserve">  </w:t>
      </w:r>
      <w:r>
        <w:rPr>
          <w:sz w:val="16"/>
          <w:szCs w:val="16"/>
          <w:spacing w:val="-1"/>
        </w:rPr>
        <w:t>controlled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-1"/>
        </w:rPr>
        <w:t>trials</w:t>
      </w:r>
      <w:r>
        <w:rPr>
          <w:sz w:val="16"/>
          <w:szCs w:val="16"/>
          <w:spacing w:val="14"/>
          <w:w w:val="102"/>
        </w:rPr>
        <w:t xml:space="preserve">  </w:t>
      </w:r>
      <w:r>
        <w:rPr>
          <w:sz w:val="16"/>
          <w:szCs w:val="16"/>
          <w:spacing w:val="-1"/>
        </w:rPr>
        <w:t>comparing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standard versus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extended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lymphadenectomy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pancreatoduoden-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ectomy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-1"/>
        </w:rPr>
        <w:t>adenocarcinoma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the  head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1"/>
        </w:rPr>
        <w:t>of  pa</w:t>
      </w:r>
      <w:r>
        <w:rPr>
          <w:sz w:val="16"/>
          <w:szCs w:val="16"/>
          <w:spacing w:val="-2"/>
        </w:rPr>
        <w:t>ncreas[J].</w:t>
      </w:r>
      <w:r>
        <w:rPr>
          <w:sz w:val="16"/>
          <w:szCs w:val="16"/>
          <w:spacing w:val="13"/>
          <w:w w:val="102"/>
        </w:rPr>
        <w:t xml:space="preserve"> </w:t>
      </w:r>
      <w:hyperlink w:history="true" r:id="rId60">
        <w:r>
          <w:rPr>
            <w:sz w:val="16"/>
            <w:szCs w:val="16"/>
            <w:spacing w:val="-2"/>
          </w:rPr>
          <w:t>Langen-</w:t>
        </w:r>
      </w:hyperlink>
      <w:r>
        <w:rPr>
          <w:sz w:val="16"/>
          <w:szCs w:val="16"/>
        </w:rPr>
        <w:t xml:space="preserve">  </w:t>
      </w:r>
      <w:bookmarkStart w:name="bookmark46" w:id="50"/>
      <w:bookmarkEnd w:id="50"/>
      <w:hyperlink w:history="true" r:id="rId60">
        <w:r>
          <w:rPr>
            <w:sz w:val="16"/>
            <w:szCs w:val="16"/>
          </w:rPr>
          <w:tab/>
        </w:r>
        <w:r>
          <w:rPr>
            <w:sz w:val="16"/>
            <w:szCs w:val="16"/>
            <w:spacing w:val="-11"/>
          </w:rPr>
          <w:t>Arch</w:t>
        </w:r>
        <w:r>
          <w:rPr>
            <w:sz w:val="16"/>
            <w:szCs w:val="16"/>
            <w:spacing w:val="5"/>
          </w:rPr>
          <w:t xml:space="preserve"> </w:t>
        </w:r>
        <w:r>
          <w:rPr>
            <w:sz w:val="16"/>
            <w:szCs w:val="16"/>
            <w:spacing w:val="-11"/>
          </w:rPr>
          <w:t>Surg</w:t>
        </w:r>
      </w:hyperlink>
      <w:r>
        <w:rPr>
          <w:sz w:val="16"/>
          <w:szCs w:val="16"/>
          <w:spacing w:val="-11"/>
        </w:rPr>
        <w:t>becks,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11"/>
        </w:rPr>
        <w:t>2021,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1"/>
        </w:rPr>
        <w:t>406(3):54</w:t>
      </w:r>
      <w:r>
        <w:rPr>
          <w:sz w:val="16"/>
          <w:szCs w:val="16"/>
          <w:spacing w:val="-12"/>
        </w:rPr>
        <w:t>7-561.</w:t>
      </w:r>
    </w:p>
    <w:p>
      <w:pPr>
        <w:pStyle w:val="BodyText"/>
        <w:ind w:left="362" w:right="2" w:hanging="362"/>
        <w:spacing w:before="41" w:line="30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[54]   Zhou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Q,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Fengwei-Gao,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Gong J,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al. Assessement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postop</w:t>
      </w:r>
      <w:r>
        <w:rPr>
          <w:sz w:val="16"/>
          <w:szCs w:val="16"/>
          <w:spacing w:val="-2"/>
        </w:rPr>
        <w:t>erative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long-term survival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1"/>
        </w:rPr>
        <w:t>quality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complications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1"/>
        </w:rPr>
        <w:t>associated with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radic-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al antegrade  modular  pancreatosplenectomy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1"/>
        </w:rPr>
        <w:t>distal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1"/>
        </w:rPr>
        <w:t>pancre-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atectomy</w:t>
      </w:r>
      <w:r>
        <w:rPr>
          <w:sz w:val="16"/>
          <w:szCs w:val="16"/>
          <w:spacing w:val="3"/>
        </w:rPr>
        <w:t>:  </w:t>
      </w:r>
      <w:r>
        <w:rPr>
          <w:sz w:val="16"/>
          <w:szCs w:val="16"/>
        </w:rPr>
        <w:t>a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meta</w:t>
      </w:r>
      <w:r>
        <w:rPr>
          <w:sz w:val="16"/>
          <w:szCs w:val="16"/>
          <w:spacing w:val="3"/>
        </w:rPr>
        <w:t>-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and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systematic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review</w:t>
      </w:r>
      <w:r>
        <w:rPr>
          <w:sz w:val="16"/>
          <w:szCs w:val="16"/>
          <w:spacing w:val="3"/>
        </w:rPr>
        <w:t>[J].  </w:t>
      </w:r>
      <w:hyperlink w:history="true" r:id="rId61">
        <w:r>
          <w:rPr>
            <w:sz w:val="16"/>
            <w:szCs w:val="16"/>
          </w:rPr>
          <w:t>BMC</w:t>
        </w:r>
      </w:hyperlink>
      <w:r>
        <w:rPr>
          <w:sz w:val="16"/>
          <w:szCs w:val="16"/>
        </w:rPr>
        <w:t>Surg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</w:rPr>
        <w:t xml:space="preserve"> </w:t>
      </w:r>
      <w:bookmarkStart w:name="bookmark47" w:id="51"/>
      <w:bookmarkEnd w:id="51"/>
      <w:r>
        <w:rPr>
          <w:sz w:val="16"/>
          <w:szCs w:val="16"/>
          <w:spacing w:val="-1"/>
        </w:rPr>
        <w:t>2019,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19(1):12.</w:t>
      </w:r>
    </w:p>
    <w:p>
      <w:pPr>
        <w:pStyle w:val="BodyText"/>
        <w:ind w:left="362" w:right="1" w:hanging="362"/>
        <w:spacing w:before="39" w:line="306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[55]   Ramacciato  G,  Nigri  G,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-2"/>
        </w:rPr>
        <w:t>Petrucciani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2"/>
        </w:rPr>
        <w:t>N,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2"/>
        </w:rPr>
        <w:t>Pancreatectomy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2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mesenteric  and   portal  vein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1"/>
        </w:rPr>
        <w:t>resection  for   borderline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-1"/>
        </w:rPr>
        <w:t>resec</w:t>
      </w:r>
      <w:r>
        <w:rPr>
          <w:sz w:val="16"/>
          <w:szCs w:val="16"/>
          <w:spacing w:val="-2"/>
        </w:rPr>
        <w:t>table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pancreatic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cancer: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multicenter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1"/>
        </w:rPr>
        <w:t>study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406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"/>
        </w:rPr>
        <w:t>patients[J</w:t>
      </w:r>
      <w:r>
        <w:rPr>
          <w:sz w:val="16"/>
          <w:szCs w:val="16"/>
          <w:spacing w:val="-2"/>
        </w:rPr>
        <w:t>].</w:t>
      </w:r>
      <w:r>
        <w:rPr>
          <w:sz w:val="16"/>
          <w:szCs w:val="16"/>
          <w:spacing w:val="17"/>
        </w:rPr>
        <w:t xml:space="preserve"> </w:t>
      </w:r>
      <w:hyperlink w:history="true" r:id="rId62">
        <w:r>
          <w:rPr>
            <w:sz w:val="16"/>
            <w:szCs w:val="16"/>
            <w:spacing w:val="-2"/>
          </w:rPr>
          <w:t>Ann</w:t>
        </w:r>
        <w:r>
          <w:rPr>
            <w:sz w:val="16"/>
            <w:szCs w:val="16"/>
            <w:spacing w:val="23"/>
          </w:rPr>
          <w:t xml:space="preserve"> </w:t>
        </w:r>
        <w:r>
          <w:rPr>
            <w:sz w:val="16"/>
            <w:szCs w:val="16"/>
            <w:spacing w:val="-2"/>
          </w:rPr>
          <w:t>Surg</w:t>
        </w:r>
      </w:hyperlink>
      <w:r>
        <w:rPr>
          <w:sz w:val="16"/>
          <w:szCs w:val="16"/>
        </w:rPr>
        <w:t xml:space="preserve"> </w:t>
      </w:r>
      <w:bookmarkStart w:name="bookmark48" w:id="52"/>
      <w:bookmarkEnd w:id="52"/>
      <w:hyperlink w:history="true" r:id="rId62">
        <w:r>
          <w:rPr>
            <w:sz w:val="16"/>
            <w:szCs w:val="16"/>
            <w:spacing w:val="-1"/>
          </w:rPr>
          <w:t>Oncol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2016,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23(6):2028-2037.</w:t>
      </w:r>
    </w:p>
    <w:p>
      <w:pPr>
        <w:pStyle w:val="BodyText"/>
        <w:ind w:left="357" w:right="2" w:hanging="357"/>
        <w:spacing w:before="38" w:line="302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[56]   Małczak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P,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Sierżęga  M,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Stefura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T,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2"/>
        </w:rPr>
        <w:t>Arterial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2"/>
        </w:rPr>
        <w:t>resections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2"/>
        </w:rPr>
        <w:t>pan-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creatic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cancer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-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Systematic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</w:rPr>
        <w:t>review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</w:rPr>
        <w:t>meta-analysis[J].</w:t>
      </w:r>
      <w:r>
        <w:rPr>
          <w:sz w:val="16"/>
          <w:szCs w:val="16"/>
          <w:spacing w:val="15"/>
          <w:w w:val="102"/>
        </w:rPr>
        <w:t xml:space="preserve"> </w:t>
      </w:r>
      <w:hyperlink w:history="true" r:id="rId63">
        <w:r>
          <w:rPr>
            <w:sz w:val="16"/>
            <w:szCs w:val="16"/>
            <w:spacing w:val="-1"/>
          </w:rPr>
          <w:t>HPB</w:t>
        </w:r>
      </w:hyperlink>
      <w:r>
        <w:rPr>
          <w:sz w:val="16"/>
          <w:szCs w:val="16"/>
          <w:spacing w:val="-1"/>
        </w:rPr>
        <w:t>(</w:t>
      </w:r>
      <w:hyperlink w:history="true" r:id="rId63">
        <w:r>
          <w:rPr>
            <w:sz w:val="16"/>
            <w:szCs w:val="16"/>
            <w:spacing w:val="-1"/>
          </w:rPr>
          <w:t>Ox-</w:t>
        </w:r>
      </w:hyperlink>
      <w:r>
        <w:rPr>
          <w:sz w:val="16"/>
          <w:szCs w:val="16"/>
        </w:rPr>
        <w:t xml:space="preserve"> </w:t>
      </w:r>
      <w:bookmarkStart w:name="bookmark49" w:id="53"/>
      <w:bookmarkEnd w:id="53"/>
      <w:hyperlink w:history="true" r:id="rId63">
        <w:r>
          <w:rPr>
            <w:sz w:val="16"/>
            <w:szCs w:val="16"/>
          </w:rPr>
          <w:t>ford)</w:t>
        </w:r>
      </w:hyperlink>
      <w:r>
        <w:rPr>
          <w:sz w:val="16"/>
          <w:szCs w:val="16"/>
        </w:rPr>
        <w:t>, 2020,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</w:rPr>
        <w:t>22(7):961-</w:t>
      </w:r>
      <w:r>
        <w:rPr>
          <w:sz w:val="16"/>
          <w:szCs w:val="16"/>
          <w:spacing w:val="-1"/>
        </w:rPr>
        <w:t>968.</w:t>
      </w:r>
    </w:p>
    <w:p>
      <w:pPr>
        <w:pStyle w:val="BodyText"/>
        <w:ind w:left="357" w:right="1" w:hanging="358"/>
        <w:spacing w:before="39" w:line="306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[57]   Liu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-2"/>
        </w:rPr>
        <w:t>L,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2"/>
        </w:rPr>
        <w:t>Liu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TX,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2"/>
        </w:rPr>
        <w:t>Huang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WX,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2"/>
        </w:rPr>
        <w:t>Distal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2"/>
        </w:rPr>
        <w:t>pancreatectomy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with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2"/>
        </w:rPr>
        <w:t>En-bloc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celiac axis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resection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locally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-1"/>
        </w:rPr>
        <w:t>advanced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pancreati</w:t>
      </w:r>
      <w:r>
        <w:rPr>
          <w:sz w:val="16"/>
          <w:szCs w:val="16"/>
          <w:spacing w:val="-2"/>
        </w:rPr>
        <w:t>c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2"/>
        </w:rPr>
        <w:t>body/tail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can-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cer: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systematic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review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</w:rPr>
        <w:t>meta-analysis[J].</w:t>
      </w:r>
      <w:r>
        <w:rPr>
          <w:sz w:val="16"/>
          <w:szCs w:val="16"/>
          <w:spacing w:val="15"/>
        </w:rPr>
        <w:t xml:space="preserve"> </w:t>
      </w:r>
      <w:hyperlink w:history="true" r:id="rId64">
        <w:r>
          <w:rPr>
            <w:sz w:val="16"/>
            <w:szCs w:val="16"/>
          </w:rPr>
          <w:t>Asia</w:t>
        </w:r>
        <w:r>
          <w:rPr>
            <w:sz w:val="16"/>
            <w:szCs w:val="16"/>
            <w:spacing w:val="-1"/>
          </w:rPr>
          <w:t>n</w:t>
        </w:r>
        <w:r>
          <w:rPr>
            <w:sz w:val="16"/>
            <w:szCs w:val="16"/>
            <w:spacing w:val="16"/>
            <w:w w:val="101"/>
          </w:rPr>
          <w:t xml:space="preserve"> </w:t>
        </w:r>
        <w:r>
          <w:rPr>
            <w:sz w:val="16"/>
            <w:szCs w:val="16"/>
            <w:spacing w:val="-1"/>
          </w:rPr>
          <w:t>J</w:t>
        </w:r>
      </w:hyperlink>
      <w:r>
        <w:rPr>
          <w:sz w:val="16"/>
          <w:szCs w:val="16"/>
          <w:spacing w:val="-1"/>
        </w:rPr>
        <w:t>Surg,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1"/>
        </w:rPr>
        <w:t>2022,</w:t>
      </w:r>
      <w:r>
        <w:rPr>
          <w:sz w:val="16"/>
          <w:szCs w:val="16"/>
        </w:rPr>
        <w:t xml:space="preserve"> </w:t>
      </w:r>
      <w:bookmarkStart w:name="bookmark50" w:id="54"/>
      <w:bookmarkEnd w:id="54"/>
      <w:r>
        <w:rPr>
          <w:sz w:val="16"/>
          <w:szCs w:val="16"/>
        </w:rPr>
        <w:t>45(1):51-61.</w:t>
      </w:r>
    </w:p>
    <w:p>
      <w:pPr>
        <w:pStyle w:val="BodyText"/>
        <w:ind w:left="360" w:right="2" w:hanging="361"/>
        <w:spacing w:before="40" w:line="301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[58]   Rebelo A,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Büdeyri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I,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Heckler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M,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-2"/>
        </w:rPr>
        <w:t>Systematic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review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meta-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analysis  of  contemporary  pancreas  surgery  with  arterial  resecti-</w:t>
      </w:r>
      <w:r>
        <w:rPr>
          <w:sz w:val="16"/>
          <w:szCs w:val="16"/>
          <w:spacing w:val="12"/>
          <w:w w:val="101"/>
        </w:rPr>
        <w:t xml:space="preserve"> </w:t>
      </w:r>
      <w:bookmarkStart w:name="bookmark51" w:id="55"/>
      <w:bookmarkEnd w:id="55"/>
      <w:r>
        <w:rPr>
          <w:sz w:val="16"/>
          <w:szCs w:val="16"/>
        </w:rPr>
        <w:t>on[J].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Langenbecks Arch Sur</w:t>
      </w:r>
      <w:r>
        <w:rPr>
          <w:sz w:val="16"/>
          <w:szCs w:val="16"/>
          <w:spacing w:val="-1"/>
        </w:rPr>
        <w:t>g,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2020, 405(7):903-919.</w:t>
      </w:r>
    </w:p>
    <w:p>
      <w:pPr>
        <w:pStyle w:val="BodyText"/>
        <w:ind w:left="357" w:right="1" w:hanging="357"/>
        <w:spacing w:before="43" w:line="30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[59]   Minimally   Invasive  Treatment  Group   i</w:t>
      </w:r>
      <w:r>
        <w:rPr>
          <w:sz w:val="16"/>
          <w:szCs w:val="16"/>
          <w:spacing w:val="-2"/>
        </w:rPr>
        <w:t>n  the   Pancreatic   Disease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Branch of  China's  International  Exchange  and  Promotion  Associ-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ation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1"/>
        </w:rPr>
        <w:t>Medicine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1"/>
        </w:rPr>
        <w:t>Healthcare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1"/>
        </w:rPr>
        <w:t>(MITG-P-CPAM</w:t>
      </w:r>
      <w:r>
        <w:rPr>
          <w:sz w:val="16"/>
          <w:szCs w:val="16"/>
          <w:spacing w:val="-2"/>
        </w:rPr>
        <w:t>).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2"/>
        </w:rPr>
        <w:t>Laparoscopic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versus open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1"/>
        </w:rPr>
        <w:t>pancreatoduodenectomy for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pancreatic or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periampul-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lary tumours: a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multicentre, open-lab</w:t>
      </w:r>
      <w:r>
        <w:rPr>
          <w:sz w:val="16"/>
          <w:szCs w:val="16"/>
          <w:spacing w:val="-1"/>
        </w:rPr>
        <w:t>el,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randomised controlled tri-</w:t>
      </w:r>
      <w:r>
        <w:rPr>
          <w:sz w:val="16"/>
          <w:szCs w:val="16"/>
        </w:rPr>
        <w:t xml:space="preserve"> </w:t>
      </w:r>
      <w:bookmarkStart w:name="bookmark52" w:id="56"/>
      <w:bookmarkEnd w:id="56"/>
      <w:r>
        <w:rPr>
          <w:sz w:val="16"/>
          <w:szCs w:val="16"/>
        </w:rPr>
        <w:t>al[J]. </w:t>
      </w:r>
      <w:hyperlink w:history="true" r:id="rId65">
        <w:r>
          <w:rPr>
            <w:sz w:val="16"/>
            <w:szCs w:val="16"/>
          </w:rPr>
          <w:t>Lancet Gastroenterol</w:t>
        </w:r>
        <w:r>
          <w:rPr>
            <w:sz w:val="16"/>
            <w:szCs w:val="16"/>
            <w:spacing w:val="13"/>
            <w:w w:val="101"/>
          </w:rPr>
          <w:t xml:space="preserve"> </w:t>
        </w:r>
        <w:r>
          <w:rPr>
            <w:sz w:val="16"/>
            <w:szCs w:val="16"/>
          </w:rPr>
          <w:t>Hepatol</w:t>
        </w:r>
      </w:hyperlink>
      <w:r>
        <w:rPr>
          <w:sz w:val="16"/>
          <w:szCs w:val="16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2021, 6(6):438-447.</w:t>
      </w:r>
    </w:p>
    <w:p>
      <w:pPr>
        <w:pStyle w:val="BodyText"/>
        <w:ind w:left="360" w:right="2" w:hanging="361"/>
        <w:spacing w:before="40" w:line="314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[60]   Nickel  F,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1"/>
        </w:rPr>
        <w:t>Haney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1"/>
        </w:rPr>
        <w:t>CM</w:t>
      </w:r>
      <w:r>
        <w:rPr>
          <w:sz w:val="16"/>
          <w:szCs w:val="16"/>
          <w:spacing w:val="-2"/>
        </w:rPr>
        <w:t>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2"/>
        </w:rPr>
        <w:t>Kowalewski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2"/>
        </w:rPr>
        <w:t>KF,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2"/>
        </w:rPr>
        <w:t>Laparoscopic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-2"/>
        </w:rPr>
        <w:t>versus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open  pancreaticoduodenectomy:  a  systematic  review  and  m</w:t>
      </w:r>
      <w:r>
        <w:rPr>
          <w:sz w:val="16"/>
          <w:szCs w:val="16"/>
          <w:spacing w:val="-2"/>
        </w:rPr>
        <w:t>eta-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analysis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randomized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controlled trials[J]. Ann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Surg,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2020,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271(1):</w:t>
      </w:r>
      <w:r>
        <w:rPr>
          <w:sz w:val="16"/>
          <w:szCs w:val="16"/>
        </w:rPr>
        <w:t xml:space="preserve"> </w:t>
      </w:r>
      <w:bookmarkStart w:name="bookmark53" w:id="57"/>
      <w:bookmarkEnd w:id="57"/>
      <w:r>
        <w:rPr>
          <w:sz w:val="16"/>
          <w:szCs w:val="16"/>
          <w:spacing w:val="-2"/>
        </w:rPr>
        <w:t>54-66.</w:t>
      </w:r>
    </w:p>
    <w:p>
      <w:pPr>
        <w:pStyle w:val="BodyText"/>
        <w:ind w:left="357" w:right="1" w:hanging="357"/>
        <w:spacing w:before="14" w:line="301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[61]   Kamarajah SK,  Bundred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2"/>
        </w:rPr>
        <w:t>J,  Marc  OS,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2"/>
        </w:rPr>
        <w:t>al.  Robotic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versus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2"/>
        </w:rPr>
        <w:t>conven-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tional  laparoscopic  pancreaticoduode</w:t>
      </w:r>
      <w:r>
        <w:rPr>
          <w:sz w:val="16"/>
          <w:szCs w:val="16"/>
          <w:spacing w:val="-1"/>
        </w:rPr>
        <w:t>nectomy  a  systematic  revi-</w:t>
      </w:r>
      <w:r>
        <w:rPr>
          <w:sz w:val="16"/>
          <w:szCs w:val="16"/>
        </w:rPr>
        <w:t xml:space="preserve"> </w:t>
      </w:r>
      <w:bookmarkStart w:name="bookmark54" w:id="58"/>
      <w:bookmarkEnd w:id="58"/>
      <w:r>
        <w:rPr>
          <w:sz w:val="16"/>
          <w:szCs w:val="16"/>
        </w:rPr>
        <w:t>ew and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meta-analysis[J].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Eur</w:t>
      </w:r>
      <w:r>
        <w:rPr>
          <w:sz w:val="16"/>
          <w:szCs w:val="16"/>
          <w:spacing w:val="-1"/>
        </w:rPr>
        <w:t xml:space="preserve"> J Surg Oncol,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2020, 46(1):6-14.</w:t>
      </w:r>
    </w:p>
    <w:p>
      <w:pPr>
        <w:pStyle w:val="BodyText"/>
        <w:ind w:left="357" w:right="8" w:hanging="357"/>
        <w:spacing w:before="42" w:line="305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[62]   Kurlinkus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2"/>
        </w:rPr>
        <w:t>B,  Ahola  R,  Zwart  E,  et  al.  In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2"/>
        </w:rPr>
        <w:t>th</w:t>
      </w:r>
      <w:r>
        <w:rPr>
          <w:sz w:val="16"/>
          <w:szCs w:val="16"/>
          <w:spacing w:val="-3"/>
        </w:rPr>
        <w:t>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3"/>
        </w:rPr>
        <w:t>era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-3"/>
        </w:rPr>
        <w:t>of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3"/>
        </w:rPr>
        <w:t>the  leeds  pro-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tocol: 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systematic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review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meta-analysis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2"/>
        </w:rPr>
        <w:t>on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effect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re-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section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margins  on  surv</w:t>
      </w:r>
      <w:r>
        <w:rPr>
          <w:sz w:val="16"/>
          <w:szCs w:val="16"/>
          <w:spacing w:val="-1"/>
        </w:rPr>
        <w:t>ival  among  pancreatic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1"/>
        </w:rPr>
        <w:t>ductal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-1"/>
        </w:rPr>
        <w:t>adenocar-</w:t>
      </w:r>
      <w:r>
        <w:rPr>
          <w:sz w:val="16"/>
          <w:szCs w:val="16"/>
        </w:rPr>
        <w:t xml:space="preserve">  </w:t>
      </w:r>
      <w:bookmarkStart w:name="bookmark55" w:id="59"/>
      <w:bookmarkEnd w:id="59"/>
      <w:r>
        <w:rPr>
          <w:sz w:val="16"/>
          <w:szCs w:val="16"/>
        </w:rPr>
        <w:t>cinoma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patients[J]. </w:t>
      </w:r>
      <w:hyperlink w:history="true" r:id="rId66">
        <w:r>
          <w:rPr>
            <w:sz w:val="16"/>
            <w:szCs w:val="16"/>
            <w:spacing w:val="-1"/>
          </w:rPr>
          <w:t>Scand J Surg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2020,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109(1):11-17.</w:t>
      </w:r>
    </w:p>
    <w:p>
      <w:pPr>
        <w:pStyle w:val="BodyText"/>
        <w:ind w:left="360" w:hanging="361"/>
        <w:spacing w:before="42" w:line="314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[63]   Moore  MJ,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2"/>
        </w:rPr>
        <w:t>Goldstein  D,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-2"/>
        </w:rPr>
        <w:t>Hamm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J,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-2"/>
        </w:rPr>
        <w:t>Erlotinib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plus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2"/>
        </w:rPr>
        <w:t>gemcitabi</w:t>
      </w:r>
      <w:r>
        <w:rPr>
          <w:sz w:val="16"/>
          <w:szCs w:val="16"/>
          <w:spacing w:val="-3"/>
        </w:rPr>
        <w:t>ne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compared with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gemcitabine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alone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1"/>
        </w:rPr>
        <w:t>w</w:t>
      </w:r>
      <w:r>
        <w:rPr>
          <w:sz w:val="16"/>
          <w:szCs w:val="16"/>
          <w:spacing w:val="-2"/>
        </w:rPr>
        <w:t>ith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2"/>
        </w:rPr>
        <w:t>advanced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-2"/>
        </w:rPr>
        <w:t>pan-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cre</w:t>
      </w:r>
      <w:r>
        <w:rPr>
          <w:sz w:val="16"/>
          <w:szCs w:val="16"/>
          <w:spacing w:val="-2"/>
        </w:rPr>
        <w:t>atic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-2"/>
        </w:rPr>
        <w:t>cancer: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2"/>
        </w:rPr>
        <w:t>phase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2"/>
        </w:rPr>
        <w:t>III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trial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2"/>
        </w:rPr>
        <w:t>National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2"/>
        </w:rPr>
        <w:t>Cancer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2"/>
        </w:rPr>
        <w:t>Institute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2"/>
        </w:rPr>
        <w:t>o</w:t>
      </w:r>
      <w:r>
        <w:rPr>
          <w:sz w:val="16"/>
          <w:szCs w:val="16"/>
          <w:spacing w:val="1"/>
        </w:rPr>
        <w:t>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Canada  Clinical  Trials</w:t>
      </w:r>
      <w:r>
        <w:rPr>
          <w:sz w:val="16"/>
          <w:szCs w:val="16"/>
          <w:spacing w:val="-1"/>
        </w:rPr>
        <w:t xml:space="preserve">  Group[J].  </w:t>
      </w:r>
      <w:hyperlink w:history="true" r:id="rId67">
        <w:r>
          <w:rPr>
            <w:sz w:val="16"/>
            <w:szCs w:val="16"/>
            <w:spacing w:val="-1"/>
          </w:rPr>
          <w:t>J  Clin  Onco</w:t>
        </w:r>
      </w:hyperlink>
      <w:r>
        <w:rPr>
          <w:sz w:val="16"/>
          <w:szCs w:val="16"/>
          <w:spacing w:val="-1"/>
        </w:rPr>
        <w:t>l,  2007,  25(15):1960-</w:t>
      </w:r>
      <w:r>
        <w:rPr>
          <w:sz w:val="16"/>
          <w:szCs w:val="16"/>
        </w:rPr>
        <w:t xml:space="preserve"> </w:t>
      </w:r>
      <w:bookmarkStart w:name="bookmark56" w:id="60"/>
      <w:bookmarkEnd w:id="60"/>
      <w:r>
        <w:rPr>
          <w:sz w:val="16"/>
          <w:szCs w:val="16"/>
          <w:spacing w:val="-2"/>
        </w:rPr>
        <w:t>1966.</w:t>
      </w:r>
    </w:p>
    <w:p>
      <w:pPr>
        <w:pStyle w:val="BodyText"/>
        <w:ind w:left="362" w:right="1" w:hanging="362"/>
        <w:spacing w:before="13" w:line="306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[64]   Boeck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2"/>
        </w:rPr>
        <w:t>S, Jung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A,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2"/>
        </w:rPr>
        <w:t>Laubender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2"/>
        </w:rPr>
        <w:t>RP,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2"/>
        </w:rPr>
        <w:t>EGFR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pathway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biomarkers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erlotinib-treated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1"/>
        </w:rPr>
        <w:t>advanced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pancreatic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cancer: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trans-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lational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results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from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randomised,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crosso</w:t>
      </w:r>
      <w:r>
        <w:rPr>
          <w:sz w:val="16"/>
          <w:szCs w:val="16"/>
          <w:spacing w:val="-2"/>
        </w:rPr>
        <w:t>ver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2"/>
        </w:rPr>
        <w:t>phase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2"/>
        </w:rPr>
        <w:t>3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2"/>
        </w:rPr>
        <w:t>trial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2"/>
        </w:rPr>
        <w:t>AIO-</w:t>
      </w:r>
      <w:r>
        <w:rPr>
          <w:sz w:val="16"/>
          <w:szCs w:val="16"/>
        </w:rPr>
        <w:t xml:space="preserve"> </w:t>
      </w:r>
      <w:bookmarkStart w:name="bookmark57" w:id="61"/>
      <w:bookmarkEnd w:id="61"/>
      <w:r>
        <w:rPr>
          <w:sz w:val="16"/>
          <w:szCs w:val="16"/>
        </w:rPr>
        <w:t>PK0104[J]. </w:t>
      </w:r>
      <w:hyperlink w:history="true" r:id="rId68">
        <w:r>
          <w:rPr>
            <w:sz w:val="16"/>
            <w:szCs w:val="16"/>
          </w:rPr>
          <w:t>Br J Can</w:t>
        </w:r>
        <w:r>
          <w:rPr>
            <w:sz w:val="16"/>
            <w:szCs w:val="16"/>
            <w:spacing w:val="-1"/>
          </w:rPr>
          <w:t>cer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1"/>
        </w:rPr>
        <w:t>2013,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108(2):469-476.</w:t>
      </w:r>
    </w:p>
    <w:p>
      <w:pPr>
        <w:pStyle w:val="BodyText"/>
        <w:ind w:left="357" w:right="2" w:hanging="357"/>
        <w:spacing w:before="39" w:line="301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[65]   Sinn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2"/>
        </w:rPr>
        <w:t>M,  Bahra  M,  Liersch  T,  et  al.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-2"/>
        </w:rPr>
        <w:t>CONKO-005: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2"/>
        </w:rPr>
        <w:t>adjuvant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2"/>
        </w:rPr>
        <w:t>chemo-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therapy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1"/>
        </w:rPr>
        <w:t>gemcitabine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plus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1"/>
        </w:rPr>
        <w:t>erlotinib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versus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gemcitabine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alone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51"/>
          <w:w w:val="101"/>
        </w:rPr>
        <w:t xml:space="preserve"> </w:t>
      </w:r>
      <w:r>
        <w:rPr>
          <w:sz w:val="16"/>
          <w:szCs w:val="16"/>
          <w:spacing w:val="-2"/>
        </w:rPr>
        <w:t>patients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2"/>
        </w:rPr>
        <w:t>after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-2"/>
        </w:rPr>
        <w:t>r0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-2"/>
        </w:rPr>
        <w:t>resection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2"/>
        </w:rPr>
        <w:t>pancreatic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2"/>
        </w:rPr>
        <w:t>cancer: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-2"/>
        </w:rPr>
        <w:t>multicenter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randomized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phase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III trial[J]. </w:t>
      </w:r>
      <w:hyperlink w:history="true" r:id="rId69">
        <w:r>
          <w:rPr>
            <w:sz w:val="16"/>
            <w:szCs w:val="16"/>
          </w:rPr>
          <w:t>J Cl</w:t>
        </w:r>
        <w:r>
          <w:rPr>
            <w:sz w:val="16"/>
            <w:szCs w:val="16"/>
            <w:spacing w:val="-1"/>
          </w:rPr>
          <w:t>in Oncol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2017, 35(29):3330-3337.</w:t>
      </w:r>
    </w:p>
    <w:p>
      <w:pPr>
        <w:spacing w:line="301" w:lineRule="auto"/>
        <w:sectPr>
          <w:type w:val="continuous"/>
          <w:pgSz w:w="12246" w:h="17178"/>
          <w:pgMar w:top="1297" w:right="1202" w:bottom="0" w:left="1190" w:header="928" w:footer="0" w:gutter="0"/>
          <w:cols w:equalWidth="0" w:num="2">
            <w:col w:w="5055" w:space="100"/>
            <w:col w:w="4699" w:space="0"/>
          </w:cols>
        </w:sectPr>
        <w:rPr>
          <w:sz w:val="16"/>
          <w:szCs w:val="16"/>
        </w:rPr>
      </w:pPr>
    </w:p>
    <w:p>
      <w:pPr>
        <w:spacing w:before="95"/>
        <w:rPr/>
      </w:pPr>
      <w:r/>
    </w:p>
    <w:p>
      <w:pPr>
        <w:sectPr>
          <w:headerReference w:type="default" r:id="rId70"/>
          <w:pgSz w:w="12246" w:h="17178"/>
          <w:pgMar w:top="1297" w:right="1138" w:bottom="0" w:left="1184" w:header="928" w:footer="0" w:gutter="0"/>
          <w:cols w:equalWidth="0" w:num="1">
            <w:col w:w="9923" w:space="0"/>
          </w:cols>
        </w:sectPr>
        <w:rPr/>
      </w:pPr>
    </w:p>
    <w:p>
      <w:pPr>
        <w:pStyle w:val="BodyText"/>
        <w:ind w:left="377" w:right="343" w:hanging="357"/>
        <w:spacing w:before="40" w:line="301" w:lineRule="auto"/>
        <w:rPr>
          <w:sz w:val="16"/>
          <w:szCs w:val="16"/>
        </w:rPr>
      </w:pPr>
      <w:bookmarkStart w:name="bookmark58" w:id="62"/>
      <w:bookmarkEnd w:id="62"/>
      <w:r>
        <w:rPr>
          <w:sz w:val="16"/>
          <w:szCs w:val="16"/>
          <w:spacing w:val="-1"/>
        </w:rPr>
        <w:t>[66]   Arnold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"/>
        </w:rPr>
        <w:t>D,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Oh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"/>
        </w:rPr>
        <w:t>DY</w:t>
      </w:r>
      <w:r>
        <w:rPr>
          <w:sz w:val="16"/>
          <w:szCs w:val="16"/>
          <w:spacing w:val="-2"/>
        </w:rPr>
        <w:t>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2"/>
        </w:rPr>
        <w:t>Reinacher-Schick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A,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-2"/>
        </w:rPr>
        <w:t>Maintenance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2"/>
        </w:rPr>
        <w:t>olaparib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9"/>
          <w:w w:val="102"/>
        </w:rPr>
        <w:t xml:space="preserve">  </w:t>
      </w:r>
      <w:r>
        <w:rPr>
          <w:sz w:val="16"/>
          <w:szCs w:val="16"/>
          <w:spacing w:val="-1"/>
        </w:rPr>
        <w:t>germline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-1"/>
        </w:rPr>
        <w:t>BRCA-mutated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  <w:spacing w:val="-1"/>
        </w:rPr>
        <w:t>metastatic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  <w:spacing w:val="-1"/>
        </w:rPr>
        <w:t>panc</w:t>
      </w:r>
      <w:r>
        <w:rPr>
          <w:sz w:val="16"/>
          <w:szCs w:val="16"/>
          <w:spacing w:val="-2"/>
        </w:rPr>
        <w:t>reatic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-2"/>
        </w:rPr>
        <w:t>cancer[J].</w:t>
      </w:r>
      <w:r>
        <w:rPr>
          <w:sz w:val="16"/>
          <w:szCs w:val="16"/>
          <w:spacing w:val="13"/>
          <w:w w:val="102"/>
        </w:rPr>
        <w:t xml:space="preserve"> </w:t>
      </w:r>
      <w:hyperlink w:history="true" r:id="rId71">
        <w:r>
          <w:rPr>
            <w:sz w:val="16"/>
            <w:szCs w:val="16"/>
            <w:spacing w:val="-2"/>
          </w:rPr>
          <w:t>N</w:t>
        </w:r>
        <w:r>
          <w:rPr>
            <w:sz w:val="16"/>
            <w:szCs w:val="16"/>
            <w:position w:val="-3"/>
          </w:rPr>
          <w:drawing>
            <wp:inline distT="0" distB="0" distL="0" distR="0">
              <wp:extent cx="32638" cy="101600"/>
              <wp:effectExtent l="0" t="0" r="0" b="0"/>
              <wp:docPr id="10" name="IM 10"/>
              <wp:cNvGraphicFramePr/>
              <a:graphic>
                <a:graphicData uri="http://schemas.openxmlformats.org/drawingml/2006/picture">
                  <pic:pic>
                    <pic:nvPicPr>
                      <pic:cNvPr id="10" name="IM 10"/>
                      <pic:cNvPicPr/>
                    </pic:nvPicPr>
                    <pic:blipFill>
                      <a:blip r:embed="rId7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32638" cy="1016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16"/>
            <w:szCs w:val="16"/>
          </w:rPr>
          <w:t xml:space="preserve"> </w:t>
        </w:r>
      </w:hyperlink>
      <w:bookmarkStart w:name="bookmark59" w:id="63"/>
      <w:bookmarkEnd w:id="63"/>
      <w:hyperlink w:history="true" r:id="rId71">
        <w:r>
          <w:rPr>
            <w:sz w:val="16"/>
            <w:szCs w:val="16"/>
            <w:spacing w:val="-1"/>
          </w:rPr>
          <w:t>Engl J</w:t>
        </w:r>
        <w:r>
          <w:rPr>
            <w:sz w:val="16"/>
            <w:szCs w:val="16"/>
            <w:spacing w:val="26"/>
            <w:w w:val="102"/>
          </w:rPr>
          <w:t xml:space="preserve"> </w:t>
        </w:r>
        <w:r>
          <w:rPr>
            <w:sz w:val="16"/>
            <w:szCs w:val="16"/>
            <w:spacing w:val="-1"/>
          </w:rPr>
          <w:t>Med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2019, 381(4):317-327.</w:t>
      </w:r>
    </w:p>
    <w:p>
      <w:pPr>
        <w:pStyle w:val="BodyText"/>
        <w:ind w:left="379" w:right="342" w:hanging="359"/>
        <w:spacing w:before="41" w:line="305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[67]   Pishvaian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2"/>
        </w:rPr>
        <w:t>MJ,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2"/>
        </w:rPr>
        <w:t>Blais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2"/>
        </w:rPr>
        <w:t>EM,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2"/>
        </w:rPr>
        <w:t>Brody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JR,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Overall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2"/>
        </w:rPr>
        <w:t>survival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2"/>
        </w:rPr>
        <w:t>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pancreatic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1"/>
        </w:rPr>
        <w:t>receiving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1"/>
        </w:rPr>
        <w:t>matched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therapi</w:t>
      </w:r>
      <w:r>
        <w:rPr>
          <w:sz w:val="16"/>
          <w:szCs w:val="16"/>
          <w:spacing w:val="-2"/>
        </w:rPr>
        <w:t>es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-2"/>
        </w:rPr>
        <w:t>following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2"/>
        </w:rPr>
        <w:t>mo-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lecular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profiling: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-1"/>
        </w:rPr>
        <w:t>retrospective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analysis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Know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Your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Tumor</w:t>
      </w:r>
      <w:r>
        <w:rPr>
          <w:sz w:val="16"/>
          <w:szCs w:val="16"/>
        </w:rPr>
        <w:t xml:space="preserve"> </w:t>
      </w:r>
      <w:bookmarkStart w:name="bookmark60" w:id="64"/>
      <w:bookmarkEnd w:id="64"/>
      <w:r>
        <w:rPr>
          <w:sz w:val="16"/>
          <w:szCs w:val="16"/>
        </w:rPr>
        <w:t>registry trial[J]. </w:t>
      </w:r>
      <w:hyperlink w:history="true" r:id="rId73">
        <w:r>
          <w:rPr>
            <w:sz w:val="16"/>
            <w:szCs w:val="16"/>
          </w:rPr>
          <w:t>Lancet Oncol</w:t>
        </w:r>
      </w:hyperlink>
      <w:r>
        <w:rPr>
          <w:sz w:val="16"/>
          <w:szCs w:val="16"/>
        </w:rPr>
        <w:t>, 2020,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21(4):5</w:t>
      </w:r>
      <w:r>
        <w:rPr>
          <w:sz w:val="16"/>
          <w:szCs w:val="16"/>
          <w:spacing w:val="-1"/>
        </w:rPr>
        <w:t>08-518.</w:t>
      </w:r>
    </w:p>
    <w:p>
      <w:pPr>
        <w:pStyle w:val="BodyText"/>
        <w:ind w:left="379" w:right="342" w:hanging="359"/>
        <w:spacing w:before="41" w:line="30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[68]   Koulouris  AI,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Alexa</w:t>
      </w:r>
      <w:r>
        <w:rPr>
          <w:sz w:val="16"/>
          <w:szCs w:val="16"/>
          <w:spacing w:val="-2"/>
        </w:rPr>
        <w:t>ndre  L,  Hart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2"/>
        </w:rPr>
        <w:t>AR,  et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2"/>
        </w:rPr>
        <w:t>al.  Endoscopic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2"/>
        </w:rPr>
        <w:t>ultrasound-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guided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celiac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plexus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neurolysis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(EUS-CPN)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technique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an</w:t>
      </w:r>
      <w:r>
        <w:rPr>
          <w:sz w:val="16"/>
          <w:szCs w:val="16"/>
          <w:spacing w:val="-2"/>
        </w:rPr>
        <w:t>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2"/>
        </w:rPr>
        <w:t>analgesic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efficacy  in  patients  with  pancreatic  cancer:  a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1"/>
        </w:rPr>
        <w:t>systematic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-1"/>
        </w:rPr>
        <w:t>review</w:t>
      </w:r>
      <w:r>
        <w:rPr>
          <w:sz w:val="16"/>
          <w:szCs w:val="16"/>
        </w:rPr>
        <w:t xml:space="preserve"> </w:t>
      </w:r>
      <w:bookmarkStart w:name="bookmark61" w:id="65"/>
      <w:bookmarkEnd w:id="65"/>
      <w:r>
        <w:rPr>
          <w:sz w:val="16"/>
          <w:szCs w:val="16"/>
        </w:rPr>
        <w:t>and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meta-analysis[J]. </w:t>
      </w:r>
      <w:hyperlink w:history="true" r:id="rId74">
        <w:r>
          <w:rPr>
            <w:sz w:val="16"/>
            <w:szCs w:val="16"/>
          </w:rPr>
          <w:t>Pancr</w:t>
        </w:r>
        <w:r>
          <w:rPr>
            <w:sz w:val="16"/>
            <w:szCs w:val="16"/>
            <w:spacing w:val="-1"/>
          </w:rPr>
          <w:t>eatology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2021,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21(2):434-442.</w:t>
      </w:r>
    </w:p>
    <w:p>
      <w:pPr>
        <w:pStyle w:val="BodyText"/>
        <w:ind w:left="377" w:right="342" w:hanging="357"/>
        <w:spacing w:before="41" w:line="305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[69]   Rizzo A,  Ricci  AD,  Frega  G,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-2"/>
        </w:rPr>
        <w:t>al.  How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2"/>
        </w:rPr>
        <w:t>to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-2"/>
        </w:rPr>
        <w:t>choose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3"/>
        </w:rPr>
        <w:t>between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-3"/>
        </w:rPr>
        <w:t>percu-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taneous transhepatic  and  endoscopic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-1"/>
        </w:rPr>
        <w:t>biliary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-1"/>
        </w:rPr>
        <w:t>drainage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-1"/>
        </w:rPr>
        <w:t>malig-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nant obstructive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jaundice</w:t>
      </w:r>
      <w:r>
        <w:rPr>
          <w:sz w:val="16"/>
          <w:szCs w:val="16"/>
          <w:spacing w:val="-1"/>
        </w:rPr>
        <w:t>: an updated systematic review and meta-</w:t>
      </w:r>
      <w:r>
        <w:rPr>
          <w:sz w:val="16"/>
          <w:szCs w:val="16"/>
        </w:rPr>
        <w:t xml:space="preserve"> </w:t>
      </w:r>
      <w:bookmarkStart w:name="bookmark62" w:id="66"/>
      <w:bookmarkEnd w:id="66"/>
      <w:r>
        <w:rPr>
          <w:sz w:val="16"/>
          <w:szCs w:val="16"/>
        </w:rPr>
        <w:t>analysis</w:t>
      </w:r>
      <w:r>
        <w:rPr>
          <w:sz w:val="16"/>
          <w:szCs w:val="16"/>
          <w:spacing w:val="1"/>
        </w:rPr>
        <w:t>[J]. </w:t>
      </w:r>
      <w:hyperlink w:history="true" r:id="rId75">
        <w:r>
          <w:rPr>
            <w:sz w:val="16"/>
            <w:szCs w:val="16"/>
          </w:rPr>
          <w:t>Vivo</w:t>
        </w:r>
      </w:hyperlink>
      <w:r>
        <w:rPr>
          <w:sz w:val="16"/>
          <w:szCs w:val="16"/>
        </w:rPr>
        <w:t>In</w:t>
      </w:r>
      <w:r>
        <w:rPr>
          <w:sz w:val="16"/>
          <w:szCs w:val="16"/>
          <w:spacing w:val="1"/>
        </w:rPr>
        <w:t>, 2020, 34(4):1701-1714.</w:t>
      </w:r>
    </w:p>
    <w:p>
      <w:pPr>
        <w:pStyle w:val="BodyText"/>
        <w:ind w:left="382" w:right="343" w:hanging="362"/>
        <w:spacing w:before="39" w:line="306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[70]   Martin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2"/>
        </w:rPr>
        <w:t>RC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2nd,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2"/>
        </w:rPr>
        <w:t>Kwon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2"/>
        </w:rPr>
        <w:t>D,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2"/>
        </w:rPr>
        <w:t>Chalikonda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S,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2"/>
        </w:rPr>
        <w:t>al. Treatment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2"/>
        </w:rPr>
        <w:t>200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loc-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ally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advanced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(stage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-1"/>
        </w:rPr>
        <w:t>III)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1"/>
        </w:rPr>
        <w:t>pancreatic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aden</w:t>
      </w:r>
      <w:r>
        <w:rPr>
          <w:sz w:val="16"/>
          <w:szCs w:val="16"/>
          <w:spacing w:val="-2"/>
        </w:rPr>
        <w:t>ocarcinoma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2"/>
        </w:rPr>
        <w:t>patients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irreversible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1"/>
        </w:rPr>
        <w:t>electroporation: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safety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9"/>
          <w:w w:val="102"/>
        </w:rPr>
        <w:t xml:space="preserve"> </w:t>
      </w:r>
      <w:r>
        <w:rPr>
          <w:sz w:val="16"/>
          <w:szCs w:val="16"/>
          <w:spacing w:val="-1"/>
        </w:rPr>
        <w:t>efficacy[J]. </w:t>
      </w:r>
      <w:hyperlink w:history="true" r:id="rId76">
        <w:r>
          <w:rPr>
            <w:sz w:val="16"/>
            <w:szCs w:val="16"/>
            <w:spacing w:val="-1"/>
          </w:rPr>
          <w:t>Ann Surg</w:t>
        </w:r>
      </w:hyperlink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2015,</w:t>
      </w:r>
      <w:r>
        <w:rPr>
          <w:sz w:val="16"/>
          <w:szCs w:val="16"/>
        </w:rPr>
        <w:t xml:space="preserve"> </w:t>
      </w:r>
      <w:bookmarkStart w:name="bookmark63" w:id="67"/>
      <w:bookmarkEnd w:id="67"/>
      <w:r>
        <w:rPr>
          <w:sz w:val="16"/>
          <w:szCs w:val="16"/>
        </w:rPr>
        <w:t>262(3):486-494.</w:t>
      </w:r>
    </w:p>
    <w:p>
      <w:pPr>
        <w:pStyle w:val="BodyText"/>
        <w:ind w:left="379" w:right="343" w:hanging="359"/>
        <w:spacing w:before="39" w:line="293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[71]   Wei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Y,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Xiao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Y,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Wang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Z,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al.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2"/>
        </w:rPr>
        <w:t>Chinese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2"/>
        </w:rPr>
        <w:t>expert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2"/>
        </w:rPr>
        <w:t>consensus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2"/>
        </w:rPr>
        <w:t>image-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guided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irreversible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</w:rPr>
        <w:t>electroporation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pancreatic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cancer[J].</w:t>
      </w:r>
      <w:r>
        <w:rPr>
          <w:sz w:val="16"/>
          <w:szCs w:val="16"/>
          <w:spacing w:val="-1"/>
        </w:rPr>
        <w:t xml:space="preserve"> </w:t>
      </w:r>
      <w:hyperlink w:history="true" r:id="rId77">
        <w:r>
          <w:rPr>
            <w:sz w:val="16"/>
            <w:szCs w:val="16"/>
            <w:spacing w:val="-1"/>
          </w:rPr>
          <w:t>J</w:t>
        </w:r>
      </w:hyperlink>
      <w:hyperlink w:history="true" r:id="rId77">
        <w:r>
          <w:rPr>
            <w:sz w:val="16"/>
            <w:szCs w:val="16"/>
            <w:spacing w:val="-1"/>
          </w:rPr>
          <w:t>Can-</w:t>
        </w:r>
      </w:hyperlink>
    </w:p>
    <w:p>
      <w:pPr>
        <w:spacing w:line="1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61"/>
        <w:spacing w:before="39" w:line="203" w:lineRule="exact"/>
        <w:rPr>
          <w:sz w:val="16"/>
          <w:szCs w:val="16"/>
        </w:rPr>
      </w:pPr>
      <w:bookmarkStart w:name="bookmark64" w:id="68"/>
      <w:bookmarkEnd w:id="68"/>
      <w:hyperlink w:history="true" r:id="rId77">
        <w:r>
          <w:rPr>
            <w:sz w:val="16"/>
            <w:szCs w:val="16"/>
            <w:spacing w:val="-1"/>
            <w:position w:val="2"/>
          </w:rPr>
          <w:t>cer</w:t>
        </w:r>
        <w:r>
          <w:rPr>
            <w:sz w:val="16"/>
            <w:szCs w:val="16"/>
            <w:spacing w:val="14"/>
            <w:position w:val="2"/>
          </w:rPr>
          <w:t xml:space="preserve"> </w:t>
        </w:r>
        <w:r>
          <w:rPr>
            <w:sz w:val="16"/>
            <w:szCs w:val="16"/>
            <w:spacing w:val="-1"/>
            <w:position w:val="2"/>
          </w:rPr>
          <w:t>Res Ther</w:t>
        </w:r>
      </w:hyperlink>
      <w:r>
        <w:rPr>
          <w:sz w:val="16"/>
          <w:szCs w:val="16"/>
          <w:spacing w:val="-1"/>
          <w:position w:val="2"/>
        </w:rPr>
        <w:t>,</w:t>
      </w:r>
      <w:r>
        <w:rPr>
          <w:sz w:val="16"/>
          <w:szCs w:val="16"/>
          <w:spacing w:val="9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2021,</w:t>
      </w:r>
      <w:r>
        <w:rPr>
          <w:sz w:val="16"/>
          <w:szCs w:val="16"/>
          <w:spacing w:val="13"/>
          <w:w w:val="102"/>
          <w:position w:val="2"/>
        </w:rPr>
        <w:t xml:space="preserve"> </w:t>
      </w:r>
      <w:r>
        <w:rPr>
          <w:sz w:val="16"/>
          <w:szCs w:val="16"/>
          <w:spacing w:val="-1"/>
          <w:position w:val="2"/>
        </w:rPr>
        <w:t>17(3):613</w:t>
      </w:r>
      <w:r>
        <w:rPr>
          <w:sz w:val="16"/>
          <w:szCs w:val="16"/>
          <w:spacing w:val="-2"/>
          <w:position w:val="2"/>
        </w:rPr>
        <w:t>-618.</w:t>
      </w:r>
    </w:p>
    <w:p>
      <w:pPr>
        <w:pStyle w:val="BodyText"/>
        <w:ind w:left="357" w:right="65" w:hanging="357"/>
        <w:spacing w:before="67" w:line="312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[72]   Gao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-2"/>
        </w:rPr>
        <w:t>Y,  Chen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2"/>
        </w:rPr>
        <w:t>S,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2"/>
        </w:rPr>
        <w:t>Sun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J,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Traditional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2"/>
        </w:rPr>
        <w:t>Chinese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2"/>
        </w:rPr>
        <w:t>medicine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-2"/>
        </w:rPr>
        <w:t>may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-2"/>
        </w:rPr>
        <w:t>be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further explored  as  candidate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1"/>
        </w:rPr>
        <w:t>drugs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"/>
        </w:rPr>
        <w:t>for  pancreatic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2"/>
        </w:rPr>
        <w:t>cancer: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-2"/>
        </w:rPr>
        <w:t>A  re-</w:t>
      </w:r>
      <w:r>
        <w:rPr>
          <w:sz w:val="16"/>
          <w:szCs w:val="16"/>
        </w:rPr>
        <w:t xml:space="preserve">  </w:t>
      </w:r>
      <w:bookmarkStart w:name="bookmark65" w:id="69"/>
      <w:bookmarkEnd w:id="69"/>
      <w:r>
        <w:rPr>
          <w:sz w:val="16"/>
          <w:szCs w:val="16"/>
        </w:rPr>
        <w:t>view[J]. </w:t>
      </w:r>
      <w:hyperlink w:history="true" r:id="rId78">
        <w:r>
          <w:rPr>
            <w:sz w:val="16"/>
            <w:szCs w:val="16"/>
          </w:rPr>
          <w:t>Phytother</w:t>
        </w:r>
        <w:r>
          <w:rPr>
            <w:sz w:val="16"/>
            <w:szCs w:val="16"/>
            <w:spacing w:val="14"/>
          </w:rPr>
          <w:t xml:space="preserve"> </w:t>
        </w:r>
        <w:r>
          <w:rPr>
            <w:sz w:val="16"/>
            <w:szCs w:val="16"/>
          </w:rPr>
          <w:t>Res</w:t>
        </w:r>
      </w:hyperlink>
      <w:r>
        <w:rPr>
          <w:sz w:val="16"/>
          <w:szCs w:val="16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2</w:t>
      </w:r>
      <w:r>
        <w:rPr>
          <w:sz w:val="16"/>
          <w:szCs w:val="16"/>
          <w:spacing w:val="-1"/>
        </w:rPr>
        <w:t>021, 35(2):603-628.</w:t>
      </w:r>
    </w:p>
    <w:p>
      <w:pPr>
        <w:pStyle w:val="BodyText"/>
        <w:ind w:left="356" w:right="70" w:hanging="356"/>
        <w:spacing w:before="52" w:line="233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[73]  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中国癌症研究基金会介入医学委员会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中国介入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医师分会介入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医学与生物工程委员会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国家放射与治疗临床医学研究中心</w:t>
      </w:r>
      <w:r>
        <w:rPr>
          <w:sz w:val="16"/>
          <w:szCs w:val="16"/>
          <w:spacing w:val="2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晚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期胰腺癌介入治疗临床操作指南</w:t>
      </w:r>
      <w:r>
        <w:rPr>
          <w:sz w:val="16"/>
          <w:szCs w:val="16"/>
          <w:spacing w:val="3"/>
        </w:rPr>
        <w:t>(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试行</w:t>
      </w:r>
      <w:r>
        <w:rPr>
          <w:sz w:val="16"/>
          <w:szCs w:val="16"/>
          <w:spacing w:val="3"/>
        </w:rPr>
        <w:t>)(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第五版</w:t>
      </w:r>
      <w:r>
        <w:rPr>
          <w:sz w:val="16"/>
          <w:szCs w:val="16"/>
          <w:spacing w:val="3"/>
        </w:rPr>
        <w:t>)[J].</w:t>
      </w:r>
      <w:hyperlink w:history="true" r:id="rId79">
        <w:r>
          <w:rPr>
            <w:rFonts w:ascii="Microsoft YaHei" w:hAnsi="Microsoft YaHei" w:eastAsia="Microsoft YaHei" w:cs="Microsoft YaHei"/>
            <w:sz w:val="16"/>
            <w:szCs w:val="16"/>
            <w:spacing w:val="3"/>
          </w:rPr>
          <w:t>临床放射学</w:t>
        </w:r>
      </w:hyperlink>
      <w:r>
        <w:rPr>
          <w:rFonts w:ascii="Microsoft YaHei" w:hAnsi="Microsoft YaHei" w:eastAsia="Microsoft YaHei" w:cs="Microsoft YaHei"/>
          <w:sz w:val="16"/>
          <w:szCs w:val="16"/>
          <w:spacing w:val="13"/>
          <w:w w:val="101"/>
        </w:rPr>
        <w:t xml:space="preserve"> </w:t>
      </w:r>
      <w:bookmarkStart w:name="bookmark66" w:id="70"/>
      <w:bookmarkEnd w:id="70"/>
      <w:hyperlink w:history="true" r:id="rId79">
        <w:r>
          <w:rPr>
            <w:rFonts w:ascii="Microsoft YaHei" w:hAnsi="Microsoft YaHei" w:eastAsia="Microsoft YaHei" w:cs="Microsoft YaHei"/>
            <w:sz w:val="16"/>
            <w:szCs w:val="16"/>
          </w:rPr>
          <w:t>杂志</w:t>
        </w:r>
      </w:hyperlink>
      <w:r>
        <w:rPr>
          <w:sz w:val="16"/>
          <w:szCs w:val="16"/>
        </w:rPr>
        <w:t>,2021,40(5):832-843.</w:t>
      </w:r>
    </w:p>
    <w:p>
      <w:pPr>
        <w:pStyle w:val="BodyText"/>
        <w:ind w:left="357" w:right="66" w:hanging="357"/>
        <w:spacing w:before="20" w:line="318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[74]   Van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2"/>
        </w:rPr>
        <w:t>Cutsem  E,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Tempero  MA,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-2"/>
        </w:rPr>
        <w:t>Sigal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2"/>
        </w:rPr>
        <w:t>D,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2"/>
        </w:rPr>
        <w:t>Ran</w:t>
      </w:r>
      <w:r>
        <w:rPr>
          <w:sz w:val="16"/>
          <w:szCs w:val="16"/>
          <w:spacing w:val="-3"/>
        </w:rPr>
        <w:t>domized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3"/>
        </w:rPr>
        <w:t>phase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3"/>
        </w:rPr>
        <w:t>III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trial of  pegvorhyaluronidase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-1"/>
        </w:rPr>
        <w:t>alfa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-1"/>
        </w:rPr>
        <w:t>nab-paclitaxel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1"/>
        </w:rPr>
        <w:t>plus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gemc</w:t>
      </w:r>
      <w:r>
        <w:rPr>
          <w:sz w:val="16"/>
          <w:szCs w:val="16"/>
          <w:spacing w:val="-2"/>
        </w:rPr>
        <w:t>it-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-1"/>
        </w:rPr>
        <w:t>abine for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hyaluronan-high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-1"/>
        </w:rPr>
        <w:t>metastatic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-1"/>
        </w:rPr>
        <w:t>panc</w:t>
      </w:r>
      <w:r>
        <w:rPr>
          <w:sz w:val="16"/>
          <w:szCs w:val="16"/>
          <w:spacing w:val="-2"/>
        </w:rPr>
        <w:t>reatic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2"/>
        </w:rPr>
        <w:t>ad-</w:t>
      </w:r>
      <w:r>
        <w:rPr>
          <w:sz w:val="16"/>
          <w:szCs w:val="16"/>
        </w:rPr>
        <w:t xml:space="preserve"> </w:t>
      </w:r>
      <w:bookmarkStart w:name="bookmark67" w:id="71"/>
      <w:bookmarkEnd w:id="71"/>
      <w:r>
        <w:rPr>
          <w:sz w:val="16"/>
          <w:szCs w:val="16"/>
        </w:rPr>
        <w:t>enocarcinoma[J]. </w:t>
      </w:r>
      <w:hyperlink w:history="true" r:id="rId80">
        <w:r>
          <w:rPr>
            <w:sz w:val="16"/>
            <w:szCs w:val="16"/>
          </w:rPr>
          <w:t>J Clin Oncol</w:t>
        </w:r>
      </w:hyperlink>
      <w:r>
        <w:rPr>
          <w:sz w:val="16"/>
          <w:szCs w:val="16"/>
        </w:rPr>
        <w:t>, 2020,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38(27):3185-</w:t>
      </w:r>
      <w:r>
        <w:rPr>
          <w:sz w:val="16"/>
          <w:szCs w:val="16"/>
          <w:spacing w:val="-1"/>
        </w:rPr>
        <w:t>3194.</w:t>
      </w:r>
    </w:p>
    <w:p>
      <w:pPr>
        <w:pStyle w:val="BodyText"/>
        <w:ind w:left="357" w:right="66" w:hanging="357"/>
        <w:spacing w:before="53" w:line="325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[75]   Halle-Smith JM,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-2"/>
        </w:rPr>
        <w:t>Hall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L,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Daamen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LA,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et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al.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Clinical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-2"/>
        </w:rPr>
        <w:t>benefit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surveil-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lance after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resection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-1"/>
        </w:rPr>
        <w:t>pancreatic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1"/>
        </w:rPr>
        <w:t>ductal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adenocarcinoma: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-2"/>
        </w:rPr>
        <w:t>sys-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tematic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review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-1"/>
        </w:rPr>
        <w:t>meta-analysis[J].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Eur J</w:t>
      </w:r>
      <w:r>
        <w:rPr>
          <w:sz w:val="16"/>
          <w:szCs w:val="16"/>
          <w:spacing w:val="9"/>
          <w:w w:val="101"/>
        </w:rPr>
        <w:t xml:space="preserve"> </w:t>
      </w:r>
      <w:r>
        <w:rPr>
          <w:sz w:val="16"/>
          <w:szCs w:val="16"/>
          <w:spacing w:val="-1"/>
        </w:rPr>
        <w:t>Surg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Oncol,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202</w:t>
      </w:r>
      <w:r>
        <w:rPr>
          <w:sz w:val="16"/>
          <w:szCs w:val="16"/>
          <w:spacing w:val="-2"/>
        </w:rPr>
        <w:t>1, 47(9):</w:t>
      </w:r>
      <w:r>
        <w:rPr>
          <w:sz w:val="16"/>
          <w:szCs w:val="16"/>
        </w:rPr>
        <w:t xml:space="preserve"> </w:t>
      </w:r>
      <w:bookmarkStart w:name="bookmark68" w:id="72"/>
      <w:bookmarkEnd w:id="72"/>
      <w:r>
        <w:rPr>
          <w:sz w:val="16"/>
          <w:szCs w:val="16"/>
          <w:spacing w:val="-1"/>
        </w:rPr>
        <w:t>2248-2255.</w:t>
      </w:r>
    </w:p>
    <w:p>
      <w:pPr>
        <w:pStyle w:val="BodyText"/>
        <w:ind w:left="357" w:right="71" w:hanging="357"/>
        <w:spacing w:before="26" w:line="228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[76]  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中华医学会肿瘤学分会早诊早治学组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中华医学</w:t>
      </w:r>
      <w:r>
        <w:rPr>
          <w:rFonts w:ascii="Microsoft YaHei" w:hAnsi="Microsoft YaHei" w:eastAsia="Microsoft YaHei" w:cs="Microsoft YaHei"/>
          <w:sz w:val="16"/>
          <w:szCs w:val="16"/>
          <w:spacing w:val="2"/>
        </w:rPr>
        <w:t>会肿瘤学分会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</w:rPr>
        <w:t>胰腺癌早诊早治专家共识</w:t>
      </w:r>
      <w:r>
        <w:rPr>
          <w:sz w:val="16"/>
          <w:szCs w:val="16"/>
        </w:rPr>
        <w:t>[J].</w:t>
      </w:r>
      <w:r>
        <w:rPr>
          <w:rFonts w:ascii="Microsoft YaHei" w:hAnsi="Microsoft YaHei" w:eastAsia="Microsoft YaHei" w:cs="Microsoft YaHei"/>
          <w:sz w:val="16"/>
          <w:szCs w:val="16"/>
        </w:rPr>
        <w:t>中华肿瘤杂志</w:t>
      </w:r>
      <w:r>
        <w:rPr>
          <w:sz w:val="16"/>
          <w:szCs w:val="16"/>
        </w:rPr>
        <w:t>,2020,42(9):706-712.</w:t>
      </w:r>
    </w:p>
    <w:p>
      <w:pPr>
        <w:pStyle w:val="BodyText"/>
        <w:spacing w:before="28" w:line="218" w:lineRule="auto"/>
        <w:jc w:val="righ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（</w:t>
      </w:r>
      <w:r>
        <w:rPr>
          <w:sz w:val="16"/>
          <w:szCs w:val="16"/>
          <w:spacing w:val="-5"/>
        </w:rPr>
        <w:t>2022-11-04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收稿）</w:t>
      </w:r>
    </w:p>
    <w:p>
      <w:pPr>
        <w:spacing w:before="47" w:line="175" w:lineRule="auto"/>
        <w:jc w:val="righ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16"/>
          <w:w w:val="95"/>
        </w:rPr>
        <w:t>（编辑：郑莉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6"/>
          <w:szCs w:val="16"/>
          <w:spacing w:val="-16"/>
          <w:w w:val="95"/>
        </w:rPr>
        <w:t>校对：武斌）</w:t>
      </w:r>
    </w:p>
    <w:p>
      <w:pPr>
        <w:spacing w:line="175" w:lineRule="auto"/>
        <w:sectPr>
          <w:type w:val="continuous"/>
          <w:pgSz w:w="12246" w:h="17178"/>
          <w:pgMar w:top="1297" w:right="1138" w:bottom="0" w:left="1184" w:header="928" w:footer="0" w:gutter="0"/>
          <w:cols w:equalWidth="0" w:num="2">
            <w:col w:w="5061" w:space="100"/>
            <w:col w:w="4763" w:space="0"/>
          </w:cols>
        </w:sectPr>
        <w:rPr>
          <w:rFonts w:ascii="Microsoft YaHei" w:hAnsi="Microsoft YaHei" w:eastAsia="Microsoft YaHei" w:cs="Microsoft YaHei"/>
          <w:sz w:val="16"/>
          <w:szCs w:val="16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>
        <w:pict>
          <v:shape id="_x0000_s4" style="position:absolute;margin-left:0.150002pt;margin-top:3.77237pt;mso-position-vertical-relative:text;mso-position-horizontal-relative:text;width:493.8pt;height:0.3pt;z-index:251667456;" filled="false" strokecolor="#000000" strokeweight="0.30pt" coordsize="9875,6" coordorigin="0,0" path="m0,2l9875,2e">
            <v:stroke joinstyle="miter" miterlimit="10"/>
          </v:shape>
        </w:pict>
      </w:r>
      <w:r/>
    </w:p>
    <w:p>
      <w:pPr>
        <w:ind w:left="151"/>
        <w:spacing w:before="134" w:line="158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pacing w:val="44"/>
        </w:rPr>
        <w:t>·</w:t>
      </w:r>
      <w:r>
        <w:rPr>
          <w:rFonts w:ascii="LiSu" w:hAnsi="LiSu" w:eastAsia="LiSu" w:cs="LiSu"/>
          <w:sz w:val="31"/>
          <w:szCs w:val="31"/>
          <w:spacing w:val="44"/>
        </w:rPr>
        <w:t>读者</w:t>
      </w:r>
      <w:r>
        <w:rPr>
          <w:rFonts w:ascii="LiSu" w:hAnsi="LiSu" w:eastAsia="LiSu" w:cs="LiSu"/>
          <w:sz w:val="31"/>
          <w:szCs w:val="31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4"/>
        </w:rPr>
        <w:t>·</w:t>
      </w:r>
      <w:r>
        <w:rPr>
          <w:rFonts w:ascii="LiSu" w:hAnsi="LiSu" w:eastAsia="LiSu" w:cs="LiSu"/>
          <w:sz w:val="31"/>
          <w:szCs w:val="31"/>
          <w:spacing w:val="44"/>
        </w:rPr>
        <w:t>作者</w:t>
      </w:r>
      <w:r>
        <w:rPr>
          <w:rFonts w:ascii="LiSu" w:hAnsi="LiSu" w:eastAsia="LiSu" w:cs="LiSu"/>
          <w:sz w:val="31"/>
          <w:szCs w:val="31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4"/>
        </w:rPr>
        <w:t>·</w:t>
      </w:r>
      <w:r>
        <w:rPr>
          <w:rFonts w:ascii="LiSu" w:hAnsi="LiSu" w:eastAsia="LiSu" w:cs="LiSu"/>
          <w:sz w:val="31"/>
          <w:szCs w:val="31"/>
          <w:spacing w:val="44"/>
        </w:rPr>
        <w:t>编者</w:t>
      </w:r>
      <w:r>
        <w:rPr>
          <w:rFonts w:ascii="LiSu" w:hAnsi="LiSu" w:eastAsia="LiSu" w:cs="LiSu"/>
          <w:sz w:val="31"/>
          <w:szCs w:val="31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44"/>
        </w:rPr>
        <w:t>·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ind w:left="4012"/>
        <w:spacing w:before="137" w:line="197" w:lineRule="auto"/>
        <w:rPr>
          <w:rFonts w:ascii="Microsoft YaHei" w:hAnsi="Microsoft YaHei" w:eastAsia="Microsoft YaHei" w:cs="Microsoft YaHei"/>
          <w:sz w:val="32"/>
          <w:szCs w:val="32"/>
        </w:rPr>
      </w:pPr>
      <w:r>
        <w:rPr>
          <w:rFonts w:ascii="Microsoft YaHei" w:hAnsi="Microsoft YaHei" w:eastAsia="Microsoft YaHei" w:cs="Microsoft YaHei"/>
          <w:sz w:val="32"/>
          <w:szCs w:val="32"/>
          <w:spacing w:val="-7"/>
        </w:rPr>
        <w:t>致谢审稿专家</w:t>
      </w:r>
    </w:p>
    <w:p>
      <w:pPr>
        <w:spacing w:line="381" w:lineRule="auto"/>
        <w:rPr>
          <w:rFonts w:ascii="Arial"/>
          <w:sz w:val="21"/>
        </w:rPr>
      </w:pPr>
      <w:r/>
    </w:p>
    <w:p>
      <w:pPr>
        <w:ind w:left="25" w:right="64" w:firstLine="397"/>
        <w:spacing w:before="91" w:line="222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《中国肿瘤临床》秉承“引导创新、关注前沿、突出临床、讲求实用”的办刊宗旨，以为读者提供高质量</w:t>
      </w:r>
      <w:r>
        <w:rPr>
          <w:rFonts w:ascii="Microsoft YaHei" w:hAnsi="Microsoft YaHei" w:eastAsia="Microsoft YaHei" w:cs="Microsoft YaHei"/>
          <w:sz w:val="21"/>
          <w:szCs w:val="21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的学术内容为己任，邀请肿瘤学学科带头人及优秀学者作为审稿专家对每篇稿件进行把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关与指导。在此，《中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国肿瘤临床》编辑部全体人员对承担 2023 年第50 卷第 10 期文章审稿工作的专家致以</w:t>
      </w:r>
      <w:r>
        <w:rPr>
          <w:rFonts w:ascii="Microsoft YaHei" w:hAnsi="Microsoft YaHei" w:eastAsia="Microsoft YaHei" w:cs="Microsoft YaHei"/>
          <w:sz w:val="21"/>
          <w:szCs w:val="21"/>
          <w:spacing w:val="-6"/>
        </w:rPr>
        <w:t>诚挚感谢，其公平、客</w:t>
      </w:r>
      <w:r>
        <w:rPr>
          <w:rFonts w:ascii="Microsoft YaHei" w:hAnsi="Microsoft YaHei" w:eastAsia="Microsoft YaHei" w:cs="Microsoft YaHei"/>
          <w:sz w:val="21"/>
          <w:szCs w:val="2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7"/>
        </w:rPr>
        <w:t>观、准确、详实的审稿意见使文章质量得到了有效提高。专家名单列示如下（按姓氏笔画顺序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）：</w:t>
      </w:r>
    </w:p>
    <w:p>
      <w:pPr>
        <w:spacing w:line="162" w:lineRule="exact"/>
        <w:rPr/>
      </w:pPr>
      <w:r/>
    </w:p>
    <w:tbl>
      <w:tblPr>
        <w:tblStyle w:val="TableNormal"/>
        <w:tblW w:w="4897" w:type="dxa"/>
        <w:tblInd w:w="48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20"/>
        <w:gridCol w:w="4177"/>
      </w:tblGrid>
      <w:tr>
        <w:trPr>
          <w:trHeight w:val="270" w:hRule="atLeast"/>
        </w:trPr>
        <w:tc>
          <w:tcPr>
            <w:tcW w:w="720" w:type="dxa"/>
            <w:vAlign w:val="top"/>
          </w:tcPr>
          <w:p>
            <w:pPr>
              <w:ind w:left="28"/>
              <w:spacing w:line="17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5"/>
                <w:w w:val="98"/>
              </w:rPr>
              <w:t>于津浦</w:t>
            </w:r>
          </w:p>
        </w:tc>
        <w:tc>
          <w:tcPr>
            <w:tcW w:w="4177" w:type="dxa"/>
            <w:vAlign w:val="top"/>
          </w:tcPr>
          <w:p>
            <w:pPr>
              <w:ind w:left="106"/>
              <w:spacing w:line="17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4"/>
              </w:rPr>
              <w:t>研究员          天津医科大学肿瘤医院</w:t>
            </w:r>
          </w:p>
        </w:tc>
      </w:tr>
      <w:tr>
        <w:trPr>
          <w:trHeight w:val="312" w:hRule="atLeast"/>
        </w:trPr>
        <w:tc>
          <w:tcPr>
            <w:tcW w:w="720" w:type="dxa"/>
            <w:vAlign w:val="top"/>
          </w:tcPr>
          <w:p>
            <w:pPr>
              <w:ind w:left="7"/>
              <w:spacing w:before="42" w:line="17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6"/>
              </w:rPr>
              <w:t>王宏伟</w:t>
            </w:r>
          </w:p>
        </w:tc>
        <w:tc>
          <w:tcPr>
            <w:tcW w:w="4177" w:type="dxa"/>
            <w:vAlign w:val="top"/>
          </w:tcPr>
          <w:p>
            <w:pPr>
              <w:ind w:left="109"/>
              <w:spacing w:before="42" w:line="17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8"/>
              </w:rPr>
              <w:t>副主任医师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12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8"/>
              </w:rPr>
              <w:t>北京大学肿瘤医院</w:t>
            </w:r>
          </w:p>
        </w:tc>
      </w:tr>
      <w:tr>
        <w:trPr>
          <w:trHeight w:val="312" w:hRule="atLeast"/>
        </w:trPr>
        <w:tc>
          <w:tcPr>
            <w:tcW w:w="720" w:type="dxa"/>
            <w:vAlign w:val="top"/>
          </w:tcPr>
          <w:p>
            <w:pPr>
              <w:ind w:left="7"/>
              <w:spacing w:before="42" w:line="17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7"/>
              </w:rPr>
              <w:t>王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11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7"/>
              </w:rPr>
              <w:t>晶</w:t>
            </w:r>
          </w:p>
        </w:tc>
        <w:tc>
          <w:tcPr>
            <w:tcW w:w="4177" w:type="dxa"/>
            <w:vAlign w:val="top"/>
          </w:tcPr>
          <w:p>
            <w:pPr>
              <w:ind w:left="101"/>
              <w:spacing w:before="42" w:line="17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7"/>
              </w:rPr>
              <w:t>主任医师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8"/>
              </w:rPr>
              <w:t xml:space="preserve">     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7"/>
              </w:rPr>
              <w:t>天津医科大学肿瘤医院</w:t>
            </w:r>
          </w:p>
        </w:tc>
      </w:tr>
      <w:tr>
        <w:trPr>
          <w:trHeight w:val="311" w:hRule="atLeast"/>
        </w:trPr>
        <w:tc>
          <w:tcPr>
            <w:tcW w:w="720" w:type="dxa"/>
            <w:vAlign w:val="top"/>
          </w:tcPr>
          <w:p>
            <w:pPr>
              <w:ind w:left="10"/>
              <w:spacing w:before="41" w:line="17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4"/>
                <w:w w:val="98"/>
              </w:rPr>
              <w:t>卢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5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4"/>
                <w:w w:val="98"/>
              </w:rPr>
              <w:t>铀</w:t>
            </w:r>
          </w:p>
        </w:tc>
        <w:tc>
          <w:tcPr>
            <w:tcW w:w="4177" w:type="dxa"/>
            <w:vAlign w:val="top"/>
          </w:tcPr>
          <w:p>
            <w:pPr>
              <w:ind w:left="93"/>
              <w:spacing w:before="41" w:line="17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6"/>
              </w:rPr>
              <w:t>教授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1"/>
              </w:rPr>
              <w:t xml:space="preserve">            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6"/>
              </w:rPr>
              <w:t>四川大学华西医院</w:t>
            </w:r>
          </w:p>
        </w:tc>
      </w:tr>
      <w:tr>
        <w:trPr>
          <w:trHeight w:val="311" w:hRule="atLeast"/>
        </w:trPr>
        <w:tc>
          <w:tcPr>
            <w:tcW w:w="720" w:type="dxa"/>
            <w:vAlign w:val="top"/>
          </w:tcPr>
          <w:p>
            <w:pPr>
              <w:ind w:left="10"/>
              <w:spacing w:before="59" w:line="161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7"/>
              </w:rPr>
              <w:t>刘立仁</w:t>
            </w:r>
          </w:p>
        </w:tc>
        <w:tc>
          <w:tcPr>
            <w:tcW w:w="4177" w:type="dxa"/>
            <w:vAlign w:val="top"/>
          </w:tcPr>
          <w:p>
            <w:pPr>
              <w:ind w:left="93"/>
              <w:spacing w:before="42" w:line="17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6"/>
              </w:rPr>
              <w:t>教授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1"/>
              </w:rPr>
              <w:t xml:space="preserve">            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6"/>
              </w:rPr>
              <w:t>天津医科大学肿瘤医院</w:t>
            </w:r>
          </w:p>
        </w:tc>
      </w:tr>
      <w:tr>
        <w:trPr>
          <w:trHeight w:val="312" w:hRule="atLeast"/>
        </w:trPr>
        <w:tc>
          <w:tcPr>
            <w:tcW w:w="720" w:type="dxa"/>
            <w:vAlign w:val="top"/>
          </w:tcPr>
          <w:p>
            <w:pPr>
              <w:ind w:left="19"/>
              <w:spacing w:before="43" w:line="17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9"/>
              </w:rPr>
              <w:t>齐丽莎</w:t>
            </w:r>
          </w:p>
        </w:tc>
        <w:tc>
          <w:tcPr>
            <w:tcW w:w="4177" w:type="dxa"/>
            <w:vAlign w:val="top"/>
          </w:tcPr>
          <w:p>
            <w:pPr>
              <w:ind w:left="109"/>
              <w:spacing w:before="43" w:line="17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7"/>
              </w:rPr>
              <w:t>副主任医师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9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7"/>
              </w:rPr>
              <w:t>天津医科大学肿瘤医院</w:t>
            </w:r>
          </w:p>
        </w:tc>
      </w:tr>
      <w:tr>
        <w:trPr>
          <w:trHeight w:val="312" w:hRule="atLeast"/>
        </w:trPr>
        <w:tc>
          <w:tcPr>
            <w:tcW w:w="720" w:type="dxa"/>
            <w:vAlign w:val="top"/>
          </w:tcPr>
          <w:p>
            <w:pPr>
              <w:ind w:left="5"/>
              <w:spacing w:before="52" w:line="166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5"/>
                <w:w w:val="99"/>
              </w:rPr>
              <w:t>孙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7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5"/>
                <w:w w:val="99"/>
              </w:rPr>
              <w:t>岚</w:t>
            </w:r>
          </w:p>
        </w:tc>
        <w:tc>
          <w:tcPr>
            <w:tcW w:w="4177" w:type="dxa"/>
            <w:vAlign w:val="top"/>
          </w:tcPr>
          <w:p>
            <w:pPr>
              <w:ind w:left="101"/>
              <w:spacing w:before="43" w:line="17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7"/>
              </w:rPr>
              <w:t>主任医师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8"/>
              </w:rPr>
              <w:t xml:space="preserve">     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7"/>
              </w:rPr>
              <w:t>重庆医科大学附属璧山医院</w:t>
            </w:r>
          </w:p>
        </w:tc>
      </w:tr>
      <w:tr>
        <w:trPr>
          <w:trHeight w:val="312" w:hRule="atLeast"/>
        </w:trPr>
        <w:tc>
          <w:tcPr>
            <w:tcW w:w="720" w:type="dxa"/>
            <w:vAlign w:val="top"/>
          </w:tcPr>
          <w:p>
            <w:pPr>
              <w:ind w:left="3"/>
              <w:spacing w:before="43" w:line="17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5"/>
              </w:rPr>
              <w:t>杨晓军</w:t>
            </w:r>
          </w:p>
        </w:tc>
        <w:tc>
          <w:tcPr>
            <w:tcW w:w="4177" w:type="dxa"/>
            <w:vAlign w:val="top"/>
          </w:tcPr>
          <w:p>
            <w:pPr>
              <w:ind w:left="101"/>
              <w:spacing w:before="43" w:line="17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6"/>
              </w:rPr>
              <w:t>主任医师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5"/>
              </w:rPr>
              <w:t xml:space="preserve">     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6"/>
              </w:rPr>
              <w:t>甘肃省人民医院</w:t>
            </w:r>
          </w:p>
        </w:tc>
      </w:tr>
      <w:tr>
        <w:trPr>
          <w:trHeight w:val="312" w:hRule="atLeast"/>
        </w:trPr>
        <w:tc>
          <w:tcPr>
            <w:tcW w:w="720" w:type="dxa"/>
            <w:vAlign w:val="top"/>
          </w:tcPr>
          <w:p>
            <w:pPr>
              <w:ind w:left="12"/>
              <w:spacing w:before="42" w:line="17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6"/>
                <w:w w:val="98"/>
              </w:rPr>
              <w:t>吴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8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6"/>
                <w:w w:val="98"/>
              </w:rPr>
              <w:t>昊</w:t>
            </w:r>
          </w:p>
        </w:tc>
        <w:tc>
          <w:tcPr>
            <w:tcW w:w="4177" w:type="dxa"/>
            <w:vAlign w:val="top"/>
          </w:tcPr>
          <w:p>
            <w:pPr>
              <w:ind w:left="101"/>
              <w:spacing w:before="42" w:line="17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6"/>
              </w:rPr>
              <w:t>主任医师       南京医科大学第一附属医院</w:t>
            </w:r>
          </w:p>
        </w:tc>
      </w:tr>
      <w:tr>
        <w:trPr>
          <w:trHeight w:val="312" w:hRule="atLeast"/>
        </w:trPr>
        <w:tc>
          <w:tcPr>
            <w:tcW w:w="720" w:type="dxa"/>
            <w:vAlign w:val="top"/>
          </w:tcPr>
          <w:p>
            <w:pPr>
              <w:ind w:left="6"/>
              <w:spacing w:before="42" w:line="17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6"/>
              </w:rPr>
              <w:t>周云丽</w:t>
            </w:r>
          </w:p>
        </w:tc>
        <w:tc>
          <w:tcPr>
            <w:tcW w:w="4177" w:type="dxa"/>
            <w:vAlign w:val="top"/>
          </w:tcPr>
          <w:p>
            <w:pPr>
              <w:ind w:left="101"/>
              <w:spacing w:before="42" w:line="17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7"/>
              </w:rPr>
              <w:t>主任技师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8"/>
              </w:rPr>
              <w:t xml:space="preserve">     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7"/>
              </w:rPr>
              <w:t>天津医科大学肿瘤医院</w:t>
            </w:r>
          </w:p>
        </w:tc>
      </w:tr>
      <w:tr>
        <w:trPr>
          <w:trHeight w:val="312" w:hRule="atLeast"/>
        </w:trPr>
        <w:tc>
          <w:tcPr>
            <w:tcW w:w="720" w:type="dxa"/>
            <w:vAlign w:val="top"/>
          </w:tcPr>
          <w:p>
            <w:pPr>
              <w:spacing w:before="42" w:line="17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4"/>
              </w:rPr>
              <w:t>赵伟鹏</w:t>
            </w:r>
          </w:p>
        </w:tc>
        <w:tc>
          <w:tcPr>
            <w:tcW w:w="4177" w:type="dxa"/>
            <w:vAlign w:val="top"/>
          </w:tcPr>
          <w:p>
            <w:pPr>
              <w:ind w:left="109"/>
              <w:spacing w:before="42" w:line="17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4"/>
              </w:rPr>
              <w:t>副教授          天津医科大学肿瘤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5"/>
              </w:rPr>
              <w:t>医院</w:t>
            </w:r>
          </w:p>
        </w:tc>
      </w:tr>
      <w:tr>
        <w:trPr>
          <w:trHeight w:val="312" w:hRule="atLeast"/>
        </w:trPr>
        <w:tc>
          <w:tcPr>
            <w:tcW w:w="720" w:type="dxa"/>
            <w:vAlign w:val="top"/>
          </w:tcPr>
          <w:p>
            <w:pPr>
              <w:ind w:left="9"/>
              <w:spacing w:before="42" w:line="17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3"/>
                <w:w w:val="98"/>
              </w:rPr>
              <w:t>贺慧颖</w:t>
            </w:r>
          </w:p>
        </w:tc>
        <w:tc>
          <w:tcPr>
            <w:tcW w:w="4177" w:type="dxa"/>
            <w:vAlign w:val="top"/>
          </w:tcPr>
          <w:p>
            <w:pPr>
              <w:ind w:left="101"/>
              <w:spacing w:before="42" w:line="17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7"/>
              </w:rPr>
              <w:t>主任医师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8"/>
              </w:rPr>
              <w:t xml:space="preserve">     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7"/>
              </w:rPr>
              <w:t>北京大学医学部</w:t>
            </w:r>
          </w:p>
        </w:tc>
      </w:tr>
      <w:tr>
        <w:trPr>
          <w:trHeight w:val="270" w:hRule="atLeast"/>
        </w:trPr>
        <w:tc>
          <w:tcPr>
            <w:tcW w:w="720" w:type="dxa"/>
            <w:vAlign w:val="top"/>
          </w:tcPr>
          <w:p>
            <w:pPr>
              <w:ind w:left="1"/>
              <w:spacing w:before="42" w:line="217" w:lineRule="exac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5"/>
                <w:position w:val="-1"/>
              </w:rPr>
              <w:t>盛立军</w:t>
            </w:r>
          </w:p>
        </w:tc>
        <w:tc>
          <w:tcPr>
            <w:tcW w:w="4177" w:type="dxa"/>
            <w:vAlign w:val="top"/>
          </w:tcPr>
          <w:p>
            <w:pPr>
              <w:spacing w:before="42" w:line="217" w:lineRule="exact"/>
              <w:jc w:val="right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5"/>
                <w:position w:val="-1"/>
              </w:rPr>
              <w:t>研究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4"/>
                <w:position w:val="-1"/>
              </w:rPr>
              <w:t>员          山东第一医科大学第三附属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5"/>
                <w:position w:val="-1"/>
              </w:rPr>
              <w:t>医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spacing w:val="-3"/>
                <w:position w:val="-1"/>
              </w:rPr>
              <w:t>院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sectPr>
      <w:type w:val="continuous"/>
      <w:pgSz w:w="12246" w:h="17178"/>
      <w:pgMar w:top="1297" w:right="1138" w:bottom="0" w:left="1184" w:header="928" w:footer="0" w:gutter="0"/>
      <w:cols w:equalWidth="0" w:num="1">
        <w:col w:w="992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variable"/>
    <w:sig w:usb0="E4002EFF" w:usb1="C000E47F" w:usb2="00000009" w:usb3="00000000" w:csb0="200001F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7" w:line="270" w:lineRule="auto"/>
      <w:tabs>
        <w:tab w:val="left" w:pos="40"/>
      </w:tabs>
      <w:rPr>
        <w:rFonts w:ascii="Times New Roman" w:hAnsi="Times New Roman" w:eastAsia="Times New Roman" w:cs="Times New Roman"/>
        <w:sz w:val="24"/>
        <w:szCs w:val="24"/>
      </w:rPr>
    </w:pPr>
    <w:r>
      <w:rPr>
        <w:rFonts w:ascii="Microsoft YaHei" w:hAnsi="Microsoft YaHei" w:eastAsia="Microsoft YaHei" w:cs="Microsoft YaHei"/>
        <w:sz w:val="16"/>
        <w:szCs w:val="16"/>
        <w:u w:val="single" w:color="auto"/>
      </w:rPr>
      <w:tab/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1"/>
      </w:rPr>
      <w:t>中国肿瘤临床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2023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1"/>
      </w:rPr>
      <w:t>年第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50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1"/>
      </w:rPr>
      <w:t>卷第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10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1"/>
      </w:rPr>
      <w:t>期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Chin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4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J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Clin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Oncol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3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2023.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Vol.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50. No.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8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10 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 xml:space="preserve">       </w:t>
    </w:r>
    <w:hyperlink w:history="true" r:id="rId1"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2"/>
        </w:rPr>
        <w:t>www.cjco.cn</w:t>
      </w:r>
    </w:hyperlink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24"/>
        <w:szCs w:val="24"/>
        <w:u w:val="single" w:color="auto"/>
        <w:spacing w:val="-2"/>
      </w:rPr>
      <w:t>487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before="27" w:line="27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24"/>
        <w:szCs w:val="24"/>
        <w:u w:val="single" w:color="auto"/>
        <w:spacing w:val="-2"/>
      </w:rPr>
      <w:t>488                                               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2"/>
      </w:rPr>
      <w:t>中国肿瘤临床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2023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6"/>
        <w:w w:val="10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2"/>
      </w:rPr>
      <w:t>年第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50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2"/>
      </w:rPr>
      <w:t>卷第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10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7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2"/>
      </w:rPr>
      <w:t>期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Chin J Clin Oncol 2023. Vol.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7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50. No.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9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10            </w:t>
    </w:r>
    <w:hyperlink w:history="true" r:id="rId1"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2"/>
        </w:rPr>
        <w:t>www.cjco.cn</w:t>
      </w:r>
    </w:hyperlink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7" w:line="270" w:lineRule="auto"/>
      <w:tabs>
        <w:tab w:val="left" w:pos="40"/>
      </w:tabs>
      <w:rPr>
        <w:rFonts w:ascii="Times New Roman" w:hAnsi="Times New Roman" w:eastAsia="Times New Roman" w:cs="Times New Roman"/>
        <w:sz w:val="24"/>
        <w:szCs w:val="24"/>
      </w:rPr>
    </w:pPr>
    <w:r>
      <w:rPr>
        <w:rFonts w:ascii="Microsoft YaHei" w:hAnsi="Microsoft YaHei" w:eastAsia="Microsoft YaHei" w:cs="Microsoft YaHei"/>
        <w:sz w:val="16"/>
        <w:szCs w:val="16"/>
        <w:u w:val="single" w:color="auto"/>
      </w:rPr>
      <w:tab/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1"/>
      </w:rPr>
      <w:t>中国肿瘤临床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2023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1"/>
      </w:rPr>
      <w:t>年第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50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1"/>
      </w:rPr>
      <w:t>卷第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11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10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1"/>
      </w:rPr>
      <w:t>期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Chin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3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J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Clin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Oncol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3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2023.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Vol.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50. No.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10 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 xml:space="preserve">       </w:t>
    </w:r>
    <w:hyperlink w:history="true" r:id="rId1"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2"/>
        </w:rPr>
        <w:t>www.cjco.cn</w:t>
      </w:r>
    </w:hyperlink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24"/>
        <w:szCs w:val="24"/>
        <w:u w:val="single" w:color="auto"/>
        <w:spacing w:val="-2"/>
      </w:rPr>
      <w:t>489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27" w:line="27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24"/>
        <w:szCs w:val="24"/>
        <w:u w:val="single" w:color="auto"/>
        <w:spacing w:val="-2"/>
      </w:rPr>
      <w:t>490                                               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2"/>
      </w:rPr>
      <w:t>中国肿瘤临床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2023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6"/>
        <w:w w:val="10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2"/>
      </w:rPr>
      <w:t>年第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50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2"/>
      </w:rPr>
      <w:t>卷第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10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7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2"/>
      </w:rPr>
      <w:t>期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Chin J Clin Oncol 2023. Vol.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7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50. No.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9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10            </w:t>
    </w:r>
    <w:hyperlink w:history="true" r:id="rId1"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2"/>
        </w:rPr>
        <w:t>www.cjco.cn</w:t>
      </w:r>
    </w:hyperlink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"/>
      <w:spacing w:before="27" w:line="270" w:lineRule="auto"/>
      <w:tabs>
        <w:tab w:val="left" w:pos="111"/>
      </w:tabs>
      <w:rPr>
        <w:rFonts w:ascii="Times New Roman" w:hAnsi="Times New Roman" w:eastAsia="Times New Roman" w:cs="Times New Roman"/>
        <w:sz w:val="24"/>
        <w:szCs w:val="24"/>
      </w:rPr>
    </w:pPr>
    <w:r>
      <w:rPr>
        <w:rFonts w:ascii="Microsoft YaHei" w:hAnsi="Microsoft YaHei" w:eastAsia="Microsoft YaHei" w:cs="Microsoft YaHei"/>
        <w:sz w:val="16"/>
        <w:szCs w:val="16"/>
        <w:u w:val="single" w:color="auto"/>
      </w:rPr>
      <w:tab/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1"/>
      </w:rPr>
      <w:t>中国肿瘤临床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2023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1"/>
      </w:rPr>
      <w:t>年第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50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1"/>
      </w:rPr>
      <w:t>卷第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11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10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1"/>
      </w:rPr>
      <w:t>期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Chin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3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J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Clin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Oncol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3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2023.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Vol.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50. No.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10 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 xml:space="preserve">       </w:t>
    </w:r>
    <w:hyperlink w:history="true" r:id="rId1"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2"/>
        </w:rPr>
        <w:t>www.cjco.cn</w:t>
      </w:r>
    </w:hyperlink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24"/>
        <w:szCs w:val="24"/>
        <w:u w:val="single" w:color="auto"/>
        <w:spacing w:val="-2"/>
      </w:rPr>
      <w:t>491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9"/>
      <w:spacing w:before="27" w:line="27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24"/>
        <w:szCs w:val="24"/>
        <w:u w:val="single" w:color="auto"/>
        <w:spacing w:val="-2"/>
      </w:rPr>
      <w:t>492                                               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2"/>
      </w:rPr>
      <w:t>中国肿瘤临床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2023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6"/>
        <w:w w:val="10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2"/>
      </w:rPr>
      <w:t>年第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50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2"/>
      </w:rPr>
      <w:t>卷第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10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7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2"/>
      </w:rPr>
      <w:t>期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Chin J Clin Oncol 2023. Vol.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7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50. No.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9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10            </w:t>
    </w:r>
    <w:hyperlink w:history="true" r:id="rId1"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2"/>
        </w:rPr>
        <w:t>www.cjco.cn</w:t>
      </w:r>
    </w:hyperlink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"/>
      <w:spacing w:before="27" w:line="270" w:lineRule="auto"/>
      <w:tabs>
        <w:tab w:val="left" w:pos="110"/>
      </w:tabs>
      <w:rPr>
        <w:rFonts w:ascii="Times New Roman" w:hAnsi="Times New Roman" w:eastAsia="Times New Roman" w:cs="Times New Roman"/>
        <w:sz w:val="24"/>
        <w:szCs w:val="24"/>
      </w:rPr>
    </w:pPr>
    <w:r>
      <w:rPr>
        <w:rFonts w:ascii="Microsoft YaHei" w:hAnsi="Microsoft YaHei" w:eastAsia="Microsoft YaHei" w:cs="Microsoft YaHei"/>
        <w:sz w:val="16"/>
        <w:szCs w:val="16"/>
        <w:u w:val="single" w:color="auto"/>
      </w:rPr>
      <w:tab/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1"/>
      </w:rPr>
      <w:t>中国肿瘤临床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2023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1"/>
      </w:rPr>
      <w:t>年第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50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1"/>
      </w:rPr>
      <w:t>卷第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10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1"/>
      </w:rPr>
      <w:t>期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Chin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3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J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Clin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Oncol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4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2023.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Vol.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50. No.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10 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 xml:space="preserve">       </w:t>
    </w:r>
    <w:hyperlink w:history="true" r:id="rId1"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2"/>
        </w:rPr>
        <w:t>www.cjco.cn</w:t>
      </w:r>
    </w:hyperlink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24"/>
        <w:szCs w:val="24"/>
        <w:u w:val="single" w:color="auto"/>
        <w:spacing w:val="-2"/>
      </w:rPr>
      <w:t>493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before="27" w:line="27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24"/>
        <w:szCs w:val="24"/>
        <w:u w:val="single" w:color="auto"/>
        <w:spacing w:val="-2"/>
      </w:rPr>
      <w:t>494                                               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2"/>
      </w:rPr>
      <w:t>中国肿瘤临床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2023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6"/>
        <w:w w:val="10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2"/>
      </w:rPr>
      <w:t>年第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50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2"/>
      </w:rPr>
      <w:t>卷第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10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7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2"/>
      </w:rPr>
      <w:t>期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Chin J Clin Oncol 2023. Vol.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7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50. No.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9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10            </w:t>
    </w:r>
    <w:hyperlink w:history="true" r:id="rId1"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2"/>
        </w:rPr>
        <w:t>www.cjco.cn</w:t>
      </w:r>
    </w:hyperlink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7" w:line="270" w:lineRule="auto"/>
      <w:tabs>
        <w:tab w:val="left" w:pos="40"/>
      </w:tabs>
      <w:rPr>
        <w:rFonts w:ascii="Times New Roman" w:hAnsi="Times New Roman" w:eastAsia="Times New Roman" w:cs="Times New Roman"/>
        <w:sz w:val="24"/>
        <w:szCs w:val="24"/>
      </w:rPr>
    </w:pPr>
    <w:r>
      <w:rPr>
        <w:rFonts w:ascii="Microsoft YaHei" w:hAnsi="Microsoft YaHei" w:eastAsia="Microsoft YaHei" w:cs="Microsoft YaHei"/>
        <w:sz w:val="16"/>
        <w:szCs w:val="16"/>
        <w:u w:val="single" w:color="auto"/>
      </w:rPr>
      <w:tab/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1"/>
      </w:rPr>
      <w:t>中国肿瘤临床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2023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1"/>
      </w:rPr>
      <w:t>年第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50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1"/>
      </w:rPr>
      <w:t>卷第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10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1"/>
      </w:rPr>
      <w:t>期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Chin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4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J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Clin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Oncol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3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2023.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Vol.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50. No.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8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1"/>
      </w:rPr>
      <w:t>10 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 xml:space="preserve">       </w:t>
    </w:r>
    <w:hyperlink w:history="true" r:id="rId1"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2"/>
        </w:rPr>
        <w:t>www.cjco.cn</w:t>
      </w:r>
    </w:hyperlink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 xml:space="preserve">                                                                         </w:t>
    </w:r>
    <w:r>
      <w:rPr>
        <w:rFonts w:ascii="Times New Roman" w:hAnsi="Times New Roman" w:eastAsia="Times New Roman" w:cs="Times New Roman"/>
        <w:sz w:val="24"/>
        <w:szCs w:val="24"/>
        <w:u w:val="single" w:color="auto"/>
        <w:spacing w:val="-2"/>
      </w:rPr>
      <w:t>495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"/>
      <w:spacing w:before="27" w:line="27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24"/>
        <w:szCs w:val="24"/>
        <w:u w:val="single" w:color="auto"/>
        <w:spacing w:val="-2"/>
      </w:rPr>
      <w:t>496                                               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2"/>
      </w:rPr>
      <w:t>中国肿瘤临床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2023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6"/>
        <w:w w:val="10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2"/>
      </w:rPr>
      <w:t>年第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50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6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2"/>
      </w:rPr>
      <w:t>卷第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10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7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u w:val="single" w:color="auto"/>
        <w:spacing w:val="-2"/>
      </w:rPr>
      <w:t>期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Chin J Clin Oncol 2023. Vol.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7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50. No.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19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spacing w:val="-2"/>
      </w:rPr>
      <w:t>10            </w:t>
    </w:r>
    <w:hyperlink w:history="true" r:id="rId1"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2"/>
        </w:rPr>
        <w:t>www.cjco.cn</w:t>
      </w:r>
    </w:hyperlink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libri" w:hAnsi="Calibri" w:eastAsia="Calibri" w:cs="Calibri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3" Type="http://schemas.openxmlformats.org/officeDocument/2006/relationships/fontTable" Target="fontTable.xml"/><Relationship Id="rId82" Type="http://schemas.openxmlformats.org/officeDocument/2006/relationships/styles" Target="styles.xml"/><Relationship Id="rId81" Type="http://schemas.openxmlformats.org/officeDocument/2006/relationships/settings" Target="settings.xml"/><Relationship Id="rId80" Type="http://schemas.openxmlformats.org/officeDocument/2006/relationships/hyperlink" Target="https://doi.org/10.1200/JCO.20.00590" TargetMode="External"/><Relationship Id="rId8" Type="http://schemas.openxmlformats.org/officeDocument/2006/relationships/header" Target="header4.xml"/><Relationship Id="rId79" Type="http://schemas.openxmlformats.org/officeDocument/2006/relationships/hyperlink" Target="https://doi.org/10.13437/j.cnki.jcr.2021.05.002" TargetMode="External"/><Relationship Id="rId78" Type="http://schemas.openxmlformats.org/officeDocument/2006/relationships/hyperlink" Target="https://doi.org/10.1002/ptr.6847" TargetMode="External"/><Relationship Id="rId77" Type="http://schemas.openxmlformats.org/officeDocument/2006/relationships/hyperlink" Target="https://doi.org/10.4103/jcrt.JCRT_1663_20" TargetMode="External"/><Relationship Id="rId76" Type="http://schemas.openxmlformats.org/officeDocument/2006/relationships/hyperlink" Target="https://doi.org/10.1097/SLA.0000000000001441" TargetMode="External"/><Relationship Id="rId75" Type="http://schemas.openxmlformats.org/officeDocument/2006/relationships/hyperlink" Target="https://doi.org/10.21873/invivo.11964" TargetMode="External"/><Relationship Id="rId74" Type="http://schemas.openxmlformats.org/officeDocument/2006/relationships/hyperlink" Target="https://doi.org/10.1016/j.pan.2020.12.016" TargetMode="External"/><Relationship Id="rId73" Type="http://schemas.openxmlformats.org/officeDocument/2006/relationships/hyperlink" Target="https://doi.org/10.1016/S1470-2045(20)30074-7" TargetMode="External"/><Relationship Id="rId72" Type="http://schemas.openxmlformats.org/officeDocument/2006/relationships/image" Target="media/image5.png"/><Relationship Id="rId71" Type="http://schemas.openxmlformats.org/officeDocument/2006/relationships/hyperlink" Target="https://doi.org/10.1056/NEJMoa1903387" TargetMode="External"/><Relationship Id="rId70" Type="http://schemas.openxmlformats.org/officeDocument/2006/relationships/header" Target="header10.xml"/><Relationship Id="rId7" Type="http://schemas.openxmlformats.org/officeDocument/2006/relationships/image" Target="media/image2.png"/><Relationship Id="rId69" Type="http://schemas.openxmlformats.org/officeDocument/2006/relationships/hyperlink" Target="https://doi.org/10.1200/JCO.2017.72.6463" TargetMode="External"/><Relationship Id="rId68" Type="http://schemas.openxmlformats.org/officeDocument/2006/relationships/hyperlink" Target="https://doi.org/10.1038/bjc.2012.495" TargetMode="External"/><Relationship Id="rId67" Type="http://schemas.openxmlformats.org/officeDocument/2006/relationships/hyperlink" Target="https://doi.org/10.1200/JCO.2006.07.9525" TargetMode="External"/><Relationship Id="rId66" Type="http://schemas.openxmlformats.org/officeDocument/2006/relationships/hyperlink" Target="https://doi.org/10.1177/1457496920911807" TargetMode="External"/><Relationship Id="rId65" Type="http://schemas.openxmlformats.org/officeDocument/2006/relationships/hyperlink" Target="https://doi.org/10.1016/S2468-1253(21)00054-6" TargetMode="External"/><Relationship Id="rId64" Type="http://schemas.openxmlformats.org/officeDocument/2006/relationships/hyperlink" Target="https://doi.org/10.1016/j.asjsur.2021.06.002" TargetMode="External"/><Relationship Id="rId63" Type="http://schemas.openxmlformats.org/officeDocument/2006/relationships/hyperlink" Target="https://doi.org/10.1016/j.hpb.2020.04.005" TargetMode="External"/><Relationship Id="rId62" Type="http://schemas.openxmlformats.org/officeDocument/2006/relationships/hyperlink" Target="https://doi.org/10.1245/s10434-016-5123-5" TargetMode="External"/><Relationship Id="rId61" Type="http://schemas.openxmlformats.org/officeDocument/2006/relationships/hyperlink" Target="https://doi.org/10.1186/s12893-019-0476-x" TargetMode="External"/><Relationship Id="rId60" Type="http://schemas.openxmlformats.org/officeDocument/2006/relationships/hyperlink" Target="https://doi.org/10.1007/s00423-020-01999-5" TargetMode="External"/><Relationship Id="rId6" Type="http://schemas.openxmlformats.org/officeDocument/2006/relationships/image" Target="media/image1.png"/><Relationship Id="rId59" Type="http://schemas.openxmlformats.org/officeDocument/2006/relationships/hyperlink" Target="https://doi.org/10.1001/jamasurg.2013.3643" TargetMode="External"/><Relationship Id="rId58" Type="http://schemas.openxmlformats.org/officeDocument/2006/relationships/hyperlink" Target="https://doi.org/10.1038/s41379-020-00683-9" TargetMode="External"/><Relationship Id="rId57" Type="http://schemas.openxmlformats.org/officeDocument/2006/relationships/hyperlink" Target="https://doi.org/10.1007/s00280-020-04165-2" TargetMode="External"/><Relationship Id="rId56" Type="http://schemas.openxmlformats.org/officeDocument/2006/relationships/hyperlink" Target="https://doi.org/10.1097/SLA.0000000000003049" TargetMode="External"/><Relationship Id="rId55" Type="http://schemas.openxmlformats.org/officeDocument/2006/relationships/hyperlink" Target="https://doi.org/10.1148/radiol.2018171670" TargetMode="External"/><Relationship Id="rId54" Type="http://schemas.openxmlformats.org/officeDocument/2006/relationships/hyperlink" Target="https://doi.org/10.1186/s12885-020-07110-x" TargetMode="External"/><Relationship Id="rId53" Type="http://schemas.openxmlformats.org/officeDocument/2006/relationships/hyperlink" Target="https://doi.org/10.1097/SLA.0000000000002668" TargetMode="External"/><Relationship Id="rId52" Type="http://schemas.openxmlformats.org/officeDocument/2006/relationships/hyperlink" Target="https://doi.org/10.1001/jamasurg.2018.3617" TargetMode="External"/><Relationship Id="rId51" Type="http://schemas.openxmlformats.org/officeDocument/2006/relationships/hyperlink" Target="https://doi.org/10.1097/SLA.0000000000001763" TargetMode="External"/><Relationship Id="rId50" Type="http://schemas.openxmlformats.org/officeDocument/2006/relationships/hyperlink" Target="https://doi.org/10.4253/wjge.v12.i10.323" TargetMode="External"/><Relationship Id="rId5" Type="http://schemas.openxmlformats.org/officeDocument/2006/relationships/header" Target="header3.xml"/><Relationship Id="rId49" Type="http://schemas.openxmlformats.org/officeDocument/2006/relationships/header" Target="header9.xml"/><Relationship Id="rId48" Type="http://schemas.openxmlformats.org/officeDocument/2006/relationships/hyperlink" Target="https://doi.org/10.1097/SLA.0000000000002998" TargetMode="External"/><Relationship Id="rId47" Type="http://schemas.openxmlformats.org/officeDocument/2006/relationships/hyperlink" Target="https://doi.org/10.1177/0284185120907246" TargetMode="External"/><Relationship Id="rId46" Type="http://schemas.openxmlformats.org/officeDocument/2006/relationships/hyperlink" Target="https://doi.org/10.1007/s13244-016-0517-2" TargetMode="External"/><Relationship Id="rId45" Type="http://schemas.openxmlformats.org/officeDocument/2006/relationships/hyperlink" Target="https://doi.org/10.1002/jmri.26969" TargetMode="External"/><Relationship Id="rId44" Type="http://schemas.openxmlformats.org/officeDocument/2006/relationships/hyperlink" Target="https://doi.org/10.1002/jmri.27056" TargetMode="External"/><Relationship Id="rId43" Type="http://schemas.openxmlformats.org/officeDocument/2006/relationships/hyperlink" Target="https://doi.org/10.1002/jmri.27148" TargetMode="External"/><Relationship Id="rId42" Type="http://schemas.openxmlformats.org/officeDocument/2006/relationships/hyperlink" Target="https://doi.org/10.1186/s12943-021-01309-7" TargetMode="External"/><Relationship Id="rId41" Type="http://schemas.openxmlformats.org/officeDocument/2006/relationships/hyperlink" Target="https://doi.org/10.7150/ijms.52706" TargetMode="External"/><Relationship Id="rId40" Type="http://schemas.openxmlformats.org/officeDocument/2006/relationships/hyperlink" Target="https://doi.org/10.1097/MD.0000000000018581" TargetMode="External"/><Relationship Id="rId4" Type="http://schemas.openxmlformats.org/officeDocument/2006/relationships/header" Target="header2.xml"/><Relationship Id="rId39" Type="http://schemas.openxmlformats.org/officeDocument/2006/relationships/hyperlink" Target="https://doi.org/10.7314/APJCP.2015.16.15.6569" TargetMode="External"/><Relationship Id="rId38" Type="http://schemas.openxmlformats.org/officeDocument/2006/relationships/hyperlink" Target="https://doi.org/10.7150/jca.18901" TargetMode="External"/><Relationship Id="rId37" Type="http://schemas.openxmlformats.org/officeDocument/2006/relationships/hyperlink" Target="https://doi.org/10.1016/j.pan.2016.09.013" TargetMode="External"/><Relationship Id="rId36" Type="http://schemas.openxmlformats.org/officeDocument/2006/relationships/hyperlink" Target="https://doi.org/10.1016/j.bbcan.2020.188409" TargetMode="External"/><Relationship Id="rId35" Type="http://schemas.openxmlformats.org/officeDocument/2006/relationships/hyperlink" Target="https://doi.org/10.1053/j.gastro.2020.03.088" TargetMode="External"/><Relationship Id="rId34" Type="http://schemas.openxmlformats.org/officeDocument/2006/relationships/hyperlink" Target="https://doi.org/10.1136/gutjnl-2019-319352" TargetMode="External"/><Relationship Id="rId33" Type="http://schemas.openxmlformats.org/officeDocument/2006/relationships/hyperlink" Target="https://doi.org/10.1001/jama.2019.10232" TargetMode="External"/><Relationship Id="rId32" Type="http://schemas.openxmlformats.org/officeDocument/2006/relationships/hyperlink" Target="https://doi.org/10.1016/j.pan.2020.10.025" TargetMode="External"/><Relationship Id="rId31" Type="http://schemas.openxmlformats.org/officeDocument/2006/relationships/hyperlink" Target="https://doi.org/10.1053/j.gastro.2015.01.015" TargetMode="External"/><Relationship Id="rId30" Type="http://schemas.openxmlformats.org/officeDocument/2006/relationships/hyperlink" Target="https://doi.org/10.1158/0008-5472.CAN-20-2256" TargetMode="External"/><Relationship Id="rId3" Type="http://schemas.openxmlformats.org/officeDocument/2006/relationships/hyperlink" Target="mailto:yuxianjun@fudanpci.org" TargetMode="External"/><Relationship Id="rId29" Type="http://schemas.openxmlformats.org/officeDocument/2006/relationships/hyperlink" Target="https://doi.org/10.1007/s10654-015-0014-9" TargetMode="External"/><Relationship Id="rId28" Type="http://schemas.openxmlformats.org/officeDocument/2006/relationships/hyperlink" Target="https://doi.org/10.1016/j.jss.2020.10.007" TargetMode="External"/><Relationship Id="rId27" Type="http://schemas.openxmlformats.org/officeDocument/2006/relationships/hyperlink" Target="https://doi.org/10.1016/j.canep.2021.101924" TargetMode="External"/><Relationship Id="rId26" Type="http://schemas.openxmlformats.org/officeDocument/2006/relationships/hyperlink" Target="https://doi.org/10.1007/s10620-020-06525-7" TargetMode="External"/><Relationship Id="rId25" Type="http://schemas.openxmlformats.org/officeDocument/2006/relationships/hyperlink" Target="https://doi.org/10.1016/j.cgh.2016.09.143" TargetMode="External"/><Relationship Id="rId24" Type="http://schemas.openxmlformats.org/officeDocument/2006/relationships/hyperlink" Target="https://doi.org/10.1016/S2468-2667(18)30267-6" TargetMode="External"/><Relationship Id="rId23" Type="http://schemas.openxmlformats.org/officeDocument/2006/relationships/hyperlink" Target="https://doi.org/10.1053/j.gastro.2020.10.007" TargetMode="External"/><Relationship Id="rId22" Type="http://schemas.openxmlformats.org/officeDocument/2006/relationships/hyperlink" Target="https://doi.org/10.3322/caac.21654" TargetMode="External"/><Relationship Id="rId21" Type="http://schemas.openxmlformats.org/officeDocument/2006/relationships/hyperlink" Target="https://doi.org/10.3322/caac.21590" TargetMode="External"/><Relationship Id="rId20" Type="http://schemas.openxmlformats.org/officeDocument/2006/relationships/hyperlink" Target="https://doi.org/10.3322/caac.20073" TargetMode="External"/><Relationship Id="rId2" Type="http://schemas.openxmlformats.org/officeDocument/2006/relationships/hyperlink" Target="https://doi.org/10.12354/j.issn.1000-8179.2023.20221544" TargetMode="External"/><Relationship Id="rId19" Type="http://schemas.openxmlformats.org/officeDocument/2006/relationships/hyperlink" Target="https://doi.org/10.1016/j.jncc.2022.02.002" TargetMode="External"/><Relationship Id="rId18" Type="http://schemas.openxmlformats.org/officeDocument/2006/relationships/header" Target="header8.xml"/><Relationship Id="rId17" Type="http://schemas.openxmlformats.org/officeDocument/2006/relationships/hyperlink" Target="https://doi.org/10.1016/S2468-1253(19)30347-4" TargetMode="External"/><Relationship Id="rId16" Type="http://schemas.openxmlformats.org/officeDocument/2006/relationships/hyperlink" Target="https://doi.org/10.1016/j.cgh.2020.02.054" TargetMode="External"/><Relationship Id="rId15" Type="http://schemas.openxmlformats.org/officeDocument/2006/relationships/hyperlink" Target="#bookmark68"/><Relationship Id="rId14" Type="http://schemas.openxmlformats.org/officeDocument/2006/relationships/image" Target="media/image4.png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1" Type="http://schemas.openxmlformats.org/officeDocument/2006/relationships/header" Target="header5.xml"/><Relationship Id="rId10" Type="http://schemas.openxmlformats.org/officeDocument/2006/relationships/hyperlink" Target="#bookmark39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jco.c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jco.cn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jco.cn" TargetMode="Externa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jco.cn" TargetMode="Externa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jco.cn" TargetMode="External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jco.cn" TargetMode="External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jco.cn" TargetMode="External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jco.cn" TargetMode="External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jco.cn" TargetMode="External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jco.cn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2023-06-06T14:53:13Z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2025-10-29T09:29:02</vt:filetime>
  </property>
</Properties>
</file>