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199"/>
        <w:rPr/>
      </w:pPr>
      <w:r/>
    </w:p>
    <w:p>
      <w:pPr>
        <w:sectPr>
          <w:headerReference w:type="default" r:id="rId1"/>
          <w:pgSz w:w="11906" w:h="16838"/>
          <w:pgMar w:top="400" w:right="688" w:bottom="0" w:left="694" w:header="0" w:footer="0" w:gutter="0"/>
          <w:cols w:equalWidth="0" w:num="1">
            <w:col w:w="10523" w:space="0"/>
          </w:cols>
        </w:sectPr>
        <w:rPr/>
      </w:pPr>
    </w:p>
    <w:p>
      <w:pPr>
        <w:pStyle w:val="BodyText"/>
        <w:ind w:left="99"/>
        <w:spacing w:before="202"/>
        <w:rPr>
          <w:sz w:val="43"/>
          <w:szCs w:val="43"/>
        </w:rPr>
      </w:pPr>
      <w:hyperlink w:history="true" r:id="rId2">
        <w:r>
          <w:rPr>
            <w:sz w:val="43"/>
            <w:szCs w:val="43"/>
            <w:color w:val="1864B1"/>
            <w:position w:val="-16"/>
          </w:rPr>
          <w:drawing>
            <wp:inline distT="0" distB="0" distL="0" distR="0">
              <wp:extent cx="90058" cy="399367"/>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90058" cy="399367"/>
                      </a:xfrm>
                      <a:prstGeom prst="rect">
                        <a:avLst/>
                      </a:prstGeom>
                    </pic:spPr>
                  </pic:pic>
                </a:graphicData>
              </a:graphic>
            </wp:inline>
          </w:drawing>
        </w:r>
        <w:r>
          <w:rPr>
            <w:sz w:val="43"/>
            <w:szCs w:val="43"/>
            <w:color w:val="1864B1"/>
            <w:position w:val="-16"/>
          </w:rPr>
          <w:drawing>
            <wp:inline distT="0" distB="0" distL="0" distR="0">
              <wp:extent cx="88690" cy="380201"/>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88690" cy="380201"/>
                      </a:xfrm>
                      <a:prstGeom prst="rect">
                        <a:avLst/>
                      </a:prstGeom>
                    </pic:spPr>
                  </pic:pic>
                </a:graphicData>
              </a:graphic>
            </wp:inline>
          </w:drawing>
        </w:r>
        <w:r>
          <w:rPr>
            <w:sz w:val="43"/>
            <w:szCs w:val="43"/>
            <w:color w:val="1864B1"/>
            <w:position w:val="14"/>
          </w:rPr>
          <w:drawing>
            <wp:inline distT="0" distB="0" distL="0" distR="0">
              <wp:extent cx="44442" cy="196269"/>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44442" cy="196269"/>
                      </a:xfrm>
                      <a:prstGeom prst="rect">
                        <a:avLst/>
                      </a:prstGeom>
                    </pic:spPr>
                  </pic:pic>
                </a:graphicData>
              </a:graphic>
            </wp:inline>
          </w:drawing>
        </w:r>
        <w:r>
          <w:rPr>
            <w:sz w:val="43"/>
            <w:szCs w:val="43"/>
            <w:color w:val="1864B1"/>
            <w:position w:val="18"/>
          </w:rPr>
          <w:drawing>
            <wp:inline distT="0" distB="0" distL="0" distR="0">
              <wp:extent cx="39884" cy="147146"/>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39884" cy="147146"/>
                      </a:xfrm>
                      <a:prstGeom prst="rect">
                        <a:avLst/>
                      </a:prstGeom>
                    </pic:spPr>
                  </pic:pic>
                </a:graphicData>
              </a:graphic>
            </wp:inline>
          </w:drawing>
        </w:r>
        <w:r>
          <w:rPr>
            <w:sz w:val="43"/>
            <w:szCs w:val="43"/>
            <w:color w:val="1864B1"/>
            <w:position w:val="-7"/>
          </w:rPr>
          <w:drawing>
            <wp:inline distT="0" distB="0" distL="0" distR="0">
              <wp:extent cx="67887" cy="109927"/>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67887" cy="109927"/>
                      </a:xfrm>
                      <a:prstGeom prst="rect">
                        <a:avLst/>
                      </a:prstGeom>
                    </pic:spPr>
                  </pic:pic>
                </a:graphicData>
              </a:graphic>
            </wp:inline>
          </w:drawing>
        </w:r>
        <w:r>
          <w:rPr>
            <w:sz w:val="43"/>
            <w:szCs w:val="43"/>
            <w:b/>
            <w:bCs/>
            <w:i/>
            <w:iCs/>
            <w:color w:val="1864B1"/>
            <w:spacing w:val="51"/>
          </w:rPr>
          <w:t xml:space="preserve"> </w:t>
        </w:r>
        <w:r>
          <w:rPr>
            <w:sz w:val="43"/>
            <w:szCs w:val="43"/>
            <w:b/>
            <w:bCs/>
            <w:i/>
            <w:iCs/>
            <w:color w:val="1864B1"/>
            <w:spacing w:val="-1"/>
          </w:rPr>
          <w:t>medicina</w:t>
        </w:r>
      </w:hyperlink>
    </w:p>
    <w:p>
      <w:pPr>
        <w:spacing w:line="177" w:lineRule="exact"/>
        <w:rPr/>
      </w:pPr>
      <w:r/>
    </w:p>
    <w:p>
      <w:pPr>
        <w:spacing w:line="14" w:lineRule="auto"/>
        <w:rPr>
          <w:rFonts w:ascii="Arial"/>
          <w:sz w:val="2"/>
        </w:rPr>
      </w:pPr>
      <w:r>
        <w:rPr>
          <w:rFonts w:ascii="Arial" w:hAnsi="Arial" w:eastAsia="Arial" w:cs="Arial"/>
          <w:sz w:val="2"/>
          <w:szCs w:val="2"/>
        </w:rPr>
        <w:br w:type="column"/>
      </w:r>
    </w:p>
    <w:p>
      <w:pPr>
        <w:spacing w:before="142" w:line="720" w:lineRule="exact"/>
        <w:rPr/>
      </w:pPr>
      <w:hyperlink w:history="true" r:id="rId8">
        <w:r>
          <w:rPr>
            <w:position w:val="-14"/>
          </w:rPr>
          <w:drawing>
            <wp:inline distT="0" distB="0" distL="0" distR="0">
              <wp:extent cx="571500" cy="457314"/>
              <wp:effectExtent l="0" t="0" r="0" b="0"/>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571500" cy="457314"/>
                      </a:xfrm>
                      <a:prstGeom prst="rect">
                        <a:avLst/>
                      </a:prstGeom>
                    </pic:spPr>
                  </pic:pic>
                </a:graphicData>
              </a:graphic>
            </wp:inline>
          </w:drawing>
        </w:r>
      </w:hyperlink>
    </w:p>
    <w:p>
      <w:pPr>
        <w:spacing w:line="720" w:lineRule="exact"/>
        <w:sectPr>
          <w:type w:val="continuous"/>
          <w:pgSz w:w="11906" w:h="16838"/>
          <w:pgMar w:top="400" w:right="688" w:bottom="0" w:left="694" w:header="0" w:footer="0" w:gutter="0"/>
          <w:cols w:equalWidth="0" w:num="2">
            <w:col w:w="9512" w:space="100"/>
            <w:col w:w="912" w:space="0"/>
          </w:cols>
        </w:sectPr>
        <w:rPr/>
      </w:pPr>
    </w:p>
    <w:p>
      <w:pPr>
        <w:pStyle w:val="BodyText"/>
        <w:ind w:left="15"/>
        <w:spacing w:before="274" w:line="200" w:lineRule="auto"/>
        <w:rPr>
          <w:sz w:val="19"/>
          <w:szCs w:val="19"/>
        </w:rPr>
      </w:pPr>
      <w:r>
        <w:rPr>
          <w:sz w:val="19"/>
          <w:szCs w:val="19"/>
        </w:rPr>
        <w:t>Review</w:t>
      </w:r>
    </w:p>
    <w:p>
      <w:pPr>
        <w:pStyle w:val="BodyText"/>
        <w:ind w:left="29" w:right="730" w:firstLine="4"/>
        <w:spacing w:before="2"/>
        <w:rPr>
          <w:sz w:val="35"/>
          <w:szCs w:val="35"/>
        </w:rPr>
      </w:pPr>
      <w:r>
        <w:rPr>
          <w:sz w:val="35"/>
          <w:szCs w:val="35"/>
          <w:b/>
          <w:bCs/>
          <w:spacing w:val="17"/>
        </w:rPr>
        <w:t>International Consensus</w:t>
      </w:r>
      <w:r>
        <w:rPr>
          <w:sz w:val="35"/>
          <w:szCs w:val="35"/>
          <w:b/>
          <w:bCs/>
          <w:spacing w:val="16"/>
        </w:rPr>
        <w:t xml:space="preserve"> on Deﬁnition of Mild-to-Moderate</w:t>
      </w:r>
      <w:r>
        <w:rPr>
          <w:sz w:val="35"/>
          <w:szCs w:val="35"/>
          <w:b/>
          <w:bCs/>
        </w:rPr>
        <w:t xml:space="preserve"> </w:t>
      </w:r>
      <w:r>
        <w:rPr>
          <w:sz w:val="35"/>
          <w:szCs w:val="35"/>
          <w:b/>
          <w:bCs/>
          <w:spacing w:val="16"/>
        </w:rPr>
        <w:t>Ulcerative Colitis D</w:t>
      </w:r>
      <w:r>
        <w:rPr>
          <w:sz w:val="35"/>
          <w:szCs w:val="35"/>
          <w:b/>
          <w:bCs/>
          <w:spacing w:val="15"/>
        </w:rPr>
        <w:t>isease Activity in Adult Patients</w:t>
      </w:r>
    </w:p>
    <w:p>
      <w:pPr>
        <w:pStyle w:val="BodyText"/>
        <w:ind w:left="16" w:right="13" w:firstLine="10"/>
        <w:spacing w:before="223" w:line="255" w:lineRule="auto"/>
        <w:rPr>
          <w:sz w:val="19"/>
          <w:szCs w:val="19"/>
        </w:rPr>
      </w:pPr>
      <w:r>
        <w:rPr>
          <w:sz w:val="19"/>
          <w:szCs w:val="19"/>
          <w:b/>
          <w:bCs/>
          <w:spacing w:val="11"/>
        </w:rPr>
        <w:t>B</w:t>
      </w:r>
      <w:r>
        <w:rPr>
          <w:rFonts w:ascii="Arial" w:hAnsi="Arial" w:eastAsia="Arial" w:cs="Arial"/>
          <w:sz w:val="19"/>
          <w:szCs w:val="19"/>
          <w:b/>
          <w:bCs/>
          <w:spacing w:val="11"/>
        </w:rPr>
        <w:t>²</w:t>
      </w:r>
      <w:r>
        <w:rPr>
          <w:sz w:val="19"/>
          <w:szCs w:val="19"/>
          <w:b/>
          <w:bCs/>
          <w:spacing w:val="11"/>
        </w:rPr>
        <w:t>n</w:t>
      </w:r>
      <w:r>
        <w:rPr>
          <w:rFonts w:ascii="Arial" w:hAnsi="Arial" w:eastAsia="Arial" w:cs="Arial"/>
          <w:sz w:val="19"/>
          <w:szCs w:val="19"/>
          <w:b/>
          <w:bCs/>
          <w:spacing w:val="11"/>
        </w:rPr>
        <w:t>²</w:t>
      </w:r>
      <w:r>
        <w:rPr>
          <w:sz w:val="19"/>
          <w:szCs w:val="19"/>
          <w:b/>
          <w:bCs/>
          <w:spacing w:val="11"/>
        </w:rPr>
        <w:t>dicte Caron</w:t>
      </w:r>
      <w:r>
        <w:rPr>
          <w:sz w:val="15"/>
          <w:szCs w:val="15"/>
          <w:b/>
          <w:bCs/>
          <w:spacing w:val="11"/>
        </w:rPr>
        <w:t>1</w:t>
      </w:r>
      <w:r>
        <w:rPr>
          <w:sz w:val="19"/>
          <w:szCs w:val="19"/>
          <w:b/>
          <w:bCs/>
          <w:spacing w:val="11"/>
        </w:rPr>
        <w:t>, Vipul Jairath</w:t>
      </w:r>
      <w:r>
        <w:rPr>
          <w:sz w:val="15"/>
          <w:szCs w:val="15"/>
          <w:b/>
          <w:bCs/>
          <w:spacing w:val="11"/>
        </w:rPr>
        <w:t>2,3</w:t>
      </w:r>
      <w:r>
        <w:rPr>
          <w:sz w:val="19"/>
          <w:szCs w:val="19"/>
          <w:b/>
          <w:bCs/>
          <w:spacing w:val="11"/>
        </w:rPr>
        <w:t>, Ferdinando D’Amico</w:t>
      </w:r>
      <w:r>
        <w:rPr>
          <w:sz w:val="15"/>
          <w:szCs w:val="15"/>
          <w:b/>
          <w:bCs/>
          <w:spacing w:val="10"/>
        </w:rPr>
        <w:t>4,5</w:t>
      </w:r>
      <w:r>
        <w:rPr>
          <w:sz w:val="19"/>
          <w:szCs w:val="19"/>
          <w:b/>
          <w:bCs/>
          <w:spacing w:val="10"/>
        </w:rPr>
        <w:t>, Sameer Al Awadhi </w:t>
      </w:r>
      <w:r>
        <w:rPr>
          <w:sz w:val="15"/>
          <w:szCs w:val="15"/>
          <w:b/>
          <w:bCs/>
          <w:spacing w:val="10"/>
          <w:position w:val="6"/>
        </w:rPr>
        <w:t>6</w:t>
      </w:r>
      <w:r>
        <w:rPr>
          <w:sz w:val="19"/>
          <w:szCs w:val="19"/>
          <w:b/>
          <w:bCs/>
          <w:spacing w:val="10"/>
        </w:rPr>
        <w:t>, Axel Dignass </w:t>
      </w:r>
      <w:r>
        <w:rPr>
          <w:sz w:val="15"/>
          <w:szCs w:val="15"/>
          <w:b/>
          <w:bCs/>
          <w:spacing w:val="10"/>
          <w:position w:val="6"/>
        </w:rPr>
        <w:t>7</w:t>
      </w:r>
      <w:hyperlink w:history="true" r:id="rId10">
        <w:r>
          <w:rPr>
            <w:sz w:val="15"/>
            <w:szCs w:val="15"/>
          </w:rPr>
          <w:drawing>
            <wp:inline distT="0" distB="0" distL="0" distR="0">
              <wp:extent cx="121525" cy="113457"/>
              <wp:effectExtent l="0" t="0" r="0" b="0"/>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121525" cy="113457"/>
                      </a:xfrm>
                      <a:prstGeom prst="rect">
                        <a:avLst/>
                      </a:prstGeom>
                    </pic:spPr>
                  </pic:pic>
                </a:graphicData>
              </a:graphic>
            </wp:inline>
          </w:drawing>
        </w:r>
      </w:hyperlink>
      <w:r>
        <w:rPr>
          <w:sz w:val="19"/>
          <w:szCs w:val="19"/>
          <w:b/>
          <w:bCs/>
          <w:spacing w:val="10"/>
        </w:rPr>
        <w:t>, Ailsa L. Hart </w:t>
      </w:r>
      <w:r>
        <w:rPr>
          <w:sz w:val="15"/>
          <w:szCs w:val="15"/>
          <w:b/>
          <w:bCs/>
          <w:spacing w:val="10"/>
          <w:position w:val="6"/>
        </w:rPr>
        <w:t>8</w:t>
      </w:r>
      <w:r>
        <w:rPr>
          <w:sz w:val="19"/>
          <w:szCs w:val="19"/>
          <w:b/>
          <w:bCs/>
          <w:spacing w:val="10"/>
        </w:rPr>
        <w:t>,</w:t>
      </w:r>
      <w:r>
        <w:rPr>
          <w:sz w:val="19"/>
          <w:szCs w:val="19"/>
          <w:b/>
          <w:bCs/>
        </w:rPr>
        <w:t xml:space="preserve"> </w:t>
      </w:r>
      <w:r>
        <w:rPr>
          <w:sz w:val="19"/>
          <w:szCs w:val="19"/>
          <w:b/>
          <w:bCs/>
          <w:spacing w:val="8"/>
          <w:position w:val="-1"/>
        </w:rPr>
        <w:t>Taku Kobayashi </w:t>
      </w:r>
      <w:r>
        <w:rPr>
          <w:sz w:val="15"/>
          <w:szCs w:val="15"/>
          <w:b/>
          <w:bCs/>
          <w:spacing w:val="8"/>
          <w:position w:val="5"/>
        </w:rPr>
        <w:t>9</w:t>
      </w:r>
      <w:r>
        <w:rPr>
          <w:sz w:val="19"/>
          <w:szCs w:val="19"/>
          <w:b/>
          <w:bCs/>
          <w:spacing w:val="8"/>
          <w:position w:val="-1"/>
        </w:rPr>
        <w:t>, Paulo Gustavo Kotze </w:t>
      </w:r>
      <w:r>
        <w:rPr>
          <w:sz w:val="15"/>
          <w:szCs w:val="15"/>
          <w:b/>
          <w:bCs/>
          <w:spacing w:val="8"/>
          <w:position w:val="5"/>
        </w:rPr>
        <w:t>10</w:t>
      </w:r>
      <w:hyperlink w:history="true" r:id="rId12">
        <w:r>
          <w:rPr>
            <w:sz w:val="15"/>
            <w:szCs w:val="15"/>
          </w:rPr>
          <w:drawing>
            <wp:inline distT="0" distB="0" distL="0" distR="0">
              <wp:extent cx="121518" cy="113458"/>
              <wp:effectExtent l="0" t="0" r="0" b="0"/>
              <wp:docPr id="16" name="IM 16"/>
              <wp:cNvGraphicFramePr/>
              <a:graphic>
                <a:graphicData uri="http://schemas.openxmlformats.org/drawingml/2006/picture">
                  <pic:pic>
                    <pic:nvPicPr>
                      <pic:cNvPr id="16" name="IM 16"/>
                      <pic:cNvPicPr/>
                    </pic:nvPicPr>
                    <pic:blipFill>
                      <a:blip r:embed="rId13"/>
                      <a:stretch>
                        <a:fillRect/>
                      </a:stretch>
                    </pic:blipFill>
                    <pic:spPr>
                      <a:xfrm rot="0">
                        <a:off x="0" y="0"/>
                        <a:ext cx="121518" cy="113458"/>
                      </a:xfrm>
                      <a:prstGeom prst="rect">
                        <a:avLst/>
                      </a:prstGeom>
                    </pic:spPr>
                  </pic:pic>
                </a:graphicData>
              </a:graphic>
            </wp:inline>
          </w:drawing>
        </w:r>
      </w:hyperlink>
      <w:r>
        <w:rPr>
          <w:sz w:val="19"/>
          <w:szCs w:val="19"/>
          <w:b/>
          <w:bCs/>
          <w:spacing w:val="8"/>
          <w:position w:val="-1"/>
        </w:rPr>
        <w:t>, Fernando Magro </w:t>
      </w:r>
      <w:r>
        <w:rPr>
          <w:sz w:val="15"/>
          <w:szCs w:val="15"/>
          <w:b/>
          <w:bCs/>
          <w:spacing w:val="8"/>
          <w:position w:val="5"/>
        </w:rPr>
        <w:t>11,12,13</w:t>
      </w:r>
      <w:hyperlink w:history="true" r:id="rId14">
        <w:r>
          <w:rPr>
            <w:sz w:val="15"/>
            <w:szCs w:val="15"/>
          </w:rPr>
          <w:drawing>
            <wp:inline distT="0" distB="0" distL="0" distR="0">
              <wp:extent cx="121518" cy="113458"/>
              <wp:effectExtent l="0" t="0" r="0" b="0"/>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121518" cy="113458"/>
                      </a:xfrm>
                      <a:prstGeom prst="rect">
                        <a:avLst/>
                      </a:prstGeom>
                    </pic:spPr>
                  </pic:pic>
                </a:graphicData>
              </a:graphic>
            </wp:inline>
          </w:drawing>
        </w:r>
      </w:hyperlink>
      <w:r>
        <w:rPr>
          <w:sz w:val="19"/>
          <w:szCs w:val="19"/>
          <w:b/>
          <w:bCs/>
          <w:spacing w:val="8"/>
          <w:position w:val="-1"/>
        </w:rPr>
        <w:t>, Britta</w:t>
      </w:r>
      <w:r>
        <w:rPr>
          <w:sz w:val="19"/>
          <w:szCs w:val="19"/>
          <w:b/>
          <w:bCs/>
          <w:spacing w:val="14"/>
          <w:position w:val="-1"/>
        </w:rPr>
        <w:t xml:space="preserve"> </w:t>
      </w:r>
      <w:r>
        <w:rPr>
          <w:sz w:val="19"/>
          <w:szCs w:val="19"/>
          <w:b/>
          <w:bCs/>
          <w:spacing w:val="8"/>
          <w:position w:val="-1"/>
        </w:rPr>
        <w:t>Siegmund</w:t>
      </w:r>
      <w:r>
        <w:rPr>
          <w:sz w:val="19"/>
          <w:szCs w:val="19"/>
          <w:b/>
          <w:bCs/>
          <w:spacing w:val="7"/>
          <w:position w:val="-1"/>
        </w:rPr>
        <w:t xml:space="preserve"> </w:t>
      </w:r>
      <w:r>
        <w:rPr>
          <w:sz w:val="15"/>
          <w:szCs w:val="15"/>
          <w:b/>
          <w:bCs/>
          <w:spacing w:val="8"/>
          <w:position w:val="5"/>
        </w:rPr>
        <w:t>14,</w:t>
      </w:r>
      <w:r>
        <w:rPr>
          <w:sz w:val="15"/>
          <w:szCs w:val="15"/>
          <w:b/>
          <w:bCs/>
          <w:spacing w:val="7"/>
          <w:position w:val="5"/>
        </w:rPr>
        <w:t>15</w:t>
      </w:r>
      <w:hyperlink w:history="true" r:id="rId16">
        <w:r>
          <w:rPr>
            <w:sz w:val="15"/>
            <w:szCs w:val="15"/>
          </w:rPr>
          <w:drawing>
            <wp:inline distT="0" distB="0" distL="0" distR="0">
              <wp:extent cx="121518" cy="113458"/>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121518" cy="113458"/>
                      </a:xfrm>
                      <a:prstGeom prst="rect">
                        <a:avLst/>
                      </a:prstGeom>
                    </pic:spPr>
                  </pic:pic>
                </a:graphicData>
              </a:graphic>
            </wp:inline>
          </w:drawing>
        </w:r>
      </w:hyperlink>
      <w:r>
        <w:rPr>
          <w:sz w:val="19"/>
          <w:szCs w:val="19"/>
          <w:b/>
          <w:bCs/>
          <w:spacing w:val="7"/>
          <w:position w:val="-1"/>
        </w:rPr>
        <w:t>,</w:t>
      </w:r>
    </w:p>
    <w:p>
      <w:pPr>
        <w:pStyle w:val="BodyText"/>
        <w:ind w:left="27"/>
        <w:spacing w:line="218" w:lineRule="auto"/>
        <w:rPr>
          <w:sz w:val="15"/>
          <w:szCs w:val="15"/>
        </w:rPr>
      </w:pPr>
      <w:r>
        <w:rPr>
          <w:sz w:val="19"/>
          <w:szCs w:val="19"/>
          <w:b/>
          <w:bCs/>
          <w:spacing w:val="10"/>
        </w:rPr>
        <w:t>Kristine Paridaens </w:t>
      </w:r>
      <w:r>
        <w:rPr>
          <w:sz w:val="15"/>
          <w:szCs w:val="15"/>
          <w:b/>
          <w:bCs/>
          <w:spacing w:val="10"/>
          <w:position w:val="6"/>
        </w:rPr>
        <w:t>16</w:t>
      </w:r>
      <w:r>
        <w:rPr>
          <w:sz w:val="19"/>
          <w:szCs w:val="19"/>
          <w:b/>
          <w:bCs/>
          <w:spacing w:val="10"/>
        </w:rPr>
        <w:t>, Silvio Dane</w:t>
      </w:r>
      <w:r>
        <w:rPr>
          <w:sz w:val="19"/>
          <w:szCs w:val="19"/>
          <w:b/>
          <w:bCs/>
          <w:spacing w:val="9"/>
        </w:rPr>
        <w:t>se </w:t>
      </w:r>
      <w:r>
        <w:rPr>
          <w:sz w:val="15"/>
          <w:szCs w:val="15"/>
          <w:b/>
          <w:bCs/>
          <w:spacing w:val="9"/>
          <w:position w:val="6"/>
        </w:rPr>
        <w:t>4,</w:t>
      </w:r>
      <w:r>
        <w:rPr>
          <w:sz w:val="19"/>
          <w:szCs w:val="19"/>
          <w:b/>
          <w:bCs/>
          <w:spacing w:val="9"/>
          <w:position w:val="6"/>
        </w:rPr>
        <w:t>*</w:t>
      </w:r>
      <w:hyperlink w:history="true" r:id="rId18">
        <w:r>
          <w:rPr>
            <w:sz w:val="19"/>
            <w:szCs w:val="19"/>
            <w:position w:val="1"/>
          </w:rPr>
          <w:drawing>
            <wp:inline distT="0" distB="0" distL="0" distR="0">
              <wp:extent cx="115193" cy="111818"/>
              <wp:effectExtent l="0" t="0" r="0" b="0"/>
              <wp:docPr id="22" name="IM 22"/>
              <wp:cNvGraphicFramePr/>
              <a:graphic>
                <a:graphicData uri="http://schemas.openxmlformats.org/drawingml/2006/picture">
                  <pic:pic>
                    <pic:nvPicPr>
                      <pic:cNvPr id="22" name="IM 22"/>
                      <pic:cNvPicPr/>
                    </pic:nvPicPr>
                    <pic:blipFill>
                      <a:blip r:embed="rId19"/>
                      <a:stretch>
                        <a:fillRect/>
                      </a:stretch>
                    </pic:blipFill>
                    <pic:spPr>
                      <a:xfrm rot="0">
                        <a:off x="0" y="0"/>
                        <a:ext cx="115193" cy="111818"/>
                      </a:xfrm>
                      <a:prstGeom prst="rect">
                        <a:avLst/>
                      </a:prstGeom>
                    </pic:spPr>
                  </pic:pic>
                </a:graphicData>
              </a:graphic>
            </wp:inline>
          </w:drawing>
        </w:r>
      </w:hyperlink>
      <w:r>
        <w:rPr>
          <w:sz w:val="19"/>
          <w:szCs w:val="19"/>
          <w:b/>
          <w:bCs/>
          <w:spacing w:val="9"/>
        </w:rPr>
        <w:t>and Laurent Peyrin-Biroulet </w:t>
      </w:r>
      <w:r>
        <w:rPr>
          <w:sz w:val="15"/>
          <w:szCs w:val="15"/>
          <w:b/>
          <w:bCs/>
          <w:spacing w:val="9"/>
          <w:position w:val="6"/>
        </w:rPr>
        <w:t>1</w:t>
      </w:r>
    </w:p>
    <w:p>
      <w:pPr>
        <w:spacing w:before="146"/>
        <w:rPr/>
      </w:pPr>
      <w:r/>
    </w:p>
    <w:p>
      <w:pPr>
        <w:sectPr>
          <w:type w:val="continuous"/>
          <w:pgSz w:w="11906" w:h="16838"/>
          <w:pgMar w:top="400" w:right="688" w:bottom="0" w:left="694" w:header="0" w:footer="0" w:gutter="0"/>
          <w:cols w:equalWidth="0" w:num="1">
            <w:col w:w="10523" w:space="0"/>
          </w:cols>
        </w:sectPr>
        <w:rPr/>
      </w:pP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19"/>
        <w:spacing w:before="86" w:line="237" w:lineRule="auto"/>
        <w:rPr>
          <w:rFonts w:ascii="Arial" w:hAnsi="Arial" w:eastAsia="Arial" w:cs="Arial"/>
          <w:sz w:val="20"/>
          <w:szCs w:val="20"/>
        </w:rPr>
      </w:pPr>
      <w:r>
        <w:pict>
          <v:shape id="_x0000_s2" style="position:absolute;margin-left:20.2358pt;margin-top:12.5148pt;mso-position-vertical-relative:text;mso-position-horizontal-relative:text;width:32.45pt;height:9.15pt;z-index:251659264;"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5"/>
                      <w:szCs w:val="15"/>
                    </w:rPr>
                  </w:pPr>
                  <w:hyperlink w:history="true" r:id="rId20">
                    <w:r>
                      <w:rPr>
                        <w:rFonts w:ascii="Arial" w:hAnsi="Arial" w:eastAsia="Arial" w:cs="Arial"/>
                        <w:sz w:val="15"/>
                        <w:szCs w:val="15"/>
                        <w:color w:val="020405"/>
                        <w:spacing w:val="10"/>
                      </w:rPr>
                      <w:t>updates</w:t>
                    </w:r>
                  </w:hyperlink>
                </w:p>
              </w:txbxContent>
            </v:textbox>
          </v:shape>
        </w:pict>
      </w:r>
      <w:r>
        <w:drawing>
          <wp:anchor distT="0" distB="0" distL="0" distR="0" simplePos="0" relativeHeight="251658240" behindDoc="1" locked="0" layoutInCell="1" allowOverlap="1">
            <wp:simplePos x="0" y="0"/>
            <wp:positionH relativeFrom="column">
              <wp:posOffset>0</wp:posOffset>
            </wp:positionH>
            <wp:positionV relativeFrom="paragraph">
              <wp:posOffset>41358</wp:posOffset>
            </wp:positionV>
            <wp:extent cx="673353" cy="241300"/>
            <wp:effectExtent l="0" t="0" r="0" b="0"/>
            <wp:wrapNone/>
            <wp:docPr id="24" name="IM 24">
              <a:hlinkClick xmlns:a="http://schemas.openxmlformats.org/drawingml/2006/main" r:id="rId22"/>
            </wp:docPr>
            <wp:cNvGraphicFramePr/>
            <a:graphic>
              <a:graphicData uri="http://schemas.openxmlformats.org/drawingml/2006/picture">
                <pic:pic>
                  <pic:nvPicPr>
                    <pic:cNvPr id="24" name="IM 24"/>
                    <pic:cNvPicPr/>
                  </pic:nvPicPr>
                  <pic:blipFill>
                    <a:blip r:embed="rId21"/>
                    <a:stretch>
                      <a:fillRect/>
                    </a:stretch>
                  </pic:blipFill>
                  <pic:spPr>
                    <a:xfrm rot="0">
                      <a:off x="0" y="0"/>
                      <a:ext cx="673353" cy="241300"/>
                    </a:xfrm>
                    <a:prstGeom prst="rect">
                      <a:avLst/>
                    </a:prstGeom>
                  </pic:spPr>
                </pic:pic>
              </a:graphicData>
            </a:graphic>
          </wp:anchor>
        </w:drawing>
      </w:r>
      <w:hyperlink w:history="true" r:id="rId20">
        <w:r>
          <w:rPr>
            <w:rFonts w:ascii="Microsoft YaHei" w:hAnsi="Microsoft YaHei" w:eastAsia="Microsoft YaHei" w:cs="Microsoft YaHei"/>
            <w:sz w:val="20"/>
            <w:szCs w:val="20"/>
            <w:color w:val="FDCF23"/>
            <w:spacing w:val="-3"/>
          </w:rPr>
          <w:t>巴</w:t>
        </w:r>
        <w:r>
          <w:rPr>
            <w:rFonts w:ascii="Microsoft YaHei" w:hAnsi="Microsoft YaHei" w:eastAsia="Microsoft YaHei" w:cs="Microsoft YaHei"/>
            <w:sz w:val="20"/>
            <w:szCs w:val="20"/>
            <w:color w:val="FDCF23"/>
            <w:spacing w:val="-3"/>
          </w:rPr>
          <w:t xml:space="preserve"> </w:t>
        </w:r>
        <w:r>
          <w:rPr>
            <w:rFonts w:ascii="Arial" w:hAnsi="Arial" w:eastAsia="Arial" w:cs="Arial"/>
            <w:sz w:val="20"/>
            <w:szCs w:val="20"/>
            <w:color w:val="020405"/>
            <w:spacing w:val="-3"/>
          </w:rPr>
          <w:t>check</w:t>
        </w:r>
        <w:r>
          <w:rPr>
            <w:rFonts w:ascii="Arial" w:hAnsi="Arial" w:eastAsia="Arial" w:cs="Arial"/>
            <w:sz w:val="20"/>
            <w:szCs w:val="20"/>
            <w:color w:val="020405"/>
            <w:spacing w:val="-7"/>
          </w:rPr>
          <w:t xml:space="preserve"> </w:t>
        </w:r>
        <w:r>
          <w:rPr>
            <w:rFonts w:ascii="Arial" w:hAnsi="Arial" w:eastAsia="Arial" w:cs="Arial"/>
            <w:sz w:val="20"/>
            <w:szCs w:val="20"/>
            <w:color w:val="020405"/>
            <w:spacing w:val="-3"/>
          </w:rPr>
          <w:t>for</w:t>
        </w:r>
      </w:hyperlink>
    </w:p>
    <w:p>
      <w:pPr>
        <w:pStyle w:val="BodyText"/>
        <w:ind w:left="26"/>
        <w:spacing w:before="137" w:line="218" w:lineRule="auto"/>
        <w:rPr>
          <w:sz w:val="13"/>
          <w:szCs w:val="13"/>
        </w:rPr>
      </w:pPr>
      <w:r>
        <w:rPr>
          <w:sz w:val="13"/>
          <w:szCs w:val="13"/>
          <w:b/>
          <w:bCs/>
          <w:spacing w:val="5"/>
        </w:rPr>
        <w:t>Citation:</w:t>
      </w:r>
      <w:r>
        <w:rPr>
          <w:sz w:val="13"/>
          <w:szCs w:val="13"/>
          <w:b/>
          <w:bCs/>
          <w:spacing w:val="24"/>
          <w:w w:val="101"/>
        </w:rPr>
        <w:t xml:space="preserve"> </w:t>
      </w:r>
      <w:r>
        <w:rPr>
          <w:sz w:val="13"/>
          <w:szCs w:val="13"/>
          <w:spacing w:val="5"/>
        </w:rPr>
        <w:t>Caron, B.; Jairath, V.;</w:t>
      </w:r>
    </w:p>
    <w:p>
      <w:pPr>
        <w:pStyle w:val="BodyText"/>
        <w:ind w:left="16" w:right="250" w:firstLine="6"/>
        <w:spacing w:before="103" w:line="359" w:lineRule="auto"/>
        <w:rPr>
          <w:sz w:val="13"/>
          <w:szCs w:val="13"/>
        </w:rPr>
      </w:pPr>
      <w:r>
        <w:rPr>
          <w:sz w:val="13"/>
          <w:szCs w:val="13"/>
          <w:spacing w:val="7"/>
        </w:rPr>
        <w:t>D’Amico, F.; AI Awadhi, S.; Dignas</w:t>
      </w:r>
      <w:r>
        <w:rPr>
          <w:sz w:val="13"/>
          <w:szCs w:val="13"/>
          <w:spacing w:val="6"/>
        </w:rPr>
        <w:t>s,</w:t>
      </w:r>
      <w:r>
        <w:rPr>
          <w:sz w:val="13"/>
          <w:szCs w:val="13"/>
        </w:rPr>
        <w:t xml:space="preserve"> </w:t>
      </w:r>
      <w:r>
        <w:rPr>
          <w:sz w:val="13"/>
          <w:szCs w:val="13"/>
          <w:spacing w:val="7"/>
        </w:rPr>
        <w:t>A.; Hart, A.L.; Kobayashi, T.; </w:t>
      </w:r>
      <w:r>
        <w:rPr>
          <w:sz w:val="13"/>
          <w:szCs w:val="13"/>
          <w:spacing w:val="6"/>
        </w:rPr>
        <w:t>Kotze,</w:t>
      </w:r>
    </w:p>
    <w:p>
      <w:pPr>
        <w:pStyle w:val="BodyText"/>
        <w:ind w:left="22"/>
        <w:spacing w:line="171" w:lineRule="exact"/>
        <w:rPr>
          <w:sz w:val="13"/>
          <w:szCs w:val="13"/>
        </w:rPr>
      </w:pPr>
      <w:r>
        <w:rPr>
          <w:sz w:val="13"/>
          <w:szCs w:val="13"/>
          <w:spacing w:val="11"/>
          <w:position w:val="2"/>
        </w:rPr>
        <w:t>P.G.; </w:t>
      </w:r>
      <w:r>
        <w:rPr>
          <w:sz w:val="13"/>
          <w:szCs w:val="13"/>
          <w:position w:val="2"/>
        </w:rPr>
        <w:t>Magro</w:t>
      </w:r>
      <w:r>
        <w:rPr>
          <w:sz w:val="13"/>
          <w:szCs w:val="13"/>
          <w:spacing w:val="11"/>
          <w:position w:val="2"/>
        </w:rPr>
        <w:t>, F.; </w:t>
      </w:r>
      <w:r>
        <w:rPr>
          <w:sz w:val="13"/>
          <w:szCs w:val="13"/>
          <w:position w:val="2"/>
        </w:rPr>
        <w:t>Siegmund</w:t>
      </w:r>
      <w:r>
        <w:rPr>
          <w:sz w:val="13"/>
          <w:szCs w:val="13"/>
          <w:spacing w:val="11"/>
          <w:position w:val="2"/>
        </w:rPr>
        <w:t>, B.; </w:t>
      </w:r>
      <w:r>
        <w:rPr>
          <w:sz w:val="13"/>
          <w:szCs w:val="13"/>
          <w:position w:val="2"/>
        </w:rPr>
        <w:t>et</w:t>
      </w:r>
      <w:r>
        <w:rPr>
          <w:sz w:val="13"/>
          <w:szCs w:val="13"/>
          <w:spacing w:val="11"/>
          <w:position w:val="2"/>
        </w:rPr>
        <w:t xml:space="preserve"> </w:t>
      </w:r>
      <w:r>
        <w:rPr>
          <w:sz w:val="13"/>
          <w:szCs w:val="13"/>
          <w:position w:val="2"/>
        </w:rPr>
        <w:t>al</w:t>
      </w:r>
      <w:r>
        <w:rPr>
          <w:sz w:val="13"/>
          <w:szCs w:val="13"/>
          <w:spacing w:val="11"/>
          <w:position w:val="2"/>
        </w:rPr>
        <w:t>.</w:t>
      </w:r>
    </w:p>
    <w:p>
      <w:pPr>
        <w:pStyle w:val="BodyText"/>
        <w:ind w:left="22"/>
        <w:spacing w:before="97" w:line="209" w:lineRule="auto"/>
        <w:rPr>
          <w:sz w:val="13"/>
          <w:szCs w:val="13"/>
        </w:rPr>
      </w:pPr>
      <w:r>
        <w:rPr>
          <w:sz w:val="13"/>
          <w:szCs w:val="13"/>
          <w:spacing w:val="10"/>
        </w:rPr>
        <w:t>International Consensus on</w:t>
      </w:r>
    </w:p>
    <w:p>
      <w:pPr>
        <w:pStyle w:val="BodyText"/>
        <w:ind w:left="22"/>
        <w:spacing w:before="79" w:line="171" w:lineRule="exact"/>
        <w:rPr>
          <w:sz w:val="13"/>
          <w:szCs w:val="13"/>
        </w:rPr>
      </w:pPr>
      <w:r>
        <w:rPr>
          <w:sz w:val="13"/>
          <w:szCs w:val="13"/>
          <w:spacing w:val="8"/>
          <w:position w:val="1"/>
        </w:rPr>
        <w:t>Deﬁnition of Mild–to–Moderate</w:t>
      </w:r>
    </w:p>
    <w:p>
      <w:pPr>
        <w:pStyle w:val="BodyText"/>
        <w:ind w:left="16" w:right="176" w:firstLine="5"/>
        <w:spacing w:before="98" w:line="368" w:lineRule="auto"/>
        <w:rPr>
          <w:sz w:val="13"/>
          <w:szCs w:val="13"/>
        </w:rPr>
      </w:pPr>
      <w:r>
        <w:rPr>
          <w:sz w:val="13"/>
          <w:szCs w:val="13"/>
          <w:spacing w:val="8"/>
        </w:rPr>
        <w:t>Ulcerative Colitis Disease Activity in</w:t>
      </w:r>
      <w:r>
        <w:rPr>
          <w:sz w:val="13"/>
          <w:szCs w:val="13"/>
          <w:spacing w:val="3"/>
        </w:rPr>
        <w:t xml:space="preserve">   </w:t>
      </w:r>
      <w:r>
        <w:rPr>
          <w:sz w:val="13"/>
          <w:szCs w:val="13"/>
        </w:rPr>
        <w:t>Adult</w:t>
      </w:r>
      <w:r>
        <w:rPr>
          <w:sz w:val="13"/>
          <w:szCs w:val="13"/>
          <w:spacing w:val="14"/>
        </w:rPr>
        <w:t xml:space="preserve"> </w:t>
      </w:r>
      <w:r>
        <w:rPr>
          <w:sz w:val="13"/>
          <w:szCs w:val="13"/>
        </w:rPr>
        <w:t>Patients</w:t>
      </w:r>
      <w:r>
        <w:rPr>
          <w:sz w:val="13"/>
          <w:szCs w:val="13"/>
          <w:spacing w:val="14"/>
        </w:rPr>
        <w:t>. </w:t>
      </w:r>
      <w:r>
        <w:rPr>
          <w:sz w:val="13"/>
          <w:szCs w:val="13"/>
        </w:rPr>
        <w:t>Medicina</w:t>
      </w:r>
      <w:r>
        <w:rPr>
          <w:sz w:val="13"/>
          <w:szCs w:val="13"/>
          <w:spacing w:val="14"/>
        </w:rPr>
        <w:t xml:space="preserve"> </w:t>
      </w:r>
      <w:r>
        <w:rPr>
          <w:sz w:val="13"/>
          <w:szCs w:val="13"/>
          <w:b/>
          <w:bCs/>
          <w:spacing w:val="14"/>
        </w:rPr>
        <w:t>2023</w:t>
      </w:r>
      <w:r>
        <w:rPr>
          <w:sz w:val="13"/>
          <w:szCs w:val="13"/>
          <w:spacing w:val="14"/>
        </w:rPr>
        <w:t>, 59, 183.</w:t>
      </w:r>
      <w:r>
        <w:rPr>
          <w:sz w:val="13"/>
          <w:szCs w:val="13"/>
          <w:spacing w:val="4"/>
        </w:rPr>
        <w:t xml:space="preserve"> </w:t>
      </w:r>
      <w:hyperlink w:history="true" r:id="rId23">
        <w:r>
          <w:rPr>
            <w:sz w:val="13"/>
            <w:szCs w:val="13"/>
            <w:spacing w:val="8"/>
            <w:w w:val="113"/>
          </w:rPr>
          <w:t>https://doi.org/10.3390/</w:t>
        </w:r>
      </w:hyperlink>
      <w:r>
        <w:rPr>
          <w:sz w:val="13"/>
          <w:szCs w:val="13"/>
        </w:rPr>
        <w:t xml:space="preserve">                        </w:t>
      </w:r>
      <w:hyperlink w:history="true" r:id="rId23">
        <w:r>
          <w:rPr>
            <w:sz w:val="13"/>
            <w:szCs w:val="13"/>
          </w:rPr>
          <w:t>medicina</w:t>
        </w:r>
        <w:r>
          <w:rPr>
            <w:sz w:val="13"/>
            <w:szCs w:val="13"/>
            <w:spacing w:val="16"/>
          </w:rPr>
          <w:t>59010183</w:t>
        </w:r>
      </w:hyperlink>
    </w:p>
    <w:p>
      <w:pPr>
        <w:pStyle w:val="BodyText"/>
        <w:ind w:left="22"/>
        <w:spacing w:before="156" w:line="209" w:lineRule="auto"/>
        <w:rPr>
          <w:sz w:val="13"/>
          <w:szCs w:val="13"/>
        </w:rPr>
      </w:pPr>
      <w:r>
        <w:rPr>
          <w:sz w:val="13"/>
          <w:szCs w:val="13"/>
          <w:spacing w:val="10"/>
        </w:rPr>
        <w:t>Academic Editors: Ludovico</w:t>
      </w:r>
    </w:p>
    <w:p>
      <w:pPr>
        <w:pStyle w:val="BodyText"/>
        <w:ind w:left="16"/>
        <w:spacing w:before="108" w:line="209" w:lineRule="auto"/>
        <w:rPr>
          <w:sz w:val="13"/>
          <w:szCs w:val="13"/>
        </w:rPr>
      </w:pPr>
      <w:r>
        <w:rPr>
          <w:sz w:val="13"/>
          <w:szCs w:val="13"/>
          <w:spacing w:val="10"/>
        </w:rPr>
        <w:t>Abenavoli and Marcello Ca</w:t>
      </w:r>
      <w:r>
        <w:rPr>
          <w:sz w:val="13"/>
          <w:szCs w:val="13"/>
          <w:spacing w:val="9"/>
        </w:rPr>
        <w:t>ndelli</w:t>
      </w:r>
    </w:p>
    <w:p>
      <w:pPr>
        <w:pStyle w:val="BodyText"/>
        <w:ind w:left="22"/>
        <w:spacing w:before="248" w:line="209" w:lineRule="auto"/>
        <w:rPr>
          <w:sz w:val="13"/>
          <w:szCs w:val="13"/>
        </w:rPr>
      </w:pPr>
      <w:r>
        <w:rPr>
          <w:sz w:val="13"/>
          <w:szCs w:val="13"/>
          <w:spacing w:val="8"/>
        </w:rPr>
        <w:t>Received: 24 December 20</w:t>
      </w:r>
      <w:r>
        <w:rPr>
          <w:sz w:val="13"/>
          <w:szCs w:val="13"/>
          <w:spacing w:val="7"/>
        </w:rPr>
        <w:t>22</w:t>
      </w:r>
    </w:p>
    <w:p>
      <w:pPr>
        <w:pStyle w:val="BodyText"/>
        <w:ind w:left="22"/>
        <w:spacing w:before="108" w:line="226" w:lineRule="auto"/>
        <w:rPr>
          <w:sz w:val="13"/>
          <w:szCs w:val="13"/>
        </w:rPr>
      </w:pPr>
      <w:r>
        <w:rPr>
          <w:sz w:val="13"/>
          <w:szCs w:val="13"/>
          <w:spacing w:val="7"/>
        </w:rPr>
        <w:t>Revised:</w:t>
      </w:r>
      <w:r>
        <w:rPr>
          <w:sz w:val="13"/>
          <w:szCs w:val="13"/>
          <w:spacing w:val="28"/>
          <w:w w:val="102"/>
        </w:rPr>
        <w:t xml:space="preserve"> </w:t>
      </w:r>
      <w:r>
        <w:rPr>
          <w:sz w:val="13"/>
          <w:szCs w:val="13"/>
          <w:spacing w:val="7"/>
        </w:rPr>
        <w:t>12 January 2023</w:t>
      </w:r>
    </w:p>
    <w:p>
      <w:pPr>
        <w:pStyle w:val="BodyText"/>
        <w:ind w:left="16"/>
        <w:spacing w:before="98" w:line="226" w:lineRule="auto"/>
        <w:rPr>
          <w:sz w:val="13"/>
          <w:szCs w:val="13"/>
        </w:rPr>
      </w:pPr>
      <w:r>
        <w:rPr>
          <w:sz w:val="13"/>
          <w:szCs w:val="13"/>
          <w:spacing w:val="8"/>
        </w:rPr>
        <w:t>Accepted:</w:t>
      </w:r>
      <w:r>
        <w:rPr>
          <w:sz w:val="13"/>
          <w:szCs w:val="13"/>
          <w:spacing w:val="19"/>
          <w:w w:val="102"/>
        </w:rPr>
        <w:t xml:space="preserve"> </w:t>
      </w:r>
      <w:r>
        <w:rPr>
          <w:sz w:val="13"/>
          <w:szCs w:val="13"/>
          <w:spacing w:val="8"/>
        </w:rPr>
        <w:t>13 January 2</w:t>
      </w:r>
      <w:r>
        <w:rPr>
          <w:sz w:val="13"/>
          <w:szCs w:val="13"/>
          <w:spacing w:val="7"/>
        </w:rPr>
        <w:t>023</w:t>
      </w:r>
    </w:p>
    <w:p>
      <w:pPr>
        <w:pStyle w:val="BodyText"/>
        <w:ind w:left="22"/>
        <w:spacing w:before="98" w:line="226" w:lineRule="auto"/>
        <w:rPr>
          <w:sz w:val="13"/>
          <w:szCs w:val="13"/>
        </w:rPr>
      </w:pPr>
      <w:r>
        <w:rPr>
          <w:sz w:val="13"/>
          <w:szCs w:val="13"/>
          <w:spacing w:val="8"/>
        </w:rPr>
        <w:t>Published:</w:t>
      </w:r>
      <w:r>
        <w:rPr>
          <w:sz w:val="13"/>
          <w:szCs w:val="13"/>
          <w:spacing w:val="24"/>
        </w:rPr>
        <w:t xml:space="preserve"> </w:t>
      </w:r>
      <w:r>
        <w:rPr>
          <w:sz w:val="13"/>
          <w:szCs w:val="13"/>
          <w:spacing w:val="8"/>
        </w:rPr>
        <w:t>16 January 2023</w:t>
      </w:r>
    </w:p>
    <w:p>
      <w:pPr>
        <w:spacing w:line="256" w:lineRule="auto"/>
        <w:rPr>
          <w:rFonts w:ascii="Arial"/>
          <w:sz w:val="21"/>
        </w:rPr>
      </w:pPr>
      <w:r/>
    </w:p>
    <w:p>
      <w:pPr>
        <w:ind w:firstLine="19"/>
        <w:spacing w:line="399" w:lineRule="exact"/>
        <w:rPr/>
      </w:pPr>
      <w:r>
        <w:rPr>
          <w:position w:val="-7"/>
        </w:rPr>
        <w:drawing>
          <wp:inline distT="0" distB="0" distL="0" distR="0">
            <wp:extent cx="726918" cy="253190"/>
            <wp:effectExtent l="0" t="0" r="0" b="0"/>
            <wp:docPr id="26" name="IM 26"/>
            <wp:cNvGraphicFramePr/>
            <a:graphic>
              <a:graphicData uri="http://schemas.openxmlformats.org/drawingml/2006/picture">
                <pic:pic>
                  <pic:nvPicPr>
                    <pic:cNvPr id="26" name="IM 26"/>
                    <pic:cNvPicPr/>
                  </pic:nvPicPr>
                  <pic:blipFill>
                    <a:blip r:embed="rId24"/>
                    <a:stretch>
                      <a:fillRect/>
                    </a:stretch>
                  </pic:blipFill>
                  <pic:spPr>
                    <a:xfrm rot="0">
                      <a:off x="0" y="0"/>
                      <a:ext cx="726918" cy="253190"/>
                    </a:xfrm>
                    <a:prstGeom prst="rect">
                      <a:avLst/>
                    </a:prstGeom>
                  </pic:spPr>
                </pic:pic>
              </a:graphicData>
            </a:graphic>
          </wp:inline>
        </w:drawing>
      </w:r>
    </w:p>
    <w:p>
      <w:pPr>
        <w:pStyle w:val="BodyText"/>
        <w:ind w:left="16" w:right="156" w:firstLine="9"/>
        <w:spacing w:before="106" w:line="383" w:lineRule="auto"/>
        <w:jc w:val="both"/>
        <w:rPr>
          <w:sz w:val="13"/>
          <w:szCs w:val="13"/>
        </w:rPr>
      </w:pPr>
      <w:r>
        <w:rPr>
          <w:sz w:val="13"/>
          <w:szCs w:val="13"/>
          <w:b/>
          <w:bCs/>
          <w:spacing w:val="8"/>
        </w:rPr>
        <w:t>Copyright:   </w:t>
      </w:r>
      <w:r>
        <w:rPr>
          <w:sz w:val="13"/>
          <w:szCs w:val="13"/>
          <w:spacing w:val="8"/>
        </w:rPr>
        <w:t>©</w:t>
      </w:r>
      <w:r>
        <w:rPr>
          <w:sz w:val="13"/>
          <w:szCs w:val="13"/>
          <w:spacing w:val="7"/>
        </w:rPr>
        <w:t xml:space="preserve">  </w:t>
      </w:r>
      <w:r>
        <w:rPr>
          <w:sz w:val="13"/>
          <w:szCs w:val="13"/>
          <w:spacing w:val="8"/>
        </w:rPr>
        <w:t>2023  by</w:t>
      </w:r>
      <w:r>
        <w:rPr>
          <w:sz w:val="13"/>
          <w:szCs w:val="13"/>
          <w:spacing w:val="7"/>
        </w:rPr>
        <w:t xml:space="preserve">  </w:t>
      </w:r>
      <w:r>
        <w:rPr>
          <w:sz w:val="13"/>
          <w:szCs w:val="13"/>
          <w:spacing w:val="8"/>
        </w:rPr>
        <w:t>the</w:t>
      </w:r>
      <w:r>
        <w:rPr>
          <w:sz w:val="13"/>
          <w:szCs w:val="13"/>
          <w:spacing w:val="7"/>
        </w:rPr>
        <w:t xml:space="preserve">  </w:t>
      </w:r>
      <w:r>
        <w:rPr>
          <w:sz w:val="13"/>
          <w:szCs w:val="13"/>
          <w:spacing w:val="8"/>
        </w:rPr>
        <w:t>authors.</w:t>
      </w:r>
      <w:r>
        <w:rPr>
          <w:sz w:val="13"/>
          <w:szCs w:val="13"/>
          <w:spacing w:val="1"/>
        </w:rPr>
        <w:t xml:space="preserve"> </w:t>
      </w:r>
      <w:r>
        <w:rPr>
          <w:sz w:val="13"/>
          <w:szCs w:val="13"/>
          <w:spacing w:val="8"/>
        </w:rPr>
        <w:t>Licensee  MDPI,</w:t>
      </w:r>
      <w:r>
        <w:rPr>
          <w:sz w:val="13"/>
          <w:szCs w:val="13"/>
          <w:spacing w:val="20"/>
          <w:w w:val="102"/>
        </w:rPr>
        <w:t xml:space="preserve">  </w:t>
      </w:r>
      <w:r>
        <w:rPr>
          <w:sz w:val="13"/>
          <w:szCs w:val="13"/>
          <w:spacing w:val="8"/>
        </w:rPr>
        <w:t>Basel,   Switzerland.</w:t>
      </w:r>
      <w:r>
        <w:rPr>
          <w:sz w:val="13"/>
          <w:szCs w:val="13"/>
        </w:rPr>
        <w:t xml:space="preserve"> </w:t>
      </w:r>
      <w:r>
        <w:rPr>
          <w:sz w:val="13"/>
          <w:szCs w:val="13"/>
          <w:spacing w:val="8"/>
        </w:rPr>
        <w:t>This</w:t>
      </w:r>
      <w:r>
        <w:rPr>
          <w:sz w:val="13"/>
          <w:szCs w:val="13"/>
          <w:spacing w:val="3"/>
        </w:rPr>
        <w:t xml:space="preserve">  </w:t>
      </w:r>
      <w:r>
        <w:rPr>
          <w:sz w:val="13"/>
          <w:szCs w:val="13"/>
          <w:spacing w:val="8"/>
        </w:rPr>
        <w:t>article</w:t>
      </w:r>
      <w:r>
        <w:rPr>
          <w:sz w:val="13"/>
          <w:szCs w:val="13"/>
          <w:spacing w:val="31"/>
          <w:w w:val="101"/>
        </w:rPr>
        <w:t xml:space="preserve"> </w:t>
      </w:r>
      <w:r>
        <w:rPr>
          <w:sz w:val="13"/>
          <w:szCs w:val="13"/>
          <w:spacing w:val="8"/>
        </w:rPr>
        <w:t>is</w:t>
      </w:r>
      <w:r>
        <w:rPr>
          <w:sz w:val="13"/>
          <w:szCs w:val="13"/>
        </w:rPr>
        <w:t xml:space="preserve">  </w:t>
      </w:r>
      <w:r>
        <w:rPr>
          <w:sz w:val="13"/>
          <w:szCs w:val="13"/>
          <w:spacing w:val="8"/>
        </w:rPr>
        <w:t>an</w:t>
      </w:r>
      <w:r>
        <w:rPr>
          <w:sz w:val="13"/>
          <w:szCs w:val="13"/>
        </w:rPr>
        <w:t xml:space="preserve">  </w:t>
      </w:r>
      <w:r>
        <w:rPr>
          <w:sz w:val="13"/>
          <w:szCs w:val="13"/>
          <w:spacing w:val="8"/>
        </w:rPr>
        <w:t>open</w:t>
      </w:r>
      <w:r>
        <w:rPr>
          <w:sz w:val="13"/>
          <w:szCs w:val="13"/>
        </w:rPr>
        <w:t xml:space="preserve">  </w:t>
      </w:r>
      <w:r>
        <w:rPr>
          <w:sz w:val="13"/>
          <w:szCs w:val="13"/>
          <w:spacing w:val="8"/>
        </w:rPr>
        <w:t>access</w:t>
      </w:r>
      <w:r>
        <w:rPr>
          <w:sz w:val="13"/>
          <w:szCs w:val="13"/>
        </w:rPr>
        <w:t xml:space="preserve">  </w:t>
      </w:r>
      <w:r>
        <w:rPr>
          <w:sz w:val="13"/>
          <w:szCs w:val="13"/>
          <w:spacing w:val="8"/>
        </w:rPr>
        <w:t>article</w:t>
      </w:r>
      <w:r>
        <w:rPr>
          <w:sz w:val="13"/>
          <w:szCs w:val="13"/>
        </w:rPr>
        <w:t xml:space="preserve">  </w:t>
      </w:r>
      <w:r>
        <w:rPr>
          <w:sz w:val="13"/>
          <w:szCs w:val="13"/>
          <w:spacing w:val="12"/>
        </w:rPr>
        <w:t>distributed   under   th</w:t>
      </w:r>
      <w:r>
        <w:rPr>
          <w:sz w:val="13"/>
          <w:szCs w:val="13"/>
          <w:spacing w:val="11"/>
        </w:rPr>
        <w:t>e   terms</w:t>
      </w:r>
      <w:r>
        <w:rPr>
          <w:sz w:val="13"/>
          <w:szCs w:val="13"/>
          <w:spacing w:val="9"/>
          <w:w w:val="102"/>
        </w:rPr>
        <w:t xml:space="preserve">   </w:t>
      </w:r>
      <w:r>
        <w:rPr>
          <w:sz w:val="13"/>
          <w:szCs w:val="13"/>
          <w:spacing w:val="11"/>
        </w:rPr>
        <w:t>and</w:t>
      </w:r>
      <w:r>
        <w:rPr>
          <w:sz w:val="13"/>
          <w:szCs w:val="13"/>
        </w:rPr>
        <w:t xml:space="preserve">  </w:t>
      </w:r>
      <w:r>
        <w:rPr>
          <w:sz w:val="13"/>
          <w:szCs w:val="13"/>
          <w:spacing w:val="11"/>
        </w:rPr>
        <w:t>conditions</w:t>
      </w:r>
      <w:r>
        <w:rPr>
          <w:sz w:val="13"/>
          <w:szCs w:val="13"/>
          <w:spacing w:val="23"/>
        </w:rPr>
        <w:t xml:space="preserve"> </w:t>
      </w:r>
      <w:r>
        <w:rPr>
          <w:sz w:val="13"/>
          <w:szCs w:val="13"/>
          <w:spacing w:val="11"/>
        </w:rPr>
        <w:t>of</w:t>
      </w:r>
      <w:r>
        <w:rPr>
          <w:sz w:val="13"/>
          <w:szCs w:val="13"/>
          <w:spacing w:val="20"/>
          <w:w w:val="101"/>
        </w:rPr>
        <w:t xml:space="preserve"> </w:t>
      </w:r>
      <w:r>
        <w:rPr>
          <w:sz w:val="13"/>
          <w:szCs w:val="13"/>
          <w:spacing w:val="11"/>
        </w:rPr>
        <w:t>the</w:t>
      </w:r>
      <w:r>
        <w:rPr>
          <w:sz w:val="13"/>
          <w:szCs w:val="13"/>
          <w:spacing w:val="21"/>
          <w:w w:val="101"/>
        </w:rPr>
        <w:t xml:space="preserve"> </w:t>
      </w:r>
      <w:r>
        <w:rPr>
          <w:sz w:val="13"/>
          <w:szCs w:val="13"/>
          <w:spacing w:val="11"/>
        </w:rPr>
        <w:t>Creative</w:t>
      </w:r>
      <w:r>
        <w:rPr>
          <w:sz w:val="13"/>
          <w:szCs w:val="13"/>
          <w:spacing w:val="21"/>
          <w:w w:val="101"/>
        </w:rPr>
        <w:t xml:space="preserve"> </w:t>
      </w:r>
      <w:r>
        <w:rPr>
          <w:sz w:val="13"/>
          <w:szCs w:val="13"/>
          <w:spacing w:val="11"/>
        </w:rPr>
        <w:t>Comm</w:t>
      </w:r>
      <w:r>
        <w:rPr>
          <w:sz w:val="13"/>
          <w:szCs w:val="13"/>
          <w:spacing w:val="10"/>
        </w:rPr>
        <w:t>ons</w:t>
      </w:r>
      <w:r>
        <w:rPr>
          <w:sz w:val="13"/>
          <w:szCs w:val="13"/>
        </w:rPr>
        <w:t xml:space="preserve">  </w:t>
      </w:r>
      <w:r>
        <w:rPr>
          <w:sz w:val="13"/>
          <w:szCs w:val="13"/>
          <w:spacing w:val="10"/>
        </w:rPr>
        <w:t>Attribution</w:t>
      </w:r>
      <w:r>
        <w:rPr>
          <w:sz w:val="13"/>
          <w:szCs w:val="13"/>
          <w:spacing w:val="37"/>
          <w:w w:val="102"/>
        </w:rPr>
        <w:t xml:space="preserve"> </w:t>
      </w:r>
      <w:r>
        <w:rPr>
          <w:sz w:val="13"/>
          <w:szCs w:val="13"/>
          <w:spacing w:val="10"/>
        </w:rPr>
        <w:t>(CC</w:t>
      </w:r>
      <w:r>
        <w:rPr>
          <w:sz w:val="13"/>
          <w:szCs w:val="13"/>
          <w:spacing w:val="22"/>
          <w:w w:val="101"/>
        </w:rPr>
        <w:t xml:space="preserve"> </w:t>
      </w:r>
      <w:r>
        <w:rPr>
          <w:sz w:val="13"/>
          <w:szCs w:val="13"/>
          <w:spacing w:val="10"/>
        </w:rPr>
        <w:t>BY)</w:t>
      </w:r>
      <w:r>
        <w:rPr>
          <w:sz w:val="13"/>
          <w:szCs w:val="13"/>
          <w:spacing w:val="21"/>
          <w:w w:val="101"/>
        </w:rPr>
        <w:t xml:space="preserve"> </w:t>
      </w:r>
      <w:r>
        <w:rPr>
          <w:sz w:val="13"/>
          <w:szCs w:val="13"/>
          <w:spacing w:val="10"/>
        </w:rPr>
        <w:t>license</w:t>
      </w:r>
      <w:r>
        <w:rPr>
          <w:sz w:val="13"/>
          <w:szCs w:val="13"/>
          <w:spacing w:val="27"/>
        </w:rPr>
        <w:t xml:space="preserve"> </w:t>
      </w:r>
      <w:hyperlink w:history="true" r:id="rId25">
        <w:r>
          <w:rPr>
            <w:sz w:val="13"/>
            <w:szCs w:val="13"/>
            <w:spacing w:val="10"/>
          </w:rPr>
          <w:t>(https://</w:t>
        </w:r>
      </w:hyperlink>
      <w:r>
        <w:rPr>
          <w:sz w:val="13"/>
          <w:szCs w:val="13"/>
        </w:rPr>
        <w:t xml:space="preserve"> </w:t>
      </w:r>
      <w:hyperlink w:history="true" r:id="rId25">
        <w:r>
          <w:rPr>
            <w:sz w:val="13"/>
            <w:szCs w:val="13"/>
            <w:spacing w:val="14"/>
          </w:rPr>
          <w:t>creativecommons.org/li</w:t>
        </w:r>
        <w:r>
          <w:rPr>
            <w:sz w:val="13"/>
            <w:szCs w:val="13"/>
            <w:spacing w:val="13"/>
          </w:rPr>
          <w:t>censes/by/</w:t>
        </w:r>
      </w:hyperlink>
    </w:p>
    <w:p>
      <w:pPr>
        <w:pStyle w:val="BodyText"/>
        <w:ind w:left="20"/>
        <w:spacing w:line="171" w:lineRule="exact"/>
        <w:rPr>
          <w:sz w:val="13"/>
          <w:szCs w:val="13"/>
        </w:rPr>
      </w:pPr>
      <w:r>
        <w:rPr>
          <w:sz w:val="13"/>
          <w:szCs w:val="13"/>
          <w:spacing w:val="9"/>
          <w:w w:val="106"/>
          <w:position w:val="2"/>
        </w:rPr>
        <w:t>4.0/).</w:t>
      </w:r>
    </w:p>
    <w:p>
      <w:pPr>
        <w:spacing w:line="44" w:lineRule="exact"/>
        <w:rPr/>
      </w:pPr>
      <w:r/>
    </w:p>
    <w:p>
      <w:pPr>
        <w:spacing w:line="14" w:lineRule="auto"/>
        <w:rPr>
          <w:rFonts w:ascii="Arial"/>
          <w:sz w:val="2"/>
        </w:rPr>
      </w:pPr>
      <w:r>
        <w:rPr>
          <w:rFonts w:ascii="Arial" w:hAnsi="Arial" w:eastAsia="Arial" w:cs="Arial"/>
          <w:sz w:val="2"/>
          <w:szCs w:val="2"/>
        </w:rPr>
        <w:br w:type="column"/>
      </w:r>
    </w:p>
    <w:p>
      <w:pPr>
        <w:pStyle w:val="BodyText"/>
        <w:ind w:left="14"/>
        <w:spacing w:before="42" w:line="215" w:lineRule="exact"/>
        <w:rPr>
          <w:sz w:val="15"/>
          <w:szCs w:val="15"/>
        </w:rPr>
      </w:pPr>
      <w:r>
        <w:rPr>
          <w:sz w:val="11"/>
          <w:szCs w:val="11"/>
          <w:spacing w:val="11"/>
          <w:position w:val="7"/>
        </w:rPr>
        <w:t>1      </w:t>
      </w:r>
      <w:r>
        <w:rPr>
          <w:sz w:val="15"/>
          <w:szCs w:val="15"/>
          <w:spacing w:val="11"/>
          <w:position w:val="2"/>
        </w:rPr>
        <w:t>Department of Gastroenterol</w:t>
      </w:r>
      <w:r>
        <w:rPr>
          <w:sz w:val="15"/>
          <w:szCs w:val="15"/>
          <w:spacing w:val="10"/>
          <w:position w:val="2"/>
        </w:rPr>
        <w:t>ogy and Inserm NGERE U1256, Nancy University Hospital,</w:t>
      </w:r>
    </w:p>
    <w:p>
      <w:pPr>
        <w:pStyle w:val="BodyText"/>
        <w:ind w:left="280"/>
        <w:spacing w:before="20" w:line="195" w:lineRule="exact"/>
        <w:rPr>
          <w:sz w:val="15"/>
          <w:szCs w:val="15"/>
        </w:rPr>
      </w:pPr>
      <w:r>
        <w:rPr>
          <w:sz w:val="15"/>
          <w:szCs w:val="15"/>
          <w:spacing w:val="8"/>
          <w:position w:val="2"/>
        </w:rPr>
        <w:t>University of Lorraine, 54500 Vandoeuvre–l</w:t>
      </w:r>
      <w:r>
        <w:rPr>
          <w:rFonts w:ascii="Arial" w:hAnsi="Arial" w:eastAsia="Arial" w:cs="Arial"/>
          <w:sz w:val="15"/>
          <w:szCs w:val="15"/>
          <w:spacing w:val="8"/>
          <w:position w:val="2"/>
        </w:rPr>
        <w:t>è</w:t>
      </w:r>
      <w:r>
        <w:rPr>
          <w:sz w:val="15"/>
          <w:szCs w:val="15"/>
          <w:spacing w:val="8"/>
          <w:position w:val="2"/>
        </w:rPr>
        <w:t>s–Nancy, F</w:t>
      </w:r>
      <w:r>
        <w:rPr>
          <w:sz w:val="15"/>
          <w:szCs w:val="15"/>
          <w:spacing w:val="7"/>
          <w:position w:val="2"/>
        </w:rPr>
        <w:t>rance</w:t>
      </w:r>
    </w:p>
    <w:p>
      <w:pPr>
        <w:pStyle w:val="BodyText"/>
        <w:ind w:left="9"/>
        <w:spacing w:line="215" w:lineRule="exact"/>
        <w:rPr>
          <w:sz w:val="15"/>
          <w:szCs w:val="15"/>
        </w:rPr>
      </w:pPr>
      <w:r>
        <w:rPr>
          <w:sz w:val="11"/>
          <w:szCs w:val="11"/>
          <w:spacing w:val="10"/>
          <w:position w:val="7"/>
        </w:rPr>
        <w:t>2      </w:t>
      </w:r>
      <w:r>
        <w:rPr>
          <w:sz w:val="15"/>
          <w:szCs w:val="15"/>
          <w:spacing w:val="10"/>
          <w:position w:val="2"/>
        </w:rPr>
        <w:t>Department of Medicine, Western University, London, ON N6A 3K7, Canada</w:t>
      </w:r>
    </w:p>
    <w:p>
      <w:pPr>
        <w:pStyle w:val="BodyText"/>
        <w:ind w:left="8"/>
        <w:spacing w:line="215" w:lineRule="exact"/>
        <w:rPr>
          <w:sz w:val="15"/>
          <w:szCs w:val="15"/>
        </w:rPr>
      </w:pPr>
      <w:r>
        <w:rPr>
          <w:sz w:val="11"/>
          <w:szCs w:val="11"/>
          <w:spacing w:val="10"/>
          <w:position w:val="7"/>
        </w:rPr>
        <w:t>3      </w:t>
      </w:r>
      <w:r>
        <w:rPr>
          <w:sz w:val="15"/>
          <w:szCs w:val="15"/>
          <w:spacing w:val="10"/>
          <w:position w:val="2"/>
        </w:rPr>
        <w:t>Department of Epidemiology and Biostatistics, Western University, London, ON N6A 3K7, Canada</w:t>
      </w:r>
    </w:p>
    <w:p>
      <w:pPr>
        <w:pStyle w:val="BodyText"/>
        <w:ind w:left="280" w:right="269" w:hanging="273"/>
        <w:spacing w:before="1" w:line="290" w:lineRule="auto"/>
        <w:rPr>
          <w:sz w:val="15"/>
          <w:szCs w:val="15"/>
        </w:rPr>
      </w:pPr>
      <w:r>
        <w:rPr>
          <w:sz w:val="11"/>
          <w:szCs w:val="11"/>
          <w:spacing w:val="9"/>
          <w:position w:val="5"/>
        </w:rPr>
        <w:t>4      </w:t>
      </w:r>
      <w:r>
        <w:rPr>
          <w:sz w:val="15"/>
          <w:szCs w:val="15"/>
          <w:spacing w:val="9"/>
        </w:rPr>
        <w:t>Gastroenterology and Endoscopy, IRCCS Ospedale San Raffaele and University Vita–Salute San Raffaele,</w:t>
      </w:r>
      <w:r>
        <w:rPr>
          <w:sz w:val="15"/>
          <w:szCs w:val="15"/>
          <w:spacing w:val="7"/>
        </w:rPr>
        <w:t xml:space="preserve"> </w:t>
      </w:r>
      <w:r>
        <w:rPr>
          <w:sz w:val="15"/>
          <w:szCs w:val="15"/>
          <w:spacing w:val="16"/>
        </w:rPr>
        <w:t>20132 </w:t>
      </w:r>
      <w:r>
        <w:rPr>
          <w:sz w:val="15"/>
          <w:szCs w:val="15"/>
        </w:rPr>
        <w:t>Milan</w:t>
      </w:r>
      <w:r>
        <w:rPr>
          <w:sz w:val="15"/>
          <w:szCs w:val="15"/>
          <w:spacing w:val="16"/>
        </w:rPr>
        <w:t>, </w:t>
      </w:r>
      <w:r>
        <w:rPr>
          <w:sz w:val="15"/>
          <w:szCs w:val="15"/>
        </w:rPr>
        <w:t>Italy</w:t>
      </w:r>
    </w:p>
    <w:p>
      <w:pPr>
        <w:pStyle w:val="BodyText"/>
        <w:ind w:left="8"/>
        <w:spacing w:line="216" w:lineRule="exact"/>
        <w:rPr>
          <w:sz w:val="15"/>
          <w:szCs w:val="15"/>
        </w:rPr>
      </w:pPr>
      <w:r>
        <w:rPr>
          <w:sz w:val="11"/>
          <w:szCs w:val="11"/>
          <w:spacing w:val="10"/>
          <w:position w:val="7"/>
        </w:rPr>
        <w:t>5      </w:t>
      </w:r>
      <w:r>
        <w:rPr>
          <w:sz w:val="15"/>
          <w:szCs w:val="15"/>
          <w:spacing w:val="10"/>
          <w:position w:val="2"/>
        </w:rPr>
        <w:t>Department of Biomedical </w:t>
      </w:r>
      <w:r>
        <w:rPr>
          <w:sz w:val="15"/>
          <w:szCs w:val="15"/>
          <w:spacing w:val="9"/>
          <w:position w:val="2"/>
        </w:rPr>
        <w:t>Sciences, Humanitas University, Pieve Emanuele, 20090 Milan, Italy</w:t>
      </w:r>
    </w:p>
    <w:p>
      <w:pPr>
        <w:pStyle w:val="BodyText"/>
        <w:ind w:left="11"/>
        <w:spacing w:line="215" w:lineRule="exact"/>
        <w:rPr>
          <w:sz w:val="15"/>
          <w:szCs w:val="15"/>
        </w:rPr>
      </w:pPr>
      <w:r>
        <w:rPr>
          <w:sz w:val="11"/>
          <w:szCs w:val="11"/>
          <w:spacing w:val="10"/>
          <w:position w:val="7"/>
        </w:rPr>
        <w:t>6      </w:t>
      </w:r>
      <w:r>
        <w:rPr>
          <w:sz w:val="15"/>
          <w:szCs w:val="15"/>
          <w:spacing w:val="10"/>
          <w:position w:val="2"/>
        </w:rPr>
        <w:t>Gastroenterology Division, Rashid Hospital, Dubai Health Authority, Dubai 003206, United Arab Emir</w:t>
      </w:r>
      <w:r>
        <w:rPr>
          <w:sz w:val="15"/>
          <w:szCs w:val="15"/>
          <w:spacing w:val="9"/>
          <w:position w:val="2"/>
        </w:rPr>
        <w:t>ates</w:t>
      </w:r>
    </w:p>
    <w:p>
      <w:pPr>
        <w:pStyle w:val="BodyText"/>
        <w:ind w:left="12"/>
        <w:spacing w:line="215" w:lineRule="exact"/>
        <w:rPr>
          <w:sz w:val="15"/>
          <w:szCs w:val="15"/>
        </w:rPr>
      </w:pPr>
      <w:r>
        <w:rPr>
          <w:sz w:val="11"/>
          <w:szCs w:val="11"/>
          <w:spacing w:val="10"/>
          <w:position w:val="7"/>
        </w:rPr>
        <w:t>7      </w:t>
      </w:r>
      <w:r>
        <w:rPr>
          <w:sz w:val="15"/>
          <w:szCs w:val="15"/>
          <w:spacing w:val="10"/>
          <w:position w:val="2"/>
        </w:rPr>
        <w:t>Department of Medicine I, Agaplesion Markus Hospital, Goethe–University,</w:t>
      </w:r>
    </w:p>
    <w:p>
      <w:pPr>
        <w:pStyle w:val="BodyText"/>
        <w:ind w:left="283"/>
        <w:spacing w:before="54" w:line="224" w:lineRule="auto"/>
        <w:rPr>
          <w:sz w:val="15"/>
          <w:szCs w:val="15"/>
        </w:rPr>
      </w:pPr>
      <w:r>
        <w:rPr>
          <w:sz w:val="15"/>
          <w:szCs w:val="15"/>
          <w:spacing w:val="10"/>
        </w:rPr>
        <w:t>60431 Frankfurt am Main, Germany</w:t>
      </w:r>
    </w:p>
    <w:p>
      <w:pPr>
        <w:pStyle w:val="BodyText"/>
        <w:ind w:left="10"/>
        <w:spacing w:line="215" w:lineRule="exact"/>
        <w:rPr>
          <w:sz w:val="15"/>
          <w:szCs w:val="15"/>
        </w:rPr>
      </w:pPr>
      <w:r>
        <w:rPr>
          <w:sz w:val="11"/>
          <w:szCs w:val="11"/>
          <w:spacing w:val="10"/>
          <w:position w:val="7"/>
        </w:rPr>
        <w:t>8      </w:t>
      </w:r>
      <w:r>
        <w:rPr>
          <w:sz w:val="15"/>
          <w:szCs w:val="15"/>
          <w:spacing w:val="10"/>
          <w:position w:val="2"/>
        </w:rPr>
        <w:t>Inﬂammatory Bowel Disease Unit, St. Mark’s Hospital, H</w:t>
      </w:r>
      <w:r>
        <w:rPr>
          <w:sz w:val="15"/>
          <w:szCs w:val="15"/>
          <w:spacing w:val="9"/>
          <w:position w:val="2"/>
        </w:rPr>
        <w:t>arrow HA1 3UJ, UK</w:t>
      </w:r>
    </w:p>
    <w:p>
      <w:pPr>
        <w:pStyle w:val="BodyText"/>
        <w:ind w:left="275" w:right="705" w:hanging="266"/>
        <w:spacing w:before="1" w:line="290" w:lineRule="auto"/>
        <w:rPr>
          <w:sz w:val="15"/>
          <w:szCs w:val="15"/>
        </w:rPr>
      </w:pPr>
      <w:r>
        <w:rPr>
          <w:sz w:val="11"/>
          <w:szCs w:val="11"/>
          <w:spacing w:val="10"/>
          <w:position w:val="5"/>
        </w:rPr>
        <w:t>9      </w:t>
      </w:r>
      <w:r>
        <w:rPr>
          <w:sz w:val="15"/>
          <w:szCs w:val="15"/>
          <w:spacing w:val="10"/>
        </w:rPr>
        <w:t>Center for Advanced IBD Research and Treatment, Kitasato University Kitasato Inst</w:t>
      </w:r>
      <w:r>
        <w:rPr>
          <w:sz w:val="15"/>
          <w:szCs w:val="15"/>
          <w:spacing w:val="9"/>
        </w:rPr>
        <w:t>itute Hospital,</w:t>
      </w:r>
      <w:r>
        <w:rPr>
          <w:sz w:val="15"/>
          <w:szCs w:val="15"/>
        </w:rPr>
        <w:t xml:space="preserve"> </w:t>
      </w:r>
      <w:r>
        <w:rPr>
          <w:sz w:val="15"/>
          <w:szCs w:val="15"/>
        </w:rPr>
        <w:t>Tokyo</w:t>
      </w:r>
      <w:r>
        <w:rPr>
          <w:sz w:val="15"/>
          <w:szCs w:val="15"/>
          <w:spacing w:val="10"/>
        </w:rPr>
        <w:t xml:space="preserve"> 108–8642, </w:t>
      </w:r>
      <w:r>
        <w:rPr>
          <w:sz w:val="15"/>
          <w:szCs w:val="15"/>
        </w:rPr>
        <w:t>Japan</w:t>
      </w:r>
    </w:p>
    <w:p>
      <w:pPr>
        <w:pStyle w:val="BodyText"/>
        <w:ind w:left="281" w:right="414" w:hanging="273"/>
        <w:spacing w:before="1" w:line="281" w:lineRule="auto"/>
        <w:rPr>
          <w:sz w:val="15"/>
          <w:szCs w:val="15"/>
        </w:rPr>
      </w:pPr>
      <w:r>
        <w:rPr>
          <w:sz w:val="11"/>
          <w:szCs w:val="11"/>
          <w:spacing w:val="10"/>
          <w:position w:val="5"/>
        </w:rPr>
        <w:t>10     </w:t>
      </w:r>
      <w:r>
        <w:rPr>
          <w:sz w:val="15"/>
          <w:szCs w:val="15"/>
          <w:spacing w:val="10"/>
        </w:rPr>
        <w:t>IBD Outpatient Clin</w:t>
      </w:r>
      <w:r>
        <w:rPr>
          <w:sz w:val="15"/>
          <w:szCs w:val="15"/>
          <w:spacing w:val="9"/>
        </w:rPr>
        <w:t>ics, Colorectal Surgery Unit, Pontiﬁcia Universidade Cat</w:t>
      </w:r>
      <w:r>
        <w:rPr>
          <w:rFonts w:ascii="Arial" w:hAnsi="Arial" w:eastAsia="Arial" w:cs="Arial"/>
          <w:sz w:val="15"/>
          <w:szCs w:val="15"/>
          <w:spacing w:val="9"/>
        </w:rPr>
        <w:t>ó</w:t>
      </w:r>
      <w:r>
        <w:rPr>
          <w:sz w:val="15"/>
          <w:szCs w:val="15"/>
          <w:spacing w:val="9"/>
        </w:rPr>
        <w:t>lica do Paran</w:t>
      </w:r>
      <w:r>
        <w:rPr>
          <w:rFonts w:ascii="Arial" w:hAnsi="Arial" w:eastAsia="Arial" w:cs="Arial"/>
          <w:sz w:val="15"/>
          <w:szCs w:val="15"/>
          <w:spacing w:val="9"/>
        </w:rPr>
        <w:t>á </w:t>
      </w:r>
      <w:r>
        <w:rPr>
          <w:sz w:val="15"/>
          <w:szCs w:val="15"/>
          <w:spacing w:val="9"/>
        </w:rPr>
        <w:t>(PUCPR),</w:t>
      </w:r>
      <w:r>
        <w:rPr>
          <w:sz w:val="15"/>
          <w:szCs w:val="15"/>
        </w:rPr>
        <w:t xml:space="preserve"> </w:t>
      </w:r>
      <w:r>
        <w:rPr>
          <w:sz w:val="15"/>
          <w:szCs w:val="15"/>
        </w:rPr>
        <w:t>Curitiba</w:t>
      </w:r>
      <w:r>
        <w:rPr>
          <w:sz w:val="15"/>
          <w:szCs w:val="15"/>
          <w:spacing w:val="13"/>
        </w:rPr>
        <w:t xml:space="preserve"> 80215–901, </w:t>
      </w:r>
      <w:r>
        <w:rPr>
          <w:sz w:val="15"/>
          <w:szCs w:val="15"/>
        </w:rPr>
        <w:t>Brazil</w:t>
      </w:r>
    </w:p>
    <w:p>
      <w:pPr>
        <w:pStyle w:val="BodyText"/>
        <w:ind w:left="281" w:right="270" w:hanging="273"/>
        <w:spacing w:before="13" w:line="291" w:lineRule="auto"/>
        <w:rPr>
          <w:sz w:val="15"/>
          <w:szCs w:val="15"/>
        </w:rPr>
      </w:pPr>
      <w:r>
        <w:rPr>
          <w:sz w:val="11"/>
          <w:szCs w:val="11"/>
          <w:spacing w:val="10"/>
          <w:position w:val="5"/>
        </w:rPr>
        <w:t>11     </w:t>
      </w:r>
      <w:r>
        <w:rPr>
          <w:sz w:val="15"/>
          <w:szCs w:val="15"/>
          <w:spacing w:val="10"/>
        </w:rPr>
        <w:t>Unit of Pharmacology and Therapeutics, Department of Biomedicine, Faculty of Medicine, U</w:t>
      </w:r>
      <w:r>
        <w:rPr>
          <w:sz w:val="15"/>
          <w:szCs w:val="15"/>
          <w:spacing w:val="9"/>
        </w:rPr>
        <w:t>niversity of</w:t>
      </w:r>
      <w:r>
        <w:rPr>
          <w:sz w:val="15"/>
          <w:szCs w:val="15"/>
        </w:rPr>
        <w:t xml:space="preserve"> </w:t>
      </w:r>
      <w:r>
        <w:rPr>
          <w:sz w:val="15"/>
          <w:szCs w:val="15"/>
          <w:spacing w:val="9"/>
        </w:rPr>
        <w:t>Porto, 4200319 Porto,</w:t>
      </w:r>
      <w:r>
        <w:rPr>
          <w:sz w:val="15"/>
          <w:szCs w:val="15"/>
          <w:spacing w:val="8"/>
        </w:rPr>
        <w:t xml:space="preserve"> Portugal</w:t>
      </w:r>
    </w:p>
    <w:p>
      <w:pPr>
        <w:pStyle w:val="BodyText"/>
        <w:ind w:left="8"/>
        <w:spacing w:line="215" w:lineRule="exact"/>
        <w:rPr>
          <w:sz w:val="15"/>
          <w:szCs w:val="15"/>
        </w:rPr>
      </w:pPr>
      <w:r>
        <w:rPr>
          <w:sz w:val="11"/>
          <w:szCs w:val="11"/>
          <w:spacing w:val="8"/>
          <w:position w:val="7"/>
        </w:rPr>
        <w:t>12     </w:t>
      </w:r>
      <w:r>
        <w:rPr>
          <w:sz w:val="15"/>
          <w:szCs w:val="15"/>
          <w:spacing w:val="8"/>
          <w:position w:val="2"/>
        </w:rPr>
        <w:t>Department of Clinical Pharmacology, S</w:t>
      </w:r>
      <w:r>
        <w:rPr>
          <w:rFonts w:ascii="Arial" w:hAnsi="Arial" w:eastAsia="Arial" w:cs="Arial"/>
          <w:sz w:val="15"/>
          <w:szCs w:val="15"/>
          <w:spacing w:val="8"/>
          <w:position w:val="2"/>
        </w:rPr>
        <w:t>ã</w:t>
      </w:r>
      <w:r>
        <w:rPr>
          <w:sz w:val="15"/>
          <w:szCs w:val="15"/>
          <w:spacing w:val="8"/>
          <w:position w:val="2"/>
        </w:rPr>
        <w:t>o Jo</w:t>
      </w:r>
      <w:r>
        <w:rPr>
          <w:rFonts w:ascii="Arial" w:hAnsi="Arial" w:eastAsia="Arial" w:cs="Arial"/>
          <w:sz w:val="15"/>
          <w:szCs w:val="15"/>
          <w:spacing w:val="8"/>
          <w:position w:val="2"/>
        </w:rPr>
        <w:t>ã</w:t>
      </w:r>
      <w:r>
        <w:rPr>
          <w:sz w:val="15"/>
          <w:szCs w:val="15"/>
          <w:spacing w:val="8"/>
          <w:position w:val="2"/>
        </w:rPr>
        <w:t>o University Hospital Center (CHUSJ), 420031</w:t>
      </w:r>
      <w:r>
        <w:rPr>
          <w:sz w:val="15"/>
          <w:szCs w:val="15"/>
          <w:spacing w:val="7"/>
          <w:position w:val="2"/>
        </w:rPr>
        <w:t>9 Porto, Portugal</w:t>
      </w:r>
    </w:p>
    <w:p>
      <w:pPr>
        <w:pStyle w:val="BodyText"/>
        <w:ind w:left="8"/>
        <w:spacing w:line="215" w:lineRule="exact"/>
        <w:rPr>
          <w:sz w:val="15"/>
          <w:szCs w:val="15"/>
        </w:rPr>
      </w:pPr>
      <w:r>
        <w:rPr>
          <w:sz w:val="11"/>
          <w:szCs w:val="11"/>
          <w:spacing w:val="9"/>
          <w:position w:val="7"/>
        </w:rPr>
        <w:t>13     </w:t>
      </w:r>
      <w:r>
        <w:rPr>
          <w:sz w:val="15"/>
          <w:szCs w:val="15"/>
          <w:spacing w:val="9"/>
          <w:position w:val="2"/>
        </w:rPr>
        <w:t>Center for Health Technology and Services Rese</w:t>
      </w:r>
      <w:r>
        <w:rPr>
          <w:sz w:val="15"/>
          <w:szCs w:val="15"/>
          <w:spacing w:val="8"/>
          <w:position w:val="2"/>
        </w:rPr>
        <w:t>arch (CINTESIS), 4200319 Porto, Portugal</w:t>
      </w:r>
    </w:p>
    <w:p>
      <w:pPr>
        <w:pStyle w:val="BodyText"/>
        <w:ind w:left="281" w:right="31" w:hanging="273"/>
        <w:spacing w:before="1" w:line="290" w:lineRule="auto"/>
        <w:rPr>
          <w:sz w:val="15"/>
          <w:szCs w:val="15"/>
        </w:rPr>
      </w:pPr>
      <w:r>
        <w:rPr>
          <w:sz w:val="11"/>
          <w:szCs w:val="11"/>
          <w:spacing w:val="9"/>
          <w:position w:val="5"/>
        </w:rPr>
        <w:t>14     </w:t>
      </w:r>
      <w:r>
        <w:rPr>
          <w:sz w:val="15"/>
          <w:szCs w:val="15"/>
          <w:spacing w:val="9"/>
        </w:rPr>
        <w:t>Charit</w:t>
      </w:r>
      <w:r>
        <w:rPr>
          <w:rFonts w:ascii="Arial" w:hAnsi="Arial" w:eastAsia="Arial" w:cs="Arial"/>
          <w:sz w:val="15"/>
          <w:szCs w:val="15"/>
          <w:spacing w:val="9"/>
        </w:rPr>
        <w:t>é</w:t>
      </w:r>
      <w:r>
        <w:rPr>
          <w:sz w:val="15"/>
          <w:szCs w:val="15"/>
          <w:spacing w:val="9"/>
        </w:rPr>
        <w:t>–Universitätsmedizin Berlin, Corporate Member of Freie Universität Berlin, Humboldt–Universität</w:t>
      </w:r>
      <w:r>
        <w:rPr>
          <w:sz w:val="15"/>
          <w:szCs w:val="15"/>
          <w:spacing w:val="8"/>
        </w:rPr>
        <w:t xml:space="preserve"> zu</w:t>
      </w:r>
      <w:r>
        <w:rPr>
          <w:sz w:val="15"/>
          <w:szCs w:val="15"/>
        </w:rPr>
        <w:t xml:space="preserve"> </w:t>
      </w:r>
      <w:r>
        <w:rPr>
          <w:sz w:val="15"/>
          <w:szCs w:val="15"/>
          <w:spacing w:val="9"/>
        </w:rPr>
        <w:t>Berlin and Berlin Institute of Health, 10117 Berlin, G</w:t>
      </w:r>
      <w:r>
        <w:rPr>
          <w:sz w:val="15"/>
          <w:szCs w:val="15"/>
          <w:spacing w:val="8"/>
        </w:rPr>
        <w:t>ermany</w:t>
      </w:r>
    </w:p>
    <w:p>
      <w:pPr>
        <w:pStyle w:val="BodyText"/>
        <w:ind w:left="279" w:right="530" w:hanging="271"/>
        <w:spacing w:before="1" w:line="290" w:lineRule="auto"/>
        <w:rPr>
          <w:sz w:val="15"/>
          <w:szCs w:val="15"/>
        </w:rPr>
      </w:pPr>
      <w:r>
        <w:rPr>
          <w:sz w:val="11"/>
          <w:szCs w:val="11"/>
          <w:spacing w:val="11"/>
          <w:position w:val="5"/>
        </w:rPr>
        <w:t>15     </w:t>
      </w:r>
      <w:r>
        <w:rPr>
          <w:sz w:val="15"/>
          <w:szCs w:val="15"/>
          <w:spacing w:val="11"/>
        </w:rPr>
        <w:t>Department of Gast</w:t>
      </w:r>
      <w:r>
        <w:rPr>
          <w:sz w:val="15"/>
          <w:szCs w:val="15"/>
          <w:spacing w:val="10"/>
        </w:rPr>
        <w:t>roenterology, Rheumatology and Infectious Disease, Campus Benjamin Franklin,</w:t>
      </w:r>
      <w:r>
        <w:rPr>
          <w:sz w:val="15"/>
          <w:szCs w:val="15"/>
        </w:rPr>
        <w:t xml:space="preserve"> </w:t>
      </w:r>
      <w:r>
        <w:rPr>
          <w:sz w:val="15"/>
          <w:szCs w:val="15"/>
          <w:spacing w:val="8"/>
        </w:rPr>
        <w:t>10117 Berlin, Germany</w:t>
      </w:r>
    </w:p>
    <w:p>
      <w:pPr>
        <w:pStyle w:val="BodyText"/>
        <w:ind w:left="8"/>
        <w:spacing w:line="215" w:lineRule="exact"/>
        <w:rPr>
          <w:sz w:val="15"/>
          <w:szCs w:val="15"/>
        </w:rPr>
      </w:pPr>
      <w:r>
        <w:rPr>
          <w:sz w:val="11"/>
          <w:szCs w:val="11"/>
          <w:spacing w:val="9"/>
          <w:position w:val="7"/>
        </w:rPr>
        <w:t>16     </w:t>
      </w:r>
      <w:r>
        <w:rPr>
          <w:sz w:val="15"/>
          <w:szCs w:val="15"/>
          <w:spacing w:val="9"/>
          <w:position w:val="2"/>
        </w:rPr>
        <w:t>Ferring International Center S.A. Ch. De la Vergognausa</w:t>
      </w:r>
      <w:r>
        <w:rPr>
          <w:sz w:val="15"/>
          <w:szCs w:val="15"/>
          <w:spacing w:val="8"/>
          <w:position w:val="2"/>
        </w:rPr>
        <w:t>z 50, 1162 Saint–Prex, Switzerland</w:t>
      </w:r>
    </w:p>
    <w:p>
      <w:pPr>
        <w:pStyle w:val="BodyText"/>
        <w:spacing w:before="55" w:line="223" w:lineRule="auto"/>
        <w:rPr>
          <w:sz w:val="15"/>
          <w:szCs w:val="15"/>
        </w:rPr>
      </w:pPr>
      <w:r>
        <w:rPr>
          <w:sz w:val="15"/>
          <w:szCs w:val="15"/>
          <w:b/>
          <w:bCs/>
          <w:spacing w:val="10"/>
        </w:rPr>
        <w:t>*     </w:t>
      </w:r>
      <w:r>
        <w:rPr>
          <w:sz w:val="15"/>
          <w:szCs w:val="15"/>
          <w:spacing w:val="10"/>
        </w:rPr>
        <w:t>Correspondence:</w:t>
      </w:r>
      <w:r>
        <w:rPr>
          <w:sz w:val="15"/>
          <w:szCs w:val="15"/>
          <w:spacing w:val="17"/>
        </w:rPr>
        <w:t xml:space="preserve"> </w:t>
      </w:r>
      <w:r>
        <w:rPr>
          <w:sz w:val="15"/>
          <w:szCs w:val="15"/>
          <w:spacing w:val="10"/>
        </w:rPr>
        <w:t>sdanese@ho</w:t>
      </w:r>
      <w:r>
        <w:rPr>
          <w:sz w:val="15"/>
          <w:szCs w:val="15"/>
          <w:spacing w:val="9"/>
        </w:rPr>
        <w:t>tmail.com</w:t>
      </w:r>
    </w:p>
    <w:p>
      <w:pPr>
        <w:spacing w:line="244" w:lineRule="auto"/>
        <w:rPr>
          <w:rFonts w:ascii="Arial"/>
          <w:sz w:val="21"/>
        </w:rPr>
      </w:pPr>
      <w:r/>
    </w:p>
    <w:p>
      <w:pPr>
        <w:pStyle w:val="BodyText"/>
        <w:ind w:left="3"/>
        <w:spacing w:before="49" w:line="317" w:lineRule="auto"/>
        <w:jc w:val="both"/>
        <w:rPr/>
      </w:pPr>
      <w:r>
        <w:rPr>
          <w:b/>
          <w:bCs/>
          <w:spacing w:val="8"/>
        </w:rPr>
        <w:t>Abstract:</w:t>
      </w:r>
      <w:r>
        <w:rPr>
          <w:b/>
          <w:bCs/>
          <w:spacing w:val="17"/>
          <w:w w:val="102"/>
        </w:rPr>
        <w:t xml:space="preserve"> </w:t>
      </w:r>
      <w:r>
        <w:rPr>
          <w:spacing w:val="8"/>
        </w:rPr>
        <w:t>Background and Objectives: At pres</w:t>
      </w:r>
      <w:r>
        <w:rPr>
          <w:spacing w:val="7"/>
        </w:rPr>
        <w:t>ent, there is no consensus deﬁnition of mild–to–moderate</w:t>
      </w:r>
      <w:r>
        <w:rPr/>
        <w:t xml:space="preserve">  </w:t>
      </w:r>
      <w:r>
        <w:rPr>
          <w:spacing w:val="10"/>
        </w:rPr>
        <w:t>disease activity in patients with ulcerative colitis. The objective of the present study was to e</w:t>
      </w:r>
      <w:r>
        <w:rPr>
          <w:spacing w:val="9"/>
        </w:rPr>
        <w:t>stablish</w:t>
      </w:r>
      <w:r>
        <w:rPr/>
        <w:t xml:space="preserve">  </w:t>
      </w:r>
      <w:r>
        <w:rPr>
          <w:spacing w:val="13"/>
        </w:rPr>
        <w:t>a reliable</w:t>
      </w:r>
      <w:r>
        <w:rPr>
          <w:spacing w:val="22"/>
          <w:w w:val="101"/>
        </w:rPr>
        <w:t xml:space="preserve"> </w:t>
      </w:r>
      <w:r>
        <w:rPr>
          <w:spacing w:val="13"/>
        </w:rPr>
        <w:t>deﬁnition</w:t>
      </w:r>
      <w:r>
        <w:rPr>
          <w:spacing w:val="21"/>
          <w:w w:val="102"/>
        </w:rPr>
        <w:t xml:space="preserve"> </w:t>
      </w:r>
      <w:r>
        <w:rPr>
          <w:spacing w:val="13"/>
        </w:rPr>
        <w:t>of mild–to–moderate</w:t>
      </w:r>
      <w:r>
        <w:rPr>
          <w:spacing w:val="22"/>
          <w:w w:val="101"/>
        </w:rPr>
        <w:t xml:space="preserve"> </w:t>
      </w:r>
      <w:r>
        <w:rPr>
          <w:spacing w:val="13"/>
        </w:rPr>
        <w:t>disease</w:t>
      </w:r>
      <w:r>
        <w:rPr>
          <w:spacing w:val="21"/>
          <w:w w:val="101"/>
        </w:rPr>
        <w:t xml:space="preserve"> </w:t>
      </w:r>
      <w:r>
        <w:rPr>
          <w:spacing w:val="13"/>
        </w:rPr>
        <w:t>activity</w:t>
      </w:r>
      <w:r>
        <w:rPr>
          <w:spacing w:val="12"/>
        </w:rPr>
        <w:t xml:space="preserve"> in</w:t>
      </w:r>
      <w:r>
        <w:rPr>
          <w:spacing w:val="22"/>
        </w:rPr>
        <w:t xml:space="preserve"> </w:t>
      </w:r>
      <w:r>
        <w:rPr>
          <w:spacing w:val="12"/>
        </w:rPr>
        <w:t>adult patients</w:t>
      </w:r>
      <w:r>
        <w:rPr>
          <w:spacing w:val="17"/>
          <w:w w:val="101"/>
        </w:rPr>
        <w:t xml:space="preserve"> </w:t>
      </w:r>
      <w:r>
        <w:rPr>
          <w:spacing w:val="12"/>
        </w:rPr>
        <w:t>with</w:t>
      </w:r>
      <w:r>
        <w:rPr>
          <w:spacing w:val="19"/>
        </w:rPr>
        <w:t xml:space="preserve"> </w:t>
      </w:r>
      <w:r>
        <w:rPr>
          <w:spacing w:val="12"/>
        </w:rPr>
        <w:t>ulcerative</w:t>
      </w:r>
      <w:r>
        <w:rPr>
          <w:spacing w:val="20"/>
          <w:w w:val="102"/>
        </w:rPr>
        <w:t xml:space="preserve"> </w:t>
      </w:r>
      <w:r>
        <w:rPr>
          <w:spacing w:val="12"/>
        </w:rPr>
        <w:t>colitis.</w:t>
      </w:r>
      <w:r>
        <w:rPr/>
        <w:t xml:space="preserve"> </w:t>
      </w:r>
      <w:r>
        <w:rPr>
          <w:spacing w:val="11"/>
        </w:rPr>
        <w:t>Materials and Method</w:t>
      </w:r>
      <w:r>
        <w:rPr>
          <w:spacing w:val="10"/>
        </w:rPr>
        <w:t>s: Twelve physicians from around the world participated in a virtual consensus</w:t>
      </w:r>
      <w:r>
        <w:rPr/>
        <w:t xml:space="preserve">  </w:t>
      </w:r>
      <w:r>
        <w:rPr>
          <w:spacing w:val="14"/>
        </w:rPr>
        <w:t>meeting</w:t>
      </w:r>
      <w:r>
        <w:rPr>
          <w:spacing w:val="22"/>
          <w:w w:val="101"/>
        </w:rPr>
        <w:t xml:space="preserve"> </w:t>
      </w:r>
      <w:r>
        <w:rPr>
          <w:spacing w:val="14"/>
        </w:rPr>
        <w:t>on 26 September 2022.  All the</w:t>
      </w:r>
      <w:r>
        <w:rPr>
          <w:spacing w:val="17"/>
          <w:w w:val="101"/>
        </w:rPr>
        <w:t xml:space="preserve"> </w:t>
      </w:r>
      <w:r>
        <w:rPr>
          <w:spacing w:val="14"/>
        </w:rPr>
        <w:t>physicians</w:t>
      </w:r>
      <w:r>
        <w:rPr>
          <w:spacing w:val="17"/>
        </w:rPr>
        <w:t xml:space="preserve"> </w:t>
      </w:r>
      <w:r>
        <w:rPr>
          <w:spacing w:val="14"/>
        </w:rPr>
        <w:t>had</w:t>
      </w:r>
      <w:r>
        <w:rPr>
          <w:spacing w:val="21"/>
        </w:rPr>
        <w:t xml:space="preserve"> </w:t>
      </w:r>
      <w:r>
        <w:rPr>
          <w:spacing w:val="14"/>
        </w:rPr>
        <w:t>expertise</w:t>
      </w:r>
      <w:r>
        <w:rPr>
          <w:spacing w:val="20"/>
        </w:rPr>
        <w:t xml:space="preserve"> </w:t>
      </w:r>
      <w:r>
        <w:rPr>
          <w:spacing w:val="14"/>
        </w:rPr>
        <w:t>in</w:t>
      </w:r>
      <w:r>
        <w:rPr>
          <w:spacing w:val="20"/>
        </w:rPr>
        <w:t xml:space="preserve"> </w:t>
      </w:r>
      <w:r>
        <w:rPr>
          <w:spacing w:val="14"/>
        </w:rPr>
        <w:t>the</w:t>
      </w:r>
      <w:r>
        <w:rPr>
          <w:spacing w:val="22"/>
        </w:rPr>
        <w:t xml:space="preserve"> </w:t>
      </w:r>
      <w:r>
        <w:rPr>
          <w:spacing w:val="14"/>
        </w:rPr>
        <w:t>dia</w:t>
      </w:r>
      <w:r>
        <w:rPr>
          <w:spacing w:val="13"/>
        </w:rPr>
        <w:t>gnosis</w:t>
      </w:r>
      <w:r>
        <w:rPr>
          <w:spacing w:val="22"/>
        </w:rPr>
        <w:t xml:space="preserve"> </w:t>
      </w:r>
      <w:r>
        <w:rPr>
          <w:spacing w:val="13"/>
        </w:rPr>
        <w:t>and</w:t>
      </w:r>
      <w:r>
        <w:rPr>
          <w:spacing w:val="20"/>
        </w:rPr>
        <w:t xml:space="preserve"> </w:t>
      </w:r>
      <w:r>
        <w:rPr>
          <w:spacing w:val="13"/>
        </w:rPr>
        <w:t>treatment</w:t>
      </w:r>
      <w:r>
        <w:rPr/>
        <w:t xml:space="preserve">  </w:t>
      </w:r>
      <w:r>
        <w:rPr>
          <w:spacing w:val="14"/>
        </w:rPr>
        <w:t>of inﬂammatory bowel disease.  After a systematic review of</w:t>
      </w:r>
      <w:r>
        <w:rPr>
          <w:spacing w:val="13"/>
        </w:rPr>
        <w:t xml:space="preserve"> the</w:t>
      </w:r>
      <w:r>
        <w:rPr>
          <w:spacing w:val="16"/>
          <w:w w:val="101"/>
        </w:rPr>
        <w:t xml:space="preserve"> </w:t>
      </w:r>
      <w:r>
        <w:rPr>
          <w:spacing w:val="13"/>
        </w:rPr>
        <w:t>literature</w:t>
      </w:r>
      <w:r>
        <w:rPr>
          <w:spacing w:val="17"/>
          <w:w w:val="102"/>
        </w:rPr>
        <w:t xml:space="preserve"> </w:t>
      </w:r>
      <w:r>
        <w:rPr>
          <w:spacing w:val="13"/>
        </w:rPr>
        <w:t>and</w:t>
      </w:r>
      <w:r>
        <w:rPr>
          <w:spacing w:val="16"/>
          <w:w w:val="101"/>
        </w:rPr>
        <w:t xml:space="preserve"> </w:t>
      </w:r>
      <w:r>
        <w:rPr>
          <w:spacing w:val="13"/>
        </w:rPr>
        <w:t>expert</w:t>
      </w:r>
      <w:r>
        <w:rPr>
          <w:spacing w:val="18"/>
        </w:rPr>
        <w:t xml:space="preserve"> </w:t>
      </w:r>
      <w:r>
        <w:rPr>
          <w:spacing w:val="13"/>
        </w:rPr>
        <w:t>opinion,</w:t>
      </w:r>
      <w:r>
        <w:rPr>
          <w:spacing w:val="20"/>
          <w:w w:val="101"/>
        </w:rPr>
        <w:t xml:space="preserve"> </w:t>
      </w:r>
      <w:r>
        <w:rPr>
          <w:spacing w:val="13"/>
        </w:rPr>
        <w:t>a</w:t>
      </w:r>
      <w:r>
        <w:rPr/>
        <w:t xml:space="preserve">  </w:t>
      </w:r>
      <w:r>
        <w:rPr>
          <w:spacing w:val="13"/>
        </w:rPr>
        <w:t>modiﬁed version of the RAND/University of California, Los Ang</w:t>
      </w:r>
      <w:r>
        <w:rPr>
          <w:spacing w:val="12"/>
        </w:rPr>
        <w:t>eles appropriateness method was</w:t>
      </w:r>
      <w:r>
        <w:rPr/>
        <w:t xml:space="preserve">  </w:t>
      </w:r>
      <w:r>
        <w:rPr>
          <w:spacing w:val="11"/>
        </w:rPr>
        <w:t>applied. A total of 49 statements were identiﬁed and then anonymou</w:t>
      </w:r>
      <w:r>
        <w:rPr>
          <w:spacing w:val="10"/>
        </w:rPr>
        <w:t>sly rated (on a 9–point scale) as</w:t>
      </w:r>
      <w:r>
        <w:rPr/>
        <w:t xml:space="preserve">  </w:t>
      </w:r>
      <w:r>
        <w:rPr>
          <w:spacing w:val="8"/>
        </w:rPr>
        <w:t>being appropriate (scores of 7 to 9), uncertain (4 to 6) or inappropriate (1 to 3</w:t>
      </w:r>
      <w:r>
        <w:rPr>
          <w:spacing w:val="7"/>
        </w:rPr>
        <w:t>). The survey results were</w:t>
      </w:r>
      <w:r>
        <w:rPr/>
        <w:t xml:space="preserve">  </w:t>
      </w:r>
      <w:r>
        <w:rPr>
          <w:spacing w:val="13"/>
        </w:rPr>
        <w:t>reviewed and amended before a second round of voting. Results: Symptom and endoscopic–b</w:t>
      </w:r>
      <w:r>
        <w:rPr>
          <w:spacing w:val="12"/>
        </w:rPr>
        <w:t>ased</w:t>
      </w:r>
      <w:r>
        <w:rPr/>
        <w:t xml:space="preserve">  </w:t>
      </w:r>
      <w:r>
        <w:rPr>
          <w:spacing w:val="13"/>
        </w:rPr>
        <w:t>measurements</w:t>
      </w:r>
      <w:r>
        <w:rPr>
          <w:spacing w:val="29"/>
          <w:w w:val="101"/>
        </w:rPr>
        <w:t xml:space="preserve"> </w:t>
      </w:r>
      <w:r>
        <w:rPr>
          <w:spacing w:val="13"/>
        </w:rPr>
        <w:t>are</w:t>
      </w:r>
      <w:r>
        <w:rPr>
          <w:spacing w:val="20"/>
          <w:w w:val="101"/>
        </w:rPr>
        <w:t xml:space="preserve"> </w:t>
      </w:r>
      <w:r>
        <w:rPr>
          <w:spacing w:val="13"/>
        </w:rPr>
        <w:t>of prime importance for</w:t>
      </w:r>
      <w:r>
        <w:rPr>
          <w:spacing w:val="21"/>
        </w:rPr>
        <w:t xml:space="preserve"> </w:t>
      </w:r>
      <w:r>
        <w:rPr>
          <w:spacing w:val="13"/>
        </w:rPr>
        <w:t>assessing mild–to–moderate</w:t>
      </w:r>
      <w:r>
        <w:rPr>
          <w:spacing w:val="18"/>
        </w:rPr>
        <w:t xml:space="preserve"> </w:t>
      </w:r>
      <w:r>
        <w:rPr>
          <w:spacing w:val="13"/>
        </w:rPr>
        <w:t>ulcerative</w:t>
      </w:r>
      <w:r>
        <w:rPr>
          <w:spacing w:val="19"/>
          <w:w w:val="101"/>
        </w:rPr>
        <w:t xml:space="preserve"> </w:t>
      </w:r>
      <w:r>
        <w:rPr>
          <w:spacing w:val="13"/>
        </w:rPr>
        <w:t>colitis</w:t>
      </w:r>
      <w:r>
        <w:rPr>
          <w:spacing w:val="20"/>
          <w:w w:val="102"/>
        </w:rPr>
        <w:t xml:space="preserve"> </w:t>
      </w:r>
      <w:r>
        <w:rPr>
          <w:spacing w:val="13"/>
        </w:rPr>
        <w:t>activity</w:t>
      </w:r>
      <w:r>
        <w:rPr/>
        <w:t xml:space="preserve">  </w:t>
      </w:r>
      <w:r>
        <w:rPr>
          <w:spacing w:val="13"/>
        </w:rPr>
        <w:t>in clinical trials.</w:t>
      </w:r>
      <w:r>
        <w:rPr>
          <w:spacing w:val="36"/>
        </w:rPr>
        <w:t xml:space="preserve"> </w:t>
      </w:r>
      <w:r>
        <w:rPr>
          <w:spacing w:val="13"/>
        </w:rPr>
        <w:t>The e</w:t>
      </w:r>
      <w:r>
        <w:rPr>
          <w:spacing w:val="12"/>
        </w:rPr>
        <w:t>xperts considered that clinical activity should be</w:t>
      </w:r>
      <w:r>
        <w:rPr>
          <w:spacing w:val="14"/>
        </w:rPr>
        <w:t xml:space="preserve"> </w:t>
      </w:r>
      <w:r>
        <w:rPr>
          <w:spacing w:val="12"/>
        </w:rPr>
        <w:t>assessed</w:t>
      </w:r>
      <w:r>
        <w:rPr>
          <w:spacing w:val="12"/>
          <w:w w:val="102"/>
        </w:rPr>
        <w:t xml:space="preserve"> </w:t>
      </w:r>
      <w:r>
        <w:rPr>
          <w:spacing w:val="12"/>
        </w:rPr>
        <w:t>in</w:t>
      </w:r>
      <w:r>
        <w:rPr>
          <w:spacing w:val="12"/>
          <w:w w:val="102"/>
        </w:rPr>
        <w:t xml:space="preserve"> </w:t>
      </w:r>
      <w:r>
        <w:rPr>
          <w:spacing w:val="12"/>
        </w:rPr>
        <w:t>terms</w:t>
      </w:r>
      <w:r>
        <w:rPr>
          <w:spacing w:val="14"/>
        </w:rPr>
        <w:t xml:space="preserve"> </w:t>
      </w:r>
      <w:r>
        <w:rPr>
          <w:spacing w:val="12"/>
        </w:rPr>
        <w:t>of</w:t>
      </w:r>
      <w:r>
        <w:rPr>
          <w:spacing w:val="13"/>
        </w:rPr>
        <w:t xml:space="preserve"> </w:t>
      </w:r>
      <w:r>
        <w:rPr>
          <w:spacing w:val="12"/>
        </w:rPr>
        <w:t>stool</w:t>
      </w:r>
      <w:r>
        <w:rPr/>
        <w:t xml:space="preserve">  </w:t>
      </w:r>
      <w:r>
        <w:rPr>
          <w:spacing w:val="12"/>
        </w:rPr>
        <w:t>frequency, rectal blee</w:t>
      </w:r>
      <w:r>
        <w:rPr>
          <w:spacing w:val="11"/>
        </w:rPr>
        <w:t>ding and fecal urgency, whereas endoscopic activity should be evaluated with</w:t>
      </w:r>
      <w:r>
        <w:rPr/>
        <w:t xml:space="preserve">  </w:t>
      </w:r>
      <w:r>
        <w:rPr>
          <w:spacing w:val="11"/>
        </w:rPr>
        <w:t>regard to the vascular pattern, bleed</w:t>
      </w:r>
      <w:r>
        <w:rPr>
          <w:spacing w:val="10"/>
        </w:rPr>
        <w:t>ing, erosions and ulcers. Fecal calprotectin was considered to be</w:t>
      </w:r>
      <w:r>
        <w:rPr/>
        <w:t xml:space="preserve">  </w:t>
      </w:r>
      <w:r>
        <w:rPr>
          <w:spacing w:val="12"/>
        </w:rPr>
        <w:t>a suitable disease activit</w:t>
      </w:r>
      <w:r>
        <w:rPr>
          <w:spacing w:val="11"/>
        </w:rPr>
        <w:t>y marker in mild–to–moderate ulcerative colitis.</w:t>
      </w:r>
      <w:r>
        <w:rPr>
          <w:spacing w:val="24"/>
        </w:rPr>
        <w:t xml:space="preserve"> </w:t>
      </w:r>
      <w:r>
        <w:rPr>
          <w:spacing w:val="11"/>
        </w:rPr>
        <w:t>Lastly, mild–to–moderate</w:t>
      </w:r>
      <w:r>
        <w:rPr/>
        <w:t xml:space="preserve">  </w:t>
      </w:r>
      <w:r>
        <w:rPr>
          <w:spacing w:val="9"/>
        </w:rPr>
        <w:t>ulcerative</w:t>
      </w:r>
      <w:r>
        <w:rPr>
          <w:spacing w:val="-4"/>
        </w:rPr>
        <w:t xml:space="preserve"> </w:t>
      </w:r>
      <w:r>
        <w:rPr>
          <w:spacing w:val="9"/>
        </w:rPr>
        <w:t>colitis</w:t>
      </w:r>
      <w:r>
        <w:rPr>
          <w:spacing w:val="-3"/>
        </w:rPr>
        <w:t xml:space="preserve"> </w:t>
      </w:r>
      <w:r>
        <w:rPr>
          <w:spacing w:val="9"/>
        </w:rPr>
        <w:t>should</w:t>
      </w:r>
      <w:r>
        <w:rPr>
          <w:spacing w:val="-7"/>
        </w:rPr>
        <w:t xml:space="preserve"> </w:t>
      </w:r>
      <w:r>
        <w:rPr>
          <w:spacing w:val="9"/>
        </w:rPr>
        <w:t>not</w:t>
      </w:r>
      <w:r>
        <w:rPr>
          <w:spacing w:val="-7"/>
        </w:rPr>
        <w:t xml:space="preserve"> </w:t>
      </w:r>
      <w:r>
        <w:rPr>
          <w:spacing w:val="9"/>
        </w:rPr>
        <w:t>have</w:t>
      </w:r>
      <w:r>
        <w:rPr>
          <w:spacing w:val="-5"/>
        </w:rPr>
        <w:t xml:space="preserve"> </w:t>
      </w:r>
      <w:r>
        <w:rPr>
          <w:spacing w:val="9"/>
        </w:rPr>
        <w:t>more</w:t>
      </w:r>
      <w:r>
        <w:rPr>
          <w:spacing w:val="-4"/>
        </w:rPr>
        <w:t xml:space="preserve"> </w:t>
      </w:r>
      <w:r>
        <w:rPr>
          <w:spacing w:val="9"/>
        </w:rPr>
        <w:t>t</w:t>
      </w:r>
      <w:r>
        <w:rPr>
          <w:spacing w:val="8"/>
        </w:rPr>
        <w:t>han a</w:t>
      </w:r>
      <w:r>
        <w:rPr>
          <w:spacing w:val="-3"/>
        </w:rPr>
        <w:t xml:space="preserve"> </w:t>
      </w:r>
      <w:r>
        <w:rPr>
          <w:spacing w:val="8"/>
        </w:rPr>
        <w:t>small</w:t>
      </w:r>
      <w:r>
        <w:rPr>
          <w:spacing w:val="-5"/>
        </w:rPr>
        <w:t xml:space="preserve"> </w:t>
      </w:r>
      <w:r>
        <w:rPr>
          <w:spacing w:val="8"/>
        </w:rPr>
        <w:t>impact on</w:t>
      </w:r>
      <w:r>
        <w:rPr>
          <w:spacing w:val="-4"/>
        </w:rPr>
        <w:t xml:space="preserve"> </w:t>
      </w:r>
      <w:r>
        <w:rPr>
          <w:spacing w:val="8"/>
        </w:rPr>
        <w:t>the</w:t>
      </w:r>
      <w:r>
        <w:rPr>
          <w:spacing w:val="-7"/>
        </w:rPr>
        <w:t xml:space="preserve"> </w:t>
      </w:r>
      <w:r>
        <w:rPr>
          <w:spacing w:val="8"/>
        </w:rPr>
        <w:t>patient’s daily activities.</w:t>
      </w:r>
      <w:r>
        <w:rPr>
          <w:spacing w:val="18"/>
        </w:rPr>
        <w:t xml:space="preserve"> </w:t>
      </w:r>
      <w:r>
        <w:rPr>
          <w:spacing w:val="8"/>
        </w:rPr>
        <w:t>Conclusions:</w:t>
      </w:r>
      <w:r>
        <w:rPr/>
        <w:t xml:space="preserve"> </w:t>
      </w:r>
      <w:r>
        <w:rPr>
          <w:spacing w:val="13"/>
        </w:rPr>
        <w:t>The present recommendations constitute a standardized framework fo</w:t>
      </w:r>
      <w:r>
        <w:rPr>
          <w:spacing w:val="12"/>
        </w:rPr>
        <w:t>r deﬁning mild–to–moderate</w:t>
      </w:r>
      <w:r>
        <w:rPr/>
        <w:t xml:space="preserve">  </w:t>
      </w:r>
      <w:r>
        <w:rPr>
          <w:spacing w:val="9"/>
        </w:rPr>
        <w:t>disease activity in clinical trials in the ﬁeld of ulcerative colitis.</w:t>
      </w:r>
    </w:p>
    <w:p>
      <w:pPr>
        <w:spacing w:line="317" w:lineRule="auto"/>
        <w:sectPr>
          <w:type w:val="continuous"/>
          <w:pgSz w:w="11906" w:h="16838"/>
          <w:pgMar w:top="400" w:right="688" w:bottom="0" w:left="694" w:header="0" w:footer="0" w:gutter="0"/>
          <w:cols w:equalWidth="0" w:num="2">
            <w:col w:w="2527" w:space="100"/>
            <w:col w:w="7897" w:space="0"/>
          </w:cols>
        </w:sectPr>
        <w:rPr/>
      </w:pPr>
    </w:p>
    <w:p>
      <w:pPr>
        <w:spacing w:line="344" w:lineRule="auto"/>
        <w:rPr>
          <w:rFonts w:ascii="Arial"/>
          <w:sz w:val="21"/>
        </w:rPr>
      </w:pPr>
      <w:r>
        <w:pict>
          <v:shape id="_x0000_s4" style="position:absolute;margin-left:1.195pt;margin-top:-687.664pt;mso-position-vertical-relative:text;mso-position-horizontal-relative:text;width:523.3pt;height:0.4pt;z-index:251661312;" filled="false" strokecolor="#000000" strokeweight="0.40pt" coordsize="10465,8" coordorigin="0,0" path="m0,3l10465,3e">
            <v:stroke joinstyle="miter" miterlimit="10"/>
          </v:shape>
        </w:pict>
      </w:r>
      <w:r/>
    </w:p>
    <w:p>
      <w:pPr>
        <w:spacing w:line="344" w:lineRule="auto"/>
        <w:rPr>
          <w:rFonts w:ascii="Arial"/>
          <w:sz w:val="21"/>
        </w:rPr>
      </w:pPr>
      <w:r>
        <w:pict>
          <v:shape id="_x0000_s6" style="position:absolute;margin-left:1.195pt;margin-top:14.8718pt;mso-position-vertical-relative:text;mso-position-horizontal-relative:text;width:523.6pt;height:0.4pt;z-index:251660288;" filled="false" strokecolor="#000000" strokeweight="0.40pt" coordsize="10471,8" coordorigin="0,0" path="m0,3l10471,3e">
            <v:stroke joinstyle="miter" miterlimit="10"/>
          </v:shape>
        </w:pict>
      </w:r>
      <w:r/>
    </w:p>
    <w:p>
      <w:pPr>
        <w:pStyle w:val="BodyText"/>
        <w:ind w:left="17"/>
        <w:spacing w:before="44" w:line="218" w:lineRule="exact"/>
        <w:rPr>
          <w:sz w:val="15"/>
          <w:szCs w:val="15"/>
        </w:rPr>
      </w:pPr>
      <w:r>
        <w:rPr>
          <w:sz w:val="15"/>
          <w:szCs w:val="15"/>
          <w:spacing w:val="13"/>
          <w:position w:val="3"/>
        </w:rPr>
        <w:t>Medicina </w:t>
      </w:r>
      <w:r>
        <w:rPr>
          <w:sz w:val="15"/>
          <w:szCs w:val="15"/>
          <w:b/>
          <w:bCs/>
          <w:spacing w:val="13"/>
          <w:position w:val="3"/>
        </w:rPr>
        <w:t>2023</w:t>
      </w:r>
      <w:r>
        <w:rPr>
          <w:sz w:val="15"/>
          <w:szCs w:val="15"/>
          <w:spacing w:val="13"/>
          <w:position w:val="3"/>
        </w:rPr>
        <w:t>, 59, 183.</w:t>
      </w:r>
      <w:r>
        <w:rPr>
          <w:sz w:val="15"/>
          <w:szCs w:val="15"/>
          <w:spacing w:val="1"/>
          <w:position w:val="3"/>
        </w:rPr>
        <w:t xml:space="preserve"> </w:t>
      </w:r>
      <w:hyperlink w:history="true" r:id="rId23">
        <w:r>
          <w:rPr>
            <w:sz w:val="15"/>
            <w:szCs w:val="15"/>
            <w:spacing w:val="13"/>
            <w:position w:val="3"/>
          </w:rPr>
          <w:t>https://doi.org/10.3390/medicina59010183</w:t>
        </w:r>
      </w:hyperlink>
      <w:r>
        <w:rPr>
          <w:sz w:val="15"/>
          <w:szCs w:val="15"/>
          <w:spacing w:val="1"/>
          <w:position w:val="3"/>
        </w:rPr>
        <w:t xml:space="preserve">                                  </w:t>
      </w:r>
      <w:r>
        <w:rPr>
          <w:sz w:val="15"/>
          <w:szCs w:val="15"/>
          <w:position w:val="3"/>
        </w:rPr>
        <w:t xml:space="preserve">                                    </w:t>
      </w:r>
      <w:hyperlink w:history="true" r:id="rId2">
        <w:r>
          <w:rPr>
            <w:sz w:val="15"/>
            <w:szCs w:val="15"/>
            <w:spacing w:val="13"/>
            <w:position w:val="3"/>
          </w:rPr>
          <w:t>https://www.mdpi.com/journal/medicina</w:t>
        </w:r>
      </w:hyperlink>
    </w:p>
    <w:p>
      <w:pPr>
        <w:spacing w:line="218" w:lineRule="exact"/>
        <w:sectPr>
          <w:type w:val="continuous"/>
          <w:pgSz w:w="11906" w:h="16838"/>
          <w:pgMar w:top="400" w:right="688" w:bottom="0" w:left="694" w:header="0" w:footer="0" w:gutter="0"/>
          <w:cols w:equalWidth="0" w:num="1">
            <w:col w:w="10523" w:space="0"/>
          </w:cols>
        </w:sectPr>
        <w:rPr>
          <w:sz w:val="15"/>
          <w:szCs w:val="15"/>
        </w:rPr>
      </w:pPr>
    </w:p>
    <w:p>
      <w:pPr>
        <w:spacing w:line="433" w:lineRule="auto"/>
        <w:rPr>
          <w:rFonts w:ascii="Arial"/>
          <w:sz w:val="21"/>
        </w:rPr>
      </w:pPr>
      <w:r/>
    </w:p>
    <w:p>
      <w:pPr>
        <w:pStyle w:val="BodyText"/>
        <w:ind w:left="2623"/>
        <w:spacing w:before="49" w:line="220" w:lineRule="exact"/>
        <w:rPr/>
      </w:pPr>
      <w:r>
        <w:rPr>
          <w:b/>
          <w:bCs/>
          <w:spacing w:val="10"/>
          <w:position w:val="3"/>
        </w:rPr>
        <w:t>Keywords: </w:t>
      </w:r>
      <w:r>
        <w:rPr>
          <w:spacing w:val="10"/>
          <w:position w:val="3"/>
        </w:rPr>
        <w:t>ulcerative colitis; mild; moderate; deﬁnition; activity</w:t>
      </w:r>
    </w:p>
    <w:p>
      <w:pPr>
        <w:spacing w:line="352" w:lineRule="auto"/>
        <w:rPr>
          <w:rFonts w:ascii="Arial"/>
          <w:sz w:val="21"/>
        </w:rPr>
      </w:pPr>
      <w:r>
        <w:pict>
          <v:shape id="_x0000_s10" style="position:absolute;margin-left:131.02pt;margin-top:16.1305pt;mso-position-vertical-relative:text;mso-position-horizontal-relative:text;width:392.9pt;height:0.4pt;z-index:251662336;" filled="false" strokecolor="#000000" strokeweight="0.40pt" coordsize="7857,8" coordorigin="0,0" path="m0,3l7857,3e">
            <v:stroke joinstyle="miter" miterlimit="10"/>
          </v:shape>
        </w:pict>
      </w:r>
      <w:r/>
    </w:p>
    <w:p>
      <w:pPr>
        <w:spacing w:line="353" w:lineRule="auto"/>
        <w:rPr>
          <w:rFonts w:ascii="Arial"/>
          <w:sz w:val="21"/>
        </w:rPr>
      </w:pPr>
      <w:r/>
    </w:p>
    <w:p>
      <w:pPr>
        <w:pStyle w:val="BodyText"/>
        <w:ind w:left="2623"/>
        <w:spacing w:before="55" w:line="246" w:lineRule="exact"/>
        <w:outlineLvl w:val="0"/>
        <w:rPr>
          <w:sz w:val="19"/>
          <w:szCs w:val="19"/>
        </w:rPr>
      </w:pPr>
      <w:r>
        <w:rPr>
          <w:sz w:val="19"/>
          <w:szCs w:val="19"/>
          <w:b/>
          <w:bCs/>
          <w:spacing w:val="7"/>
          <w:position w:val="1"/>
        </w:rPr>
        <w:t>1.</w:t>
      </w:r>
      <w:r>
        <w:rPr>
          <w:sz w:val="19"/>
          <w:szCs w:val="19"/>
          <w:b/>
          <w:bCs/>
          <w:spacing w:val="31"/>
          <w:w w:val="101"/>
          <w:position w:val="1"/>
        </w:rPr>
        <w:t xml:space="preserve"> </w:t>
      </w:r>
      <w:r>
        <w:rPr>
          <w:sz w:val="19"/>
          <w:szCs w:val="19"/>
          <w:b/>
          <w:bCs/>
          <w:spacing w:val="7"/>
          <w:position w:val="1"/>
        </w:rPr>
        <w:t>Introduction</w:t>
      </w:r>
    </w:p>
    <w:p>
      <w:pPr>
        <w:pStyle w:val="BodyText"/>
        <w:ind w:left="2612" w:right="1" w:firstLine="434"/>
        <w:spacing w:before="62" w:line="275" w:lineRule="auto"/>
        <w:jc w:val="both"/>
        <w:rPr>
          <w:sz w:val="19"/>
          <w:szCs w:val="19"/>
        </w:rPr>
      </w:pPr>
      <w:r>
        <w:rPr>
          <w:sz w:val="19"/>
          <w:szCs w:val="19"/>
          <w:spacing w:val="12"/>
        </w:rPr>
        <w:t>In terms of severity, ulcerative colitis</w:t>
      </w:r>
      <w:r>
        <w:rPr>
          <w:sz w:val="19"/>
          <w:szCs w:val="19"/>
          <w:spacing w:val="23"/>
          <w:w w:val="101"/>
        </w:rPr>
        <w:t xml:space="preserve"> </w:t>
      </w:r>
      <w:r>
        <w:rPr>
          <w:sz w:val="19"/>
          <w:szCs w:val="19"/>
          <w:spacing w:val="12"/>
        </w:rPr>
        <w:t>(UC)</w:t>
      </w:r>
      <w:r>
        <w:rPr>
          <w:sz w:val="19"/>
          <w:szCs w:val="19"/>
          <w:spacing w:val="15"/>
          <w:w w:val="102"/>
        </w:rPr>
        <w:t xml:space="preserve"> </w:t>
      </w:r>
      <w:r>
        <w:rPr>
          <w:sz w:val="19"/>
          <w:szCs w:val="19"/>
          <w:spacing w:val="12"/>
        </w:rPr>
        <w:t>is</w:t>
      </w:r>
      <w:r>
        <w:rPr>
          <w:sz w:val="19"/>
          <w:szCs w:val="19"/>
          <w:spacing w:val="15"/>
          <w:w w:val="101"/>
        </w:rPr>
        <w:t xml:space="preserve"> </w:t>
      </w:r>
      <w:r>
        <w:rPr>
          <w:sz w:val="19"/>
          <w:szCs w:val="19"/>
          <w:spacing w:val="11"/>
        </w:rPr>
        <w:t>typically</w:t>
      </w:r>
      <w:r>
        <w:rPr>
          <w:sz w:val="19"/>
          <w:szCs w:val="19"/>
          <w:spacing w:val="17"/>
        </w:rPr>
        <w:t xml:space="preserve"> </w:t>
      </w:r>
      <w:r>
        <w:rPr>
          <w:sz w:val="19"/>
          <w:szCs w:val="19"/>
          <w:spacing w:val="11"/>
        </w:rPr>
        <w:t>classiﬁed</w:t>
      </w:r>
      <w:r>
        <w:rPr>
          <w:sz w:val="19"/>
          <w:szCs w:val="19"/>
          <w:spacing w:val="18"/>
        </w:rPr>
        <w:t xml:space="preserve"> </w:t>
      </w:r>
      <w:r>
        <w:rPr>
          <w:sz w:val="19"/>
          <w:szCs w:val="19"/>
          <w:spacing w:val="11"/>
        </w:rPr>
        <w:t>as being</w:t>
      </w:r>
      <w:r>
        <w:rPr>
          <w:sz w:val="19"/>
          <w:szCs w:val="19"/>
          <w:spacing w:val="22"/>
        </w:rPr>
        <w:t xml:space="preserve"> </w:t>
      </w:r>
      <w:r>
        <w:rPr>
          <w:sz w:val="19"/>
          <w:szCs w:val="19"/>
          <w:spacing w:val="11"/>
        </w:rPr>
        <w:t>“mild–to–</w:t>
      </w:r>
      <w:r>
        <w:rPr>
          <w:sz w:val="19"/>
          <w:szCs w:val="19"/>
        </w:rPr>
        <w:t xml:space="preserve"> </w:t>
      </w:r>
      <w:r>
        <w:rPr>
          <w:sz w:val="19"/>
          <w:szCs w:val="19"/>
          <w:spacing w:val="13"/>
        </w:rPr>
        <w:t>moderate” or “moderate–to–severe”</w:t>
      </w:r>
      <w:r>
        <w:rPr>
          <w:sz w:val="19"/>
          <w:szCs w:val="19"/>
          <w:spacing w:val="23"/>
        </w:rPr>
        <w:t xml:space="preserve"> </w:t>
      </w:r>
      <w:r>
        <w:rPr>
          <w:sz w:val="19"/>
          <w:szCs w:val="19"/>
          <w:spacing w:val="13"/>
        </w:rPr>
        <w:t>[</w:t>
      </w:r>
      <w:hyperlink w:history="true" w:anchor="bookmark1">
        <w:r>
          <w:rPr>
            <w:sz w:val="19"/>
            <w:szCs w:val="19"/>
            <w:color w:val="0875B7"/>
            <w:spacing w:val="13"/>
          </w:rPr>
          <w:t>1</w:t>
        </w:r>
      </w:hyperlink>
      <w:r>
        <w:rPr>
          <w:sz w:val="19"/>
          <w:szCs w:val="19"/>
          <w:spacing w:val="13"/>
        </w:rPr>
        <w:t>].</w:t>
      </w:r>
      <w:r>
        <w:rPr>
          <w:sz w:val="19"/>
          <w:szCs w:val="19"/>
          <w:spacing w:val="32"/>
          <w:w w:val="101"/>
        </w:rPr>
        <w:t xml:space="preserve"> </w:t>
      </w:r>
      <w:r>
        <w:rPr>
          <w:sz w:val="19"/>
          <w:szCs w:val="19"/>
          <w:spacing w:val="13"/>
        </w:rPr>
        <w:t>However, a great variety of deﬁnition of</w:t>
      </w:r>
      <w:r>
        <w:rPr>
          <w:sz w:val="19"/>
          <w:szCs w:val="19"/>
          <w:spacing w:val="16"/>
        </w:rPr>
        <w:t xml:space="preserve"> </w:t>
      </w:r>
      <w:r>
        <w:rPr>
          <w:sz w:val="19"/>
          <w:szCs w:val="19"/>
          <w:spacing w:val="13"/>
        </w:rPr>
        <w:t>“m</w:t>
      </w:r>
      <w:r>
        <w:rPr>
          <w:sz w:val="19"/>
          <w:szCs w:val="19"/>
          <w:spacing w:val="12"/>
        </w:rPr>
        <w:t>ild–</w:t>
      </w:r>
      <w:r>
        <w:rPr>
          <w:sz w:val="19"/>
          <w:szCs w:val="19"/>
        </w:rPr>
        <w:t xml:space="preserve"> </w:t>
      </w:r>
      <w:r>
        <w:rPr>
          <w:sz w:val="19"/>
          <w:szCs w:val="19"/>
          <w:spacing w:val="12"/>
        </w:rPr>
        <w:t>to–moderate” disease activity in UC can be found in the medical literature and in clinical</w:t>
      </w:r>
      <w:r>
        <w:rPr>
          <w:sz w:val="19"/>
          <w:szCs w:val="19"/>
          <w:spacing w:val="8"/>
        </w:rPr>
        <w:t xml:space="preserve">  </w:t>
      </w:r>
      <w:r>
        <w:rPr>
          <w:sz w:val="19"/>
          <w:szCs w:val="19"/>
          <w:spacing w:val="13"/>
        </w:rPr>
        <w:t>practice [</w:t>
      </w:r>
      <w:hyperlink w:history="true" w:anchor="bookmark1">
        <w:r>
          <w:rPr>
            <w:sz w:val="19"/>
            <w:szCs w:val="19"/>
            <w:color w:val="0875B7"/>
            <w:spacing w:val="13"/>
          </w:rPr>
          <w:t>1</w:t>
        </w:r>
      </w:hyperlink>
      <w:r>
        <w:rPr>
          <w:sz w:val="19"/>
          <w:szCs w:val="19"/>
          <w:spacing w:val="13"/>
        </w:rPr>
        <w:t>]. Several metrics have been developed to monitor and standardize the assess–</w:t>
      </w:r>
      <w:r>
        <w:rPr>
          <w:sz w:val="19"/>
          <w:szCs w:val="19"/>
          <w:spacing w:val="2"/>
        </w:rPr>
        <w:t xml:space="preserve"> </w:t>
      </w:r>
      <w:r>
        <w:rPr>
          <w:sz w:val="19"/>
          <w:szCs w:val="19"/>
          <w:spacing w:val="13"/>
        </w:rPr>
        <w:t>ment</w:t>
      </w:r>
      <w:r>
        <w:rPr>
          <w:sz w:val="19"/>
          <w:szCs w:val="19"/>
          <w:spacing w:val="27"/>
          <w:w w:val="101"/>
        </w:rPr>
        <w:t xml:space="preserve"> </w:t>
      </w:r>
      <w:r>
        <w:rPr>
          <w:sz w:val="19"/>
          <w:szCs w:val="19"/>
          <w:spacing w:val="13"/>
        </w:rPr>
        <w:t>of clinical</w:t>
      </w:r>
      <w:r>
        <w:rPr>
          <w:sz w:val="19"/>
          <w:szCs w:val="19"/>
          <w:spacing w:val="22"/>
          <w:w w:val="101"/>
        </w:rPr>
        <w:t xml:space="preserve"> </w:t>
      </w:r>
      <w:r>
        <w:rPr>
          <w:sz w:val="19"/>
          <w:szCs w:val="19"/>
          <w:spacing w:val="13"/>
        </w:rPr>
        <w:t>activity in UC; these</w:t>
      </w:r>
      <w:r>
        <w:rPr>
          <w:sz w:val="19"/>
          <w:szCs w:val="19"/>
          <w:spacing w:val="20"/>
          <w:w w:val="101"/>
        </w:rPr>
        <w:t xml:space="preserve"> </w:t>
      </w:r>
      <w:r>
        <w:rPr>
          <w:sz w:val="19"/>
          <w:szCs w:val="19"/>
          <w:spacing w:val="13"/>
        </w:rPr>
        <w:t>include</w:t>
      </w:r>
      <w:r>
        <w:rPr>
          <w:sz w:val="19"/>
          <w:szCs w:val="19"/>
          <w:spacing w:val="20"/>
          <w:w w:val="101"/>
        </w:rPr>
        <w:t xml:space="preserve"> </w:t>
      </w:r>
      <w:r>
        <w:rPr>
          <w:sz w:val="19"/>
          <w:szCs w:val="19"/>
          <w:spacing w:val="13"/>
        </w:rPr>
        <w:t>the</w:t>
      </w:r>
      <w:r>
        <w:rPr>
          <w:sz w:val="19"/>
          <w:szCs w:val="19"/>
          <w:spacing w:val="21"/>
        </w:rPr>
        <w:t xml:space="preserve"> </w:t>
      </w:r>
      <w:r>
        <w:rPr>
          <w:sz w:val="19"/>
          <w:szCs w:val="19"/>
          <w:spacing w:val="13"/>
        </w:rPr>
        <w:t>Simple</w:t>
      </w:r>
      <w:r>
        <w:rPr>
          <w:sz w:val="19"/>
          <w:szCs w:val="19"/>
          <w:spacing w:val="21"/>
        </w:rPr>
        <w:t xml:space="preserve"> </w:t>
      </w:r>
      <w:r>
        <w:rPr>
          <w:sz w:val="19"/>
          <w:szCs w:val="19"/>
          <w:spacing w:val="13"/>
        </w:rPr>
        <w:t>Colitis</w:t>
      </w:r>
      <w:r>
        <w:rPr>
          <w:sz w:val="19"/>
          <w:szCs w:val="19"/>
          <w:spacing w:val="20"/>
          <w:w w:val="101"/>
        </w:rPr>
        <w:t xml:space="preserve"> </w:t>
      </w:r>
      <w:r>
        <w:rPr>
          <w:sz w:val="19"/>
          <w:szCs w:val="19"/>
          <w:spacing w:val="13"/>
        </w:rPr>
        <w:t>Clinical</w:t>
      </w:r>
      <w:r>
        <w:rPr>
          <w:sz w:val="19"/>
          <w:szCs w:val="19"/>
          <w:spacing w:val="19"/>
        </w:rPr>
        <w:t xml:space="preserve"> </w:t>
      </w:r>
      <w:r>
        <w:rPr>
          <w:sz w:val="19"/>
          <w:szCs w:val="19"/>
          <w:spacing w:val="13"/>
        </w:rPr>
        <w:t>Activity</w:t>
      </w:r>
      <w:r>
        <w:rPr>
          <w:sz w:val="19"/>
          <w:szCs w:val="19"/>
          <w:spacing w:val="20"/>
          <w:w w:val="101"/>
        </w:rPr>
        <w:t xml:space="preserve"> </w:t>
      </w:r>
      <w:r>
        <w:rPr>
          <w:sz w:val="19"/>
          <w:szCs w:val="19"/>
          <w:spacing w:val="13"/>
        </w:rPr>
        <w:t>Index</w:t>
      </w:r>
      <w:r>
        <w:rPr>
          <w:sz w:val="19"/>
          <w:szCs w:val="19"/>
        </w:rPr>
        <w:t xml:space="preserve">  </w:t>
      </w:r>
      <w:r>
        <w:rPr>
          <w:sz w:val="19"/>
          <w:szCs w:val="19"/>
          <w:spacing w:val="10"/>
        </w:rPr>
        <w:t>(SCCAI), the Mayo Clinic Score (MCS), the Ulcerative</w:t>
      </w:r>
      <w:r>
        <w:rPr>
          <w:sz w:val="19"/>
          <w:szCs w:val="19"/>
          <w:spacing w:val="9"/>
        </w:rPr>
        <w:t xml:space="preserve"> Colitis Disease Activity Index (UC–</w:t>
      </w:r>
      <w:r>
        <w:rPr>
          <w:sz w:val="19"/>
          <w:szCs w:val="19"/>
        </w:rPr>
        <w:t xml:space="preserve"> </w:t>
      </w:r>
      <w:r>
        <w:rPr>
          <w:sz w:val="19"/>
          <w:szCs w:val="19"/>
          <w:spacing w:val="11"/>
        </w:rPr>
        <w:t>DAI) and the Truelo</w:t>
      </w:r>
      <w:r>
        <w:rPr>
          <w:sz w:val="19"/>
          <w:szCs w:val="19"/>
          <w:spacing w:val="10"/>
        </w:rPr>
        <w:t>ve and Witts criteria for severe disease [</w:t>
      </w:r>
      <w:hyperlink w:history="true" w:anchor="bookmark2">
        <w:r>
          <w:rPr>
            <w:sz w:val="19"/>
            <w:szCs w:val="19"/>
            <w:color w:val="0875B7"/>
            <w:spacing w:val="10"/>
          </w:rPr>
          <w:t>2</w:t>
        </w:r>
      </w:hyperlink>
      <w:r>
        <w:rPr>
          <w:sz w:val="19"/>
          <w:szCs w:val="19"/>
          <w:spacing w:val="10"/>
        </w:rPr>
        <w:t>–</w:t>
      </w:r>
      <w:hyperlink w:history="true" w:anchor="bookmark3">
        <w:r>
          <w:rPr>
            <w:sz w:val="19"/>
            <w:szCs w:val="19"/>
            <w:color w:val="0875B7"/>
            <w:spacing w:val="10"/>
          </w:rPr>
          <w:t>7</w:t>
        </w:r>
      </w:hyperlink>
      <w:r>
        <w:rPr>
          <w:sz w:val="19"/>
          <w:szCs w:val="19"/>
          <w:spacing w:val="10"/>
        </w:rPr>
        <w:t>]. Nevertheless, there is no</w:t>
      </w:r>
      <w:r>
        <w:rPr>
          <w:sz w:val="19"/>
          <w:szCs w:val="19"/>
        </w:rPr>
        <w:t xml:space="preserve">  </w:t>
      </w:r>
      <w:r>
        <w:rPr>
          <w:sz w:val="19"/>
          <w:szCs w:val="19"/>
          <w:spacing w:val="11"/>
        </w:rPr>
        <w:t>consensus on the deﬁnition of mild–to–moder</w:t>
      </w:r>
      <w:r>
        <w:rPr>
          <w:sz w:val="19"/>
          <w:szCs w:val="19"/>
          <w:spacing w:val="10"/>
        </w:rPr>
        <w:t>ate disease activity in UC [</w:t>
      </w:r>
      <w:hyperlink w:history="true" w:anchor="bookmark1">
        <w:r>
          <w:rPr>
            <w:sz w:val="19"/>
            <w:szCs w:val="19"/>
            <w:color w:val="0875B7"/>
            <w:spacing w:val="10"/>
          </w:rPr>
          <w:t>1</w:t>
        </w:r>
      </w:hyperlink>
      <w:r>
        <w:rPr>
          <w:sz w:val="19"/>
          <w:szCs w:val="19"/>
          <w:spacing w:val="10"/>
        </w:rPr>
        <w:t>,</w:t>
      </w:r>
      <w:hyperlink w:history="true" w:anchor="bookmark4">
        <w:r>
          <w:rPr>
            <w:sz w:val="19"/>
            <w:szCs w:val="19"/>
            <w:color w:val="0875B7"/>
            <w:spacing w:val="10"/>
          </w:rPr>
          <w:t>8</w:t>
        </w:r>
      </w:hyperlink>
      <w:r>
        <w:rPr>
          <w:sz w:val="19"/>
          <w:szCs w:val="19"/>
          <w:spacing w:val="10"/>
        </w:rPr>
        <w:t>,</w:t>
      </w:r>
      <w:hyperlink w:history="true" w:anchor="bookmark5">
        <w:r>
          <w:rPr>
            <w:sz w:val="19"/>
            <w:szCs w:val="19"/>
            <w:color w:val="0875B7"/>
            <w:spacing w:val="10"/>
          </w:rPr>
          <w:t>9</w:t>
        </w:r>
      </w:hyperlink>
      <w:r>
        <w:rPr>
          <w:sz w:val="19"/>
          <w:szCs w:val="19"/>
          <w:spacing w:val="10"/>
        </w:rPr>
        <w:t>].</w:t>
      </w:r>
    </w:p>
    <w:p>
      <w:pPr>
        <w:pStyle w:val="BodyText"/>
        <w:ind w:left="2616" w:right="34" w:firstLine="429"/>
        <w:spacing w:before="6" w:line="275" w:lineRule="auto"/>
        <w:jc w:val="both"/>
        <w:rPr>
          <w:sz w:val="19"/>
          <w:szCs w:val="19"/>
        </w:rPr>
      </w:pPr>
      <w:r>
        <w:rPr>
          <w:sz w:val="19"/>
          <w:szCs w:val="19"/>
          <w:spacing w:val="11"/>
        </w:rPr>
        <w:t>Sedano et al. have systematically reviewed deﬁn</w:t>
      </w:r>
      <w:r>
        <w:rPr>
          <w:sz w:val="19"/>
          <w:szCs w:val="19"/>
          <w:spacing w:val="10"/>
        </w:rPr>
        <w:t>itions of mild–to–moderate UC found</w:t>
      </w:r>
      <w:r>
        <w:rPr>
          <w:sz w:val="19"/>
          <w:szCs w:val="19"/>
        </w:rPr>
        <w:t xml:space="preserve"> </w:t>
      </w:r>
      <w:r>
        <w:rPr>
          <w:sz w:val="19"/>
          <w:szCs w:val="19"/>
          <w:spacing w:val="9"/>
        </w:rPr>
        <w:t>in protocols listed at</w:t>
      </w:r>
      <w:r>
        <w:rPr>
          <w:sz w:val="19"/>
          <w:szCs w:val="19"/>
          <w:spacing w:val="-18"/>
        </w:rPr>
        <w:t xml:space="preserve"> </w:t>
      </w:r>
      <w:hyperlink w:history="true" r:id="rId27">
        <w:r>
          <w:rPr>
            <w:sz w:val="19"/>
            <w:szCs w:val="19"/>
            <w:color w:val="0875B7"/>
            <w:spacing w:val="9"/>
          </w:rPr>
          <w:t>clinicaltrials</w:t>
        </w:r>
        <w:r>
          <w:rPr>
            <w:sz w:val="19"/>
            <w:szCs w:val="19"/>
            <w:color w:val="0875B7"/>
            <w:spacing w:val="8"/>
          </w:rPr>
          <w:t>.gov</w:t>
        </w:r>
      </w:hyperlink>
      <w:r>
        <w:rPr>
          <w:sz w:val="19"/>
          <w:szCs w:val="19"/>
          <w:color w:val="0875B7"/>
          <w:spacing w:val="8"/>
        </w:rPr>
        <w:t xml:space="preserve"> </w:t>
      </w:r>
      <w:r>
        <w:rPr>
          <w:sz w:val="19"/>
          <w:szCs w:val="19"/>
          <w:spacing w:val="8"/>
        </w:rPr>
        <w:t>(accessed on 10 October 2022) [</w:t>
      </w:r>
      <w:hyperlink w:history="true" w:anchor="bookmark6">
        <w:r>
          <w:rPr>
            <w:sz w:val="19"/>
            <w:szCs w:val="19"/>
            <w:color w:val="0875B7"/>
            <w:spacing w:val="8"/>
          </w:rPr>
          <w:t>10</w:t>
        </w:r>
      </w:hyperlink>
      <w:r>
        <w:rPr>
          <w:sz w:val="19"/>
          <w:szCs w:val="19"/>
          <w:spacing w:val="8"/>
        </w:rPr>
        <w:t>].</w:t>
      </w:r>
      <w:r>
        <w:rPr>
          <w:sz w:val="19"/>
          <w:szCs w:val="19"/>
          <w:spacing w:val="18"/>
          <w:w w:val="101"/>
        </w:rPr>
        <w:t xml:space="preserve"> </w:t>
      </w:r>
      <w:r>
        <w:rPr>
          <w:sz w:val="19"/>
          <w:szCs w:val="19"/>
          <w:spacing w:val="8"/>
        </w:rPr>
        <w:t>The MCS was the</w:t>
      </w:r>
      <w:r>
        <w:rPr>
          <w:sz w:val="19"/>
          <w:szCs w:val="19"/>
        </w:rPr>
        <w:t xml:space="preserve"> </w:t>
      </w:r>
      <w:r>
        <w:rPr>
          <w:sz w:val="19"/>
          <w:szCs w:val="19"/>
          <w:spacing w:val="13"/>
        </w:rPr>
        <w:t>most frequently used</w:t>
      </w:r>
      <w:r>
        <w:rPr>
          <w:sz w:val="19"/>
          <w:szCs w:val="19"/>
          <w:spacing w:val="12"/>
        </w:rPr>
        <w:t xml:space="preserve"> score, while the UCDAI was detected in a small proportion of trials</w:t>
      </w:r>
      <w:r>
        <w:rPr>
          <w:sz w:val="19"/>
          <w:szCs w:val="19"/>
        </w:rPr>
        <w:t xml:space="preserve"> </w:t>
      </w:r>
      <w:r>
        <w:rPr>
          <w:sz w:val="19"/>
          <w:szCs w:val="19"/>
          <w:spacing w:val="12"/>
        </w:rPr>
        <w:t>(13.1%)</w:t>
      </w:r>
      <w:r>
        <w:rPr>
          <w:sz w:val="19"/>
          <w:szCs w:val="19"/>
          <w:spacing w:val="25"/>
        </w:rPr>
        <w:t xml:space="preserve"> </w:t>
      </w:r>
      <w:r>
        <w:rPr>
          <w:sz w:val="19"/>
          <w:szCs w:val="19"/>
          <w:spacing w:val="12"/>
        </w:rPr>
        <w:t>[</w:t>
      </w:r>
      <w:hyperlink w:history="true" w:anchor="bookmark6">
        <w:r>
          <w:rPr>
            <w:sz w:val="19"/>
            <w:szCs w:val="19"/>
            <w:color w:val="0875B7"/>
            <w:spacing w:val="12"/>
          </w:rPr>
          <w:t>10</w:t>
        </w:r>
      </w:hyperlink>
      <w:r>
        <w:rPr>
          <w:sz w:val="19"/>
          <w:szCs w:val="19"/>
          <w:spacing w:val="12"/>
        </w:rPr>
        <w:t>].</w:t>
      </w:r>
      <w:r>
        <w:rPr>
          <w:sz w:val="19"/>
          <w:szCs w:val="19"/>
          <w:spacing w:val="36"/>
        </w:rPr>
        <w:t xml:space="preserve"> </w:t>
      </w:r>
      <w:r>
        <w:rPr>
          <w:sz w:val="19"/>
          <w:szCs w:val="19"/>
          <w:spacing w:val="12"/>
        </w:rPr>
        <w:t>Twenty different MCS cut–offs have been used to </w:t>
      </w:r>
      <w:r>
        <w:rPr>
          <w:sz w:val="19"/>
          <w:szCs w:val="19"/>
          <w:spacing w:val="11"/>
        </w:rPr>
        <w:t>deﬁne mild–to–moderate</w:t>
      </w:r>
      <w:r>
        <w:rPr>
          <w:sz w:val="19"/>
          <w:szCs w:val="19"/>
        </w:rPr>
        <w:t xml:space="preserve"> </w:t>
      </w:r>
      <w:r>
        <w:rPr>
          <w:sz w:val="19"/>
          <w:szCs w:val="19"/>
          <w:spacing w:val="10"/>
        </w:rPr>
        <w:t>active UC: The minimum cut–off r</w:t>
      </w:r>
      <w:r>
        <w:rPr>
          <w:sz w:val="19"/>
          <w:szCs w:val="19"/>
          <w:spacing w:val="9"/>
        </w:rPr>
        <w:t>anged from 1 to 6, and the maximum cut–off ranged from</w:t>
      </w:r>
      <w:r>
        <w:rPr>
          <w:sz w:val="19"/>
          <w:szCs w:val="19"/>
        </w:rPr>
        <w:t xml:space="preserve"> </w:t>
      </w:r>
      <w:r>
        <w:rPr>
          <w:sz w:val="19"/>
          <w:szCs w:val="19"/>
          <w:spacing w:val="9"/>
        </w:rPr>
        <w:t>4 to 11 [</w:t>
      </w:r>
      <w:hyperlink w:history="true" w:anchor="bookmark6">
        <w:r>
          <w:rPr>
            <w:sz w:val="19"/>
            <w:szCs w:val="19"/>
            <w:color w:val="0875B7"/>
            <w:spacing w:val="9"/>
          </w:rPr>
          <w:t>10</w:t>
        </w:r>
      </w:hyperlink>
      <w:r>
        <w:rPr>
          <w:sz w:val="19"/>
          <w:szCs w:val="19"/>
          <w:spacing w:val="9"/>
        </w:rPr>
        <w:t>]. However, the MCS and UCDAI have some limitations because they include the</w:t>
      </w:r>
      <w:r>
        <w:rPr>
          <w:sz w:val="19"/>
          <w:szCs w:val="19"/>
          <w:spacing w:val="18"/>
        </w:rPr>
        <w:t xml:space="preserve"> </w:t>
      </w:r>
      <w:r>
        <w:rPr>
          <w:sz w:val="19"/>
          <w:szCs w:val="19"/>
          <w:spacing w:val="11"/>
        </w:rPr>
        <w:t>subjective Physician </w:t>
      </w:r>
      <w:r>
        <w:rPr>
          <w:sz w:val="19"/>
          <w:szCs w:val="19"/>
          <w:spacing w:val="10"/>
        </w:rPr>
        <w:t>Global Assessment (PGA) sub–score [</w:t>
      </w:r>
      <w:hyperlink w:history="true" w:anchor="bookmark7">
        <w:r>
          <w:rPr>
            <w:sz w:val="19"/>
            <w:szCs w:val="19"/>
            <w:color w:val="0875B7"/>
            <w:spacing w:val="10"/>
          </w:rPr>
          <w:t>11</w:t>
        </w:r>
      </w:hyperlink>
      <w:r>
        <w:rPr>
          <w:sz w:val="19"/>
          <w:szCs w:val="19"/>
          <w:spacing w:val="10"/>
        </w:rPr>
        <w:t>]. Most regulatory authorities</w:t>
      </w:r>
      <w:r>
        <w:rPr>
          <w:sz w:val="19"/>
          <w:szCs w:val="19"/>
        </w:rPr>
        <w:t xml:space="preserve"> </w:t>
      </w:r>
      <w:r>
        <w:rPr>
          <w:sz w:val="19"/>
          <w:szCs w:val="19"/>
          <w:spacing w:val="11"/>
        </w:rPr>
        <w:t>recommend excluding the PGA sub–score in order to reduce subjectivit</w:t>
      </w:r>
      <w:r>
        <w:rPr>
          <w:sz w:val="19"/>
          <w:szCs w:val="19"/>
          <w:spacing w:val="10"/>
        </w:rPr>
        <w:t>y and thus focus on</w:t>
      </w:r>
      <w:r>
        <w:rPr>
          <w:sz w:val="19"/>
          <w:szCs w:val="19"/>
        </w:rPr>
        <w:t xml:space="preserve"> </w:t>
      </w:r>
      <w:r>
        <w:rPr>
          <w:sz w:val="19"/>
          <w:szCs w:val="19"/>
          <w:spacing w:val="12"/>
        </w:rPr>
        <w:t>the patient’s self–reported symptoms a</w:t>
      </w:r>
      <w:r>
        <w:rPr>
          <w:sz w:val="19"/>
          <w:szCs w:val="19"/>
          <w:spacing w:val="11"/>
        </w:rPr>
        <w:t>nd objective endoscopic ﬁndings [</w:t>
      </w:r>
      <w:hyperlink w:history="true" w:anchor="bookmark7">
        <w:r>
          <w:rPr>
            <w:sz w:val="19"/>
            <w:szCs w:val="19"/>
            <w:color w:val="0875B7"/>
            <w:spacing w:val="11"/>
          </w:rPr>
          <w:t>11</w:t>
        </w:r>
      </w:hyperlink>
      <w:r>
        <w:rPr>
          <w:sz w:val="19"/>
          <w:szCs w:val="19"/>
          <w:spacing w:val="11"/>
        </w:rPr>
        <w:t>].</w:t>
      </w:r>
    </w:p>
    <w:p>
      <w:pPr>
        <w:pStyle w:val="BodyText"/>
        <w:ind w:left="2608" w:firstLine="438"/>
        <w:spacing w:before="4" w:line="275" w:lineRule="auto"/>
        <w:jc w:val="both"/>
        <w:rPr>
          <w:sz w:val="19"/>
          <w:szCs w:val="19"/>
        </w:rPr>
      </w:pPr>
      <w:r>
        <w:rPr>
          <w:sz w:val="19"/>
          <w:szCs w:val="19"/>
          <w:spacing w:val="13"/>
        </w:rPr>
        <w:t>Sedano et al.’s review emphasized t</w:t>
      </w:r>
      <w:r>
        <w:rPr>
          <w:sz w:val="19"/>
          <w:szCs w:val="19"/>
          <w:spacing w:val="12"/>
        </w:rPr>
        <w:t>hat the deﬁnitions of mild–to–moderate UC vary</w:t>
      </w:r>
      <w:r>
        <w:rPr>
          <w:sz w:val="19"/>
          <w:szCs w:val="19"/>
        </w:rPr>
        <w:t xml:space="preserve"> </w:t>
      </w:r>
      <w:r>
        <w:rPr>
          <w:sz w:val="19"/>
          <w:szCs w:val="19"/>
          <w:spacing w:val="9"/>
        </w:rPr>
        <w:t>markedly from one clinical trial to another. T</w:t>
      </w:r>
      <w:r>
        <w:rPr>
          <w:sz w:val="19"/>
          <w:szCs w:val="19"/>
          <w:spacing w:val="8"/>
        </w:rPr>
        <w:t>he lack of a consensus on</w:t>
      </w:r>
      <w:r>
        <w:rPr>
          <w:sz w:val="19"/>
          <w:szCs w:val="19"/>
          <w:spacing w:val="-2"/>
        </w:rPr>
        <w:t xml:space="preserve"> </w:t>
      </w:r>
      <w:r>
        <w:rPr>
          <w:sz w:val="19"/>
          <w:szCs w:val="19"/>
          <w:spacing w:val="8"/>
        </w:rPr>
        <w:t>the deﬁnition</w:t>
      </w:r>
      <w:r>
        <w:rPr>
          <w:sz w:val="19"/>
          <w:szCs w:val="19"/>
          <w:spacing w:val="1"/>
        </w:rPr>
        <w:t xml:space="preserve"> </w:t>
      </w:r>
      <w:r>
        <w:rPr>
          <w:sz w:val="19"/>
          <w:szCs w:val="19"/>
          <w:spacing w:val="8"/>
        </w:rPr>
        <w:t>of</w:t>
      </w:r>
      <w:r>
        <w:rPr>
          <w:sz w:val="19"/>
          <w:szCs w:val="19"/>
          <w:spacing w:val="-4"/>
        </w:rPr>
        <w:t xml:space="preserve"> </w:t>
      </w:r>
      <w:r>
        <w:rPr>
          <w:sz w:val="19"/>
          <w:szCs w:val="19"/>
          <w:spacing w:val="8"/>
        </w:rPr>
        <w:t>mild–</w:t>
      </w:r>
      <w:r>
        <w:rPr>
          <w:sz w:val="19"/>
          <w:szCs w:val="19"/>
        </w:rPr>
        <w:t xml:space="preserve"> </w:t>
      </w:r>
      <w:r>
        <w:rPr>
          <w:sz w:val="19"/>
          <w:szCs w:val="19"/>
          <w:spacing w:val="11"/>
        </w:rPr>
        <w:t>to–moderate UC means that the clinical trial data are heterogeneous and non–reproducible.</w:t>
      </w:r>
      <w:r>
        <w:rPr>
          <w:sz w:val="19"/>
          <w:szCs w:val="19"/>
          <w:spacing w:val="9"/>
        </w:rPr>
        <w:t xml:space="preserve"> </w:t>
      </w:r>
      <w:r>
        <w:rPr>
          <w:sz w:val="19"/>
          <w:szCs w:val="19"/>
          <w:spacing w:val="14"/>
        </w:rPr>
        <w:t>We therefore lack a standardized</w:t>
      </w:r>
      <w:r>
        <w:rPr>
          <w:sz w:val="19"/>
          <w:szCs w:val="19"/>
          <w:spacing w:val="21"/>
          <w:w w:val="101"/>
        </w:rPr>
        <w:t xml:space="preserve"> </w:t>
      </w:r>
      <w:r>
        <w:rPr>
          <w:sz w:val="19"/>
          <w:szCs w:val="19"/>
          <w:spacing w:val="14"/>
        </w:rPr>
        <w:t>deﬁnition</w:t>
      </w:r>
      <w:r>
        <w:rPr>
          <w:sz w:val="19"/>
          <w:szCs w:val="19"/>
          <w:spacing w:val="21"/>
        </w:rPr>
        <w:t xml:space="preserve"> </w:t>
      </w:r>
      <w:r>
        <w:rPr>
          <w:sz w:val="19"/>
          <w:szCs w:val="19"/>
          <w:spacing w:val="14"/>
        </w:rPr>
        <w:t>of</w:t>
      </w:r>
      <w:r>
        <w:rPr>
          <w:sz w:val="19"/>
          <w:szCs w:val="19"/>
          <w:spacing w:val="16"/>
        </w:rPr>
        <w:t xml:space="preserve"> </w:t>
      </w:r>
      <w:r>
        <w:rPr>
          <w:sz w:val="19"/>
          <w:szCs w:val="19"/>
          <w:spacing w:val="14"/>
        </w:rPr>
        <w:t>mild–to–moderate</w:t>
      </w:r>
      <w:r>
        <w:rPr>
          <w:sz w:val="19"/>
          <w:szCs w:val="19"/>
          <w:spacing w:val="16"/>
          <w:w w:val="102"/>
        </w:rPr>
        <w:t xml:space="preserve"> </w:t>
      </w:r>
      <w:r>
        <w:rPr>
          <w:sz w:val="19"/>
          <w:szCs w:val="19"/>
          <w:spacing w:val="14"/>
        </w:rPr>
        <w:t>UC</w:t>
      </w:r>
      <w:r>
        <w:rPr>
          <w:sz w:val="19"/>
          <w:szCs w:val="19"/>
          <w:spacing w:val="21"/>
          <w:w w:val="101"/>
        </w:rPr>
        <w:t xml:space="preserve"> </w:t>
      </w:r>
      <w:r>
        <w:rPr>
          <w:sz w:val="19"/>
          <w:szCs w:val="19"/>
          <w:spacing w:val="14"/>
        </w:rPr>
        <w:t>disease</w:t>
      </w:r>
      <w:r>
        <w:rPr>
          <w:sz w:val="19"/>
          <w:szCs w:val="19"/>
          <w:spacing w:val="20"/>
          <w:w w:val="101"/>
        </w:rPr>
        <w:t xml:space="preserve"> </w:t>
      </w:r>
      <w:r>
        <w:rPr>
          <w:sz w:val="19"/>
          <w:szCs w:val="19"/>
          <w:spacing w:val="14"/>
        </w:rPr>
        <w:t>acti</w:t>
      </w:r>
      <w:r>
        <w:rPr>
          <w:sz w:val="19"/>
          <w:szCs w:val="19"/>
          <w:spacing w:val="13"/>
        </w:rPr>
        <w:t>vity</w:t>
      </w:r>
      <w:r>
        <w:rPr>
          <w:sz w:val="19"/>
          <w:szCs w:val="19"/>
          <w:spacing w:val="19"/>
        </w:rPr>
        <w:t xml:space="preserve"> </w:t>
      </w:r>
      <w:r>
        <w:rPr>
          <w:sz w:val="19"/>
          <w:szCs w:val="19"/>
          <w:spacing w:val="13"/>
        </w:rPr>
        <w:t>in</w:t>
      </w:r>
      <w:r>
        <w:rPr>
          <w:sz w:val="19"/>
          <w:szCs w:val="19"/>
        </w:rPr>
        <w:t xml:space="preserve">  </w:t>
      </w:r>
      <w:r>
        <w:rPr>
          <w:sz w:val="19"/>
          <w:szCs w:val="19"/>
          <w:spacing w:val="10"/>
        </w:rPr>
        <w:t>patients eligible for inclusion in clinical trials; this consti</w:t>
      </w:r>
      <w:r>
        <w:rPr>
          <w:sz w:val="19"/>
          <w:szCs w:val="19"/>
          <w:spacing w:val="9"/>
        </w:rPr>
        <w:t>tutes a key unmet need in the ﬁeld</w:t>
      </w:r>
      <w:r>
        <w:rPr>
          <w:sz w:val="19"/>
          <w:szCs w:val="19"/>
        </w:rPr>
        <w:t xml:space="preserve">  </w:t>
      </w:r>
      <w:r>
        <w:rPr>
          <w:sz w:val="19"/>
          <w:szCs w:val="19"/>
          <w:spacing w:val="12"/>
        </w:rPr>
        <w:t>of inﬂammatory bowel disease (IBD).</w:t>
      </w:r>
    </w:p>
    <w:p>
      <w:pPr>
        <w:pStyle w:val="BodyText"/>
        <w:ind w:left="2613" w:right="1" w:firstLine="432"/>
        <w:spacing w:before="4" w:line="275" w:lineRule="auto"/>
        <w:jc w:val="both"/>
        <w:rPr>
          <w:sz w:val="19"/>
          <w:szCs w:val="19"/>
        </w:rPr>
      </w:pPr>
      <w:r>
        <w:rPr>
          <w:sz w:val="19"/>
          <w:szCs w:val="19"/>
          <w:spacing w:val="14"/>
        </w:rPr>
        <w:t>In the present study, we ﬁrst comprehensively reviewed the literature on</w:t>
      </w:r>
      <w:r>
        <w:rPr>
          <w:sz w:val="19"/>
          <w:szCs w:val="19"/>
          <w:spacing w:val="21"/>
        </w:rPr>
        <w:t xml:space="preserve"> </w:t>
      </w:r>
      <w:r>
        <w:rPr>
          <w:sz w:val="19"/>
          <w:szCs w:val="19"/>
          <w:spacing w:val="14"/>
        </w:rPr>
        <w:t>(i) de</w:t>
      </w:r>
      <w:r>
        <w:rPr>
          <w:sz w:val="19"/>
          <w:szCs w:val="19"/>
          <w:spacing w:val="13"/>
        </w:rPr>
        <w:t>ﬁni–</w:t>
      </w:r>
      <w:r>
        <w:rPr>
          <w:sz w:val="19"/>
          <w:szCs w:val="19"/>
        </w:rPr>
        <w:t xml:space="preserve"> </w:t>
      </w:r>
      <w:r>
        <w:rPr>
          <w:sz w:val="19"/>
          <w:szCs w:val="19"/>
          <w:spacing w:val="14"/>
        </w:rPr>
        <w:t>tions of mild–to–moderate active UC an</w:t>
      </w:r>
      <w:r>
        <w:rPr>
          <w:sz w:val="19"/>
          <w:szCs w:val="19"/>
          <w:spacing w:val="13"/>
        </w:rPr>
        <w:t>d</w:t>
      </w:r>
      <w:r>
        <w:rPr>
          <w:sz w:val="19"/>
          <w:szCs w:val="19"/>
          <w:spacing w:val="24"/>
        </w:rPr>
        <w:t xml:space="preserve"> </w:t>
      </w:r>
      <w:r>
        <w:rPr>
          <w:sz w:val="19"/>
          <w:szCs w:val="19"/>
          <w:spacing w:val="13"/>
        </w:rPr>
        <w:t>(ii) factors</w:t>
      </w:r>
      <w:r>
        <w:rPr>
          <w:sz w:val="19"/>
          <w:szCs w:val="19"/>
          <w:spacing w:val="16"/>
        </w:rPr>
        <w:t xml:space="preserve"> </w:t>
      </w:r>
      <w:r>
        <w:rPr>
          <w:sz w:val="19"/>
          <w:szCs w:val="19"/>
          <w:spacing w:val="13"/>
        </w:rPr>
        <w:t>that were</w:t>
      </w:r>
      <w:r>
        <w:rPr>
          <w:sz w:val="19"/>
          <w:szCs w:val="19"/>
          <w:spacing w:val="12"/>
          <w:w w:val="102"/>
        </w:rPr>
        <w:t xml:space="preserve"> </w:t>
      </w:r>
      <w:r>
        <w:rPr>
          <w:sz w:val="19"/>
          <w:szCs w:val="19"/>
          <w:spacing w:val="13"/>
        </w:rPr>
        <w:t>predictive</w:t>
      </w:r>
      <w:r>
        <w:rPr>
          <w:sz w:val="19"/>
          <w:szCs w:val="19"/>
          <w:spacing w:val="17"/>
          <w:w w:val="101"/>
        </w:rPr>
        <w:t xml:space="preserve"> </w:t>
      </w:r>
      <w:r>
        <w:rPr>
          <w:sz w:val="19"/>
          <w:szCs w:val="19"/>
          <w:spacing w:val="13"/>
        </w:rPr>
        <w:t>of</w:t>
      </w:r>
      <w:r>
        <w:rPr>
          <w:sz w:val="19"/>
          <w:szCs w:val="19"/>
          <w:spacing w:val="16"/>
        </w:rPr>
        <w:t xml:space="preserve"> </w:t>
      </w:r>
      <w:r>
        <w:rPr>
          <w:sz w:val="19"/>
          <w:szCs w:val="19"/>
          <w:spacing w:val="13"/>
        </w:rPr>
        <w:t>a</w:t>
      </w:r>
      <w:r>
        <w:rPr>
          <w:sz w:val="19"/>
          <w:szCs w:val="19"/>
          <w:spacing w:val="16"/>
        </w:rPr>
        <w:t xml:space="preserve"> </w:t>
      </w:r>
      <w:r>
        <w:rPr>
          <w:sz w:val="19"/>
          <w:szCs w:val="19"/>
          <w:spacing w:val="13"/>
        </w:rPr>
        <w:t>treatment</w:t>
      </w:r>
      <w:r>
        <w:rPr>
          <w:sz w:val="19"/>
          <w:szCs w:val="19"/>
        </w:rPr>
        <w:t xml:space="preserve">  </w:t>
      </w:r>
      <w:r>
        <w:rPr>
          <w:sz w:val="19"/>
          <w:szCs w:val="19"/>
          <w:spacing w:val="12"/>
        </w:rPr>
        <w:t>response in randomized controlled trials (RCTs)</w:t>
      </w:r>
      <w:r>
        <w:rPr>
          <w:sz w:val="19"/>
          <w:szCs w:val="19"/>
          <w:spacing w:val="11"/>
        </w:rPr>
        <w:t xml:space="preserve"> of 5–aminosalicylic acid (5–ASA) and/or</w:t>
      </w:r>
      <w:r>
        <w:rPr>
          <w:sz w:val="19"/>
          <w:szCs w:val="19"/>
        </w:rPr>
        <w:t xml:space="preserve">  </w:t>
      </w:r>
      <w:r>
        <w:rPr>
          <w:sz w:val="19"/>
          <w:szCs w:val="19"/>
          <w:spacing w:val="14"/>
        </w:rPr>
        <w:t>budesonide Multi Matrix</w:t>
      </w:r>
      <w:r>
        <w:rPr>
          <w:sz w:val="15"/>
          <w:szCs w:val="15"/>
          <w:spacing w:val="14"/>
        </w:rPr>
        <w:t>®</w:t>
      </w:r>
      <w:r>
        <w:rPr>
          <w:sz w:val="15"/>
          <w:szCs w:val="15"/>
          <w:spacing w:val="-14"/>
        </w:rPr>
        <w:t xml:space="preserve"> </w:t>
      </w:r>
      <w:r>
        <w:rPr>
          <w:sz w:val="19"/>
          <w:szCs w:val="19"/>
          <w:spacing w:val="14"/>
        </w:rPr>
        <w:t>.</w:t>
      </w:r>
      <w:r>
        <w:rPr>
          <w:sz w:val="19"/>
          <w:szCs w:val="19"/>
          <w:spacing w:val="31"/>
        </w:rPr>
        <w:t xml:space="preserve"> </w:t>
      </w:r>
      <w:r>
        <w:rPr>
          <w:sz w:val="19"/>
          <w:szCs w:val="19"/>
          <w:spacing w:val="14"/>
        </w:rPr>
        <w:t>Secondly, we formed an international expert panel a</w:t>
      </w:r>
      <w:r>
        <w:rPr>
          <w:sz w:val="19"/>
          <w:szCs w:val="19"/>
          <w:spacing w:val="13"/>
        </w:rPr>
        <w:t>nd con–</w:t>
      </w:r>
      <w:r>
        <w:rPr>
          <w:sz w:val="19"/>
          <w:szCs w:val="19"/>
        </w:rPr>
        <w:t xml:space="preserve"> </w:t>
      </w:r>
      <w:r>
        <w:rPr>
          <w:sz w:val="19"/>
          <w:szCs w:val="19"/>
          <w:spacing w:val="15"/>
        </w:rPr>
        <w:t>ducted</w:t>
      </w:r>
      <w:r>
        <w:rPr>
          <w:sz w:val="19"/>
          <w:szCs w:val="19"/>
          <w:spacing w:val="31"/>
        </w:rPr>
        <w:t xml:space="preserve"> </w:t>
      </w:r>
      <w:r>
        <w:rPr>
          <w:sz w:val="19"/>
          <w:szCs w:val="19"/>
          <w:spacing w:val="15"/>
        </w:rPr>
        <w:t>a</w:t>
      </w:r>
      <w:r>
        <w:rPr>
          <w:sz w:val="19"/>
          <w:szCs w:val="19"/>
          <w:spacing w:val="27"/>
        </w:rPr>
        <w:t xml:space="preserve"> </w:t>
      </w:r>
      <w:r>
        <w:rPr>
          <w:sz w:val="19"/>
          <w:szCs w:val="19"/>
          <w:spacing w:val="15"/>
        </w:rPr>
        <w:t>multiple–round</w:t>
      </w:r>
      <w:r>
        <w:rPr>
          <w:sz w:val="19"/>
          <w:szCs w:val="19"/>
          <w:spacing w:val="30"/>
          <w:w w:val="101"/>
        </w:rPr>
        <w:t xml:space="preserve"> </w:t>
      </w:r>
      <w:r>
        <w:rPr>
          <w:sz w:val="19"/>
          <w:szCs w:val="19"/>
          <w:spacing w:val="15"/>
        </w:rPr>
        <w:t>su</w:t>
      </w:r>
      <w:r>
        <w:rPr>
          <w:sz w:val="19"/>
          <w:szCs w:val="19"/>
          <w:spacing w:val="14"/>
        </w:rPr>
        <w:t>rvey.  The</w:t>
      </w:r>
      <w:r>
        <w:rPr>
          <w:sz w:val="19"/>
          <w:szCs w:val="19"/>
          <w:spacing w:val="30"/>
          <w:w w:val="101"/>
        </w:rPr>
        <w:t xml:space="preserve"> </w:t>
      </w:r>
      <w:r>
        <w:rPr>
          <w:sz w:val="19"/>
          <w:szCs w:val="19"/>
          <w:spacing w:val="14"/>
        </w:rPr>
        <w:t>objective</w:t>
      </w:r>
      <w:r>
        <w:rPr>
          <w:sz w:val="19"/>
          <w:szCs w:val="19"/>
          <w:spacing w:val="25"/>
        </w:rPr>
        <w:t xml:space="preserve"> </w:t>
      </w:r>
      <w:r>
        <w:rPr>
          <w:sz w:val="19"/>
          <w:szCs w:val="19"/>
          <w:spacing w:val="14"/>
        </w:rPr>
        <w:t>was</w:t>
      </w:r>
      <w:r>
        <w:rPr>
          <w:sz w:val="19"/>
          <w:szCs w:val="19"/>
          <w:spacing w:val="28"/>
          <w:w w:val="101"/>
        </w:rPr>
        <w:t xml:space="preserve"> </w:t>
      </w:r>
      <w:r>
        <w:rPr>
          <w:sz w:val="19"/>
          <w:szCs w:val="19"/>
          <w:spacing w:val="14"/>
        </w:rPr>
        <w:t>to</w:t>
      </w:r>
      <w:r>
        <w:rPr>
          <w:sz w:val="19"/>
          <w:szCs w:val="19"/>
          <w:spacing w:val="29"/>
          <w:w w:val="101"/>
        </w:rPr>
        <w:t xml:space="preserve"> </w:t>
      </w:r>
      <w:r>
        <w:rPr>
          <w:sz w:val="19"/>
          <w:szCs w:val="19"/>
          <w:spacing w:val="14"/>
        </w:rPr>
        <w:t>establish</w:t>
      </w:r>
      <w:r>
        <w:rPr>
          <w:sz w:val="19"/>
          <w:szCs w:val="19"/>
          <w:spacing w:val="30"/>
          <w:w w:val="101"/>
        </w:rPr>
        <w:t xml:space="preserve"> </w:t>
      </w:r>
      <w:r>
        <w:rPr>
          <w:sz w:val="19"/>
          <w:szCs w:val="19"/>
          <w:spacing w:val="14"/>
        </w:rPr>
        <w:t>a</w:t>
      </w:r>
      <w:r>
        <w:rPr>
          <w:sz w:val="19"/>
          <w:szCs w:val="19"/>
          <w:spacing w:val="28"/>
        </w:rPr>
        <w:t xml:space="preserve"> </w:t>
      </w:r>
      <w:r>
        <w:rPr>
          <w:sz w:val="19"/>
          <w:szCs w:val="19"/>
          <w:spacing w:val="14"/>
        </w:rPr>
        <w:t>robust</w:t>
      </w:r>
      <w:r>
        <w:rPr>
          <w:sz w:val="19"/>
          <w:szCs w:val="19"/>
          <w:spacing w:val="31"/>
        </w:rPr>
        <w:t xml:space="preserve"> </w:t>
      </w:r>
      <w:r>
        <w:rPr>
          <w:sz w:val="19"/>
          <w:szCs w:val="19"/>
          <w:spacing w:val="14"/>
        </w:rPr>
        <w:t>deﬁnition</w:t>
      </w:r>
      <w:r>
        <w:rPr>
          <w:sz w:val="19"/>
          <w:szCs w:val="19"/>
          <w:spacing w:val="30"/>
          <w:w w:val="101"/>
        </w:rPr>
        <w:t xml:space="preserve"> </w:t>
      </w:r>
      <w:r>
        <w:rPr>
          <w:sz w:val="19"/>
          <w:szCs w:val="19"/>
          <w:spacing w:val="14"/>
        </w:rPr>
        <w:t>of</w:t>
      </w:r>
      <w:r>
        <w:rPr>
          <w:sz w:val="19"/>
          <w:szCs w:val="19"/>
        </w:rPr>
        <w:t xml:space="preserve">  </w:t>
      </w:r>
      <w:r>
        <w:rPr>
          <w:sz w:val="19"/>
          <w:szCs w:val="19"/>
          <w:spacing w:val="11"/>
        </w:rPr>
        <w:t>mild–to–moderate UC disease activity for use in clinical trials wi</w:t>
      </w:r>
      <w:r>
        <w:rPr>
          <w:sz w:val="19"/>
          <w:szCs w:val="19"/>
          <w:spacing w:val="10"/>
        </w:rPr>
        <w:t>th adult patients.</w:t>
      </w:r>
    </w:p>
    <w:p>
      <w:pPr>
        <w:pStyle w:val="BodyText"/>
        <w:ind w:left="2621"/>
        <w:spacing w:before="205" w:line="247" w:lineRule="exact"/>
        <w:outlineLvl w:val="0"/>
        <w:rPr>
          <w:sz w:val="19"/>
          <w:szCs w:val="19"/>
        </w:rPr>
      </w:pPr>
      <w:r>
        <w:rPr>
          <w:sz w:val="19"/>
          <w:szCs w:val="19"/>
          <w:b/>
          <w:bCs/>
          <w:spacing w:val="9"/>
          <w:position w:val="1"/>
        </w:rPr>
        <w:t>2.</w:t>
      </w:r>
      <w:r>
        <w:rPr>
          <w:sz w:val="19"/>
          <w:szCs w:val="19"/>
          <w:b/>
          <w:bCs/>
          <w:spacing w:val="32"/>
          <w:w w:val="101"/>
          <w:position w:val="1"/>
        </w:rPr>
        <w:t xml:space="preserve"> </w:t>
      </w:r>
      <w:r>
        <w:rPr>
          <w:sz w:val="19"/>
          <w:szCs w:val="19"/>
          <w:b/>
          <w:bCs/>
          <w:spacing w:val="9"/>
          <w:position w:val="1"/>
        </w:rPr>
        <w:t>Materials and Methods</w:t>
      </w:r>
    </w:p>
    <w:p>
      <w:pPr>
        <w:pStyle w:val="BodyText"/>
        <w:ind w:left="2618" w:right="34" w:firstLine="427"/>
        <w:spacing w:before="62" w:line="243" w:lineRule="auto"/>
        <w:jc w:val="both"/>
        <w:rPr>
          <w:sz w:val="19"/>
          <w:szCs w:val="19"/>
        </w:rPr>
      </w:pPr>
      <w:r>
        <w:rPr>
          <w:sz w:val="19"/>
          <w:szCs w:val="19"/>
          <w:spacing w:val="9"/>
        </w:rPr>
        <w:t>Firstly, we systematically reviewed the deﬁnitions of mild–to–moderate a</w:t>
      </w:r>
      <w:r>
        <w:rPr>
          <w:sz w:val="19"/>
          <w:szCs w:val="19"/>
          <w:spacing w:val="8"/>
        </w:rPr>
        <w:t>ctive UC used</w:t>
      </w:r>
      <w:r>
        <w:rPr>
          <w:sz w:val="19"/>
          <w:szCs w:val="19"/>
        </w:rPr>
        <w:t xml:space="preserve"> </w:t>
      </w:r>
      <w:r>
        <w:rPr>
          <w:sz w:val="19"/>
          <w:szCs w:val="19"/>
          <w:spacing w:val="13"/>
        </w:rPr>
        <w:t>in 39 RCTs of 5–ASA and/or bude</w:t>
      </w:r>
      <w:r>
        <w:rPr>
          <w:sz w:val="19"/>
          <w:szCs w:val="19"/>
          <w:spacing w:val="12"/>
        </w:rPr>
        <w:t>sonide Multi Matrix</w:t>
      </w:r>
      <w:r>
        <w:rPr>
          <w:sz w:val="15"/>
          <w:szCs w:val="15"/>
          <w:spacing w:val="12"/>
        </w:rPr>
        <w:t>®  </w:t>
      </w:r>
      <w:r>
        <w:rPr>
          <w:sz w:val="19"/>
          <w:szCs w:val="19"/>
          <w:spacing w:val="12"/>
        </w:rPr>
        <w:t>[</w:t>
      </w:r>
      <w:hyperlink w:history="true" w:anchor="bookmark8">
        <w:r>
          <w:rPr>
            <w:sz w:val="19"/>
            <w:szCs w:val="19"/>
            <w:color w:val="0875B7"/>
            <w:spacing w:val="12"/>
          </w:rPr>
          <w:t>12</w:t>
        </w:r>
      </w:hyperlink>
      <w:r>
        <w:rPr>
          <w:sz w:val="19"/>
          <w:szCs w:val="19"/>
          <w:spacing w:val="12"/>
        </w:rPr>
        <w:t>].</w:t>
      </w:r>
      <w:r>
        <w:rPr>
          <w:sz w:val="19"/>
          <w:szCs w:val="19"/>
          <w:spacing w:val="35"/>
        </w:rPr>
        <w:t xml:space="preserve"> </w:t>
      </w:r>
      <w:r>
        <w:rPr>
          <w:sz w:val="19"/>
          <w:szCs w:val="19"/>
          <w:spacing w:val="12"/>
        </w:rPr>
        <w:t>Six different indexes were</w:t>
      </w:r>
      <w:r>
        <w:rPr>
          <w:sz w:val="19"/>
          <w:szCs w:val="19"/>
        </w:rPr>
        <w:t xml:space="preserve"> </w:t>
      </w:r>
      <w:r>
        <w:rPr>
          <w:sz w:val="19"/>
          <w:szCs w:val="19"/>
          <w:spacing w:val="14"/>
        </w:rPr>
        <w:t>used to deﬁne mild–to–mo</w:t>
      </w:r>
      <w:r>
        <w:rPr>
          <w:sz w:val="19"/>
          <w:szCs w:val="19"/>
          <w:spacing w:val="13"/>
        </w:rPr>
        <w:t>derate active UC in these trials—emphasizing the high degree</w:t>
      </w:r>
      <w:r>
        <w:rPr>
          <w:sz w:val="19"/>
          <w:szCs w:val="19"/>
        </w:rPr>
        <w:t xml:space="preserve"> </w:t>
      </w:r>
      <w:r>
        <w:rPr>
          <w:sz w:val="19"/>
          <w:szCs w:val="19"/>
          <w:spacing w:val="12"/>
        </w:rPr>
        <w:t>of heterogeneity in the literature</w:t>
      </w:r>
      <w:r>
        <w:rPr>
          <w:sz w:val="19"/>
          <w:szCs w:val="19"/>
          <w:spacing w:val="45"/>
        </w:rPr>
        <w:t xml:space="preserve"> </w:t>
      </w:r>
      <w:r>
        <w:rPr>
          <w:sz w:val="19"/>
          <w:szCs w:val="19"/>
          <w:spacing w:val="12"/>
        </w:rPr>
        <w:t>[</w:t>
      </w:r>
      <w:hyperlink w:history="true" w:anchor="bookmark8">
        <w:r>
          <w:rPr>
            <w:sz w:val="19"/>
            <w:szCs w:val="19"/>
            <w:color w:val="0875B7"/>
            <w:spacing w:val="12"/>
          </w:rPr>
          <w:t>12</w:t>
        </w:r>
      </w:hyperlink>
      <w:r>
        <w:rPr>
          <w:sz w:val="19"/>
          <w:szCs w:val="19"/>
          <w:spacing w:val="12"/>
        </w:rPr>
        <w:t>].  Most RCTs used</w:t>
      </w:r>
      <w:r>
        <w:rPr>
          <w:sz w:val="19"/>
          <w:szCs w:val="19"/>
          <w:spacing w:val="18"/>
          <w:w w:val="101"/>
        </w:rPr>
        <w:t xml:space="preserve"> </w:t>
      </w:r>
      <w:r>
        <w:rPr>
          <w:sz w:val="19"/>
          <w:szCs w:val="19"/>
          <w:spacing w:val="12"/>
        </w:rPr>
        <w:t>the</w:t>
      </w:r>
      <w:r>
        <w:rPr>
          <w:sz w:val="19"/>
          <w:szCs w:val="19"/>
          <w:spacing w:val="16"/>
        </w:rPr>
        <w:t xml:space="preserve"> </w:t>
      </w:r>
      <w:r>
        <w:rPr>
          <w:sz w:val="19"/>
          <w:szCs w:val="19"/>
          <w:spacing w:val="12"/>
        </w:rPr>
        <w:t>UCDAI</w:t>
      </w:r>
      <w:r>
        <w:rPr>
          <w:sz w:val="19"/>
          <w:szCs w:val="19"/>
          <w:spacing w:val="30"/>
        </w:rPr>
        <w:t xml:space="preserve"> </w:t>
      </w:r>
      <w:r>
        <w:rPr>
          <w:sz w:val="19"/>
          <w:szCs w:val="19"/>
          <w:spacing w:val="12"/>
        </w:rPr>
        <w:t>[</w:t>
      </w:r>
      <w:hyperlink w:history="true" w:anchor="bookmark8">
        <w:r>
          <w:rPr>
            <w:sz w:val="19"/>
            <w:szCs w:val="19"/>
            <w:color w:val="0875B7"/>
            <w:spacing w:val="12"/>
          </w:rPr>
          <w:t>12</w:t>
        </w:r>
      </w:hyperlink>
      <w:r>
        <w:rPr>
          <w:sz w:val="19"/>
          <w:szCs w:val="19"/>
          <w:spacing w:val="12"/>
        </w:rPr>
        <w:t>].  Four</w:t>
      </w:r>
      <w:r>
        <w:rPr>
          <w:sz w:val="19"/>
          <w:szCs w:val="19"/>
          <w:spacing w:val="21"/>
        </w:rPr>
        <w:t xml:space="preserve"> </w:t>
      </w:r>
      <w:r>
        <w:rPr>
          <w:sz w:val="19"/>
          <w:szCs w:val="19"/>
          <w:spacing w:val="12"/>
        </w:rPr>
        <w:t>different</w:t>
      </w:r>
      <w:r>
        <w:rPr>
          <w:sz w:val="19"/>
          <w:szCs w:val="19"/>
        </w:rPr>
        <w:t xml:space="preserve"> </w:t>
      </w:r>
      <w:r>
        <w:rPr>
          <w:sz w:val="19"/>
          <w:szCs w:val="19"/>
          <w:spacing w:val="14"/>
        </w:rPr>
        <w:t>UCDAI</w:t>
      </w:r>
      <w:r>
        <w:rPr>
          <w:sz w:val="19"/>
          <w:szCs w:val="19"/>
          <w:spacing w:val="36"/>
        </w:rPr>
        <w:t xml:space="preserve"> </w:t>
      </w:r>
      <w:r>
        <w:rPr>
          <w:sz w:val="19"/>
          <w:szCs w:val="19"/>
          <w:spacing w:val="14"/>
        </w:rPr>
        <w:t>cut–offs</w:t>
      </w:r>
      <w:r>
        <w:rPr>
          <w:sz w:val="19"/>
          <w:szCs w:val="19"/>
          <w:spacing w:val="30"/>
        </w:rPr>
        <w:t xml:space="preserve"> </w:t>
      </w:r>
      <w:r>
        <w:rPr>
          <w:sz w:val="19"/>
          <w:szCs w:val="19"/>
          <w:spacing w:val="14"/>
        </w:rPr>
        <w:t>were</w:t>
      </w:r>
      <w:r>
        <w:rPr>
          <w:sz w:val="19"/>
          <w:szCs w:val="19"/>
          <w:spacing w:val="32"/>
          <w:w w:val="101"/>
        </w:rPr>
        <w:t xml:space="preserve"> </w:t>
      </w:r>
      <w:r>
        <w:rPr>
          <w:sz w:val="19"/>
          <w:szCs w:val="19"/>
          <w:spacing w:val="14"/>
        </w:rPr>
        <w:t>used</w:t>
      </w:r>
      <w:r>
        <w:rPr>
          <w:sz w:val="19"/>
          <w:szCs w:val="19"/>
          <w:spacing w:val="33"/>
          <w:w w:val="101"/>
        </w:rPr>
        <w:t xml:space="preserve"> </w:t>
      </w:r>
      <w:r>
        <w:rPr>
          <w:sz w:val="19"/>
          <w:szCs w:val="19"/>
          <w:spacing w:val="14"/>
        </w:rPr>
        <w:t>to</w:t>
      </w:r>
      <w:r>
        <w:rPr>
          <w:sz w:val="19"/>
          <w:szCs w:val="19"/>
          <w:spacing w:val="36"/>
        </w:rPr>
        <w:t xml:space="preserve"> </w:t>
      </w:r>
      <w:r>
        <w:rPr>
          <w:sz w:val="19"/>
          <w:szCs w:val="19"/>
          <w:spacing w:val="14"/>
        </w:rPr>
        <w:t>deﬁne</w:t>
      </w:r>
      <w:r>
        <w:rPr>
          <w:sz w:val="19"/>
          <w:szCs w:val="19"/>
          <w:spacing w:val="32"/>
        </w:rPr>
        <w:t xml:space="preserve"> </w:t>
      </w:r>
      <w:r>
        <w:rPr>
          <w:sz w:val="19"/>
          <w:szCs w:val="19"/>
          <w:spacing w:val="14"/>
        </w:rPr>
        <w:t>mild–to–moderate</w:t>
      </w:r>
      <w:r>
        <w:rPr>
          <w:sz w:val="19"/>
          <w:szCs w:val="19"/>
          <w:spacing w:val="35"/>
          <w:w w:val="101"/>
        </w:rPr>
        <w:t xml:space="preserve"> </w:t>
      </w:r>
      <w:r>
        <w:rPr>
          <w:sz w:val="19"/>
          <w:szCs w:val="19"/>
          <w:spacing w:val="14"/>
        </w:rPr>
        <w:t>active</w:t>
      </w:r>
      <w:r>
        <w:rPr>
          <w:sz w:val="19"/>
          <w:szCs w:val="19"/>
          <w:spacing w:val="31"/>
          <w:w w:val="101"/>
        </w:rPr>
        <w:t xml:space="preserve"> </w:t>
      </w:r>
      <w:r>
        <w:rPr>
          <w:sz w:val="19"/>
          <w:szCs w:val="19"/>
          <w:spacing w:val="14"/>
        </w:rPr>
        <w:t>UC.</w:t>
      </w:r>
      <w:r>
        <w:rPr>
          <w:sz w:val="19"/>
          <w:szCs w:val="19"/>
          <w:spacing w:val="32"/>
          <w:w w:val="101"/>
        </w:rPr>
        <w:t xml:space="preserve"> </w:t>
      </w:r>
      <w:r>
        <w:rPr>
          <w:sz w:val="19"/>
          <w:szCs w:val="19"/>
          <w:spacing w:val="14"/>
        </w:rPr>
        <w:t>The</w:t>
      </w:r>
      <w:r>
        <w:rPr>
          <w:sz w:val="19"/>
          <w:szCs w:val="19"/>
          <w:spacing w:val="32"/>
          <w:w w:val="101"/>
        </w:rPr>
        <w:t xml:space="preserve"> </w:t>
      </w:r>
      <w:r>
        <w:rPr>
          <w:sz w:val="19"/>
          <w:szCs w:val="19"/>
          <w:spacing w:val="14"/>
        </w:rPr>
        <w:t>most</w:t>
      </w:r>
      <w:r>
        <w:rPr>
          <w:sz w:val="19"/>
          <w:szCs w:val="19"/>
          <w:spacing w:val="34"/>
        </w:rPr>
        <w:t xml:space="preserve"> </w:t>
      </w:r>
      <w:r>
        <w:rPr>
          <w:sz w:val="19"/>
          <w:szCs w:val="19"/>
          <w:spacing w:val="14"/>
        </w:rPr>
        <w:t>common</w:t>
      </w:r>
      <w:r>
        <w:rPr>
          <w:sz w:val="19"/>
          <w:szCs w:val="19"/>
        </w:rPr>
        <w:t xml:space="preserve"> </w:t>
      </w:r>
      <w:r>
        <w:rPr>
          <w:sz w:val="19"/>
          <w:szCs w:val="19"/>
          <w:spacing w:val="10"/>
        </w:rPr>
        <w:t>UCDAI cut–offs (reported in more than half of the included RCTs) were</w:t>
      </w:r>
      <w:r>
        <w:rPr>
          <w:sz w:val="19"/>
          <w:szCs w:val="19"/>
          <w:spacing w:val="36"/>
          <w:w w:val="101"/>
        </w:rPr>
        <w:t xml:space="preserve"> </w:t>
      </w:r>
      <w:r>
        <w:rPr>
          <w:rFonts w:ascii="Microsoft YaHei" w:hAnsi="Microsoft YaHei" w:eastAsia="Microsoft YaHei" w:cs="Microsoft YaHei"/>
          <w:sz w:val="20"/>
          <w:szCs w:val="20"/>
          <w:spacing w:val="10"/>
        </w:rPr>
        <w:t>≥</w:t>
      </w:r>
      <w:r>
        <w:rPr>
          <w:sz w:val="19"/>
          <w:szCs w:val="19"/>
          <w:spacing w:val="10"/>
        </w:rPr>
        <w:t>4 and</w:t>
      </w:r>
      <w:r>
        <w:rPr>
          <w:sz w:val="19"/>
          <w:szCs w:val="19"/>
          <w:spacing w:val="22"/>
        </w:rPr>
        <w:t xml:space="preserve"> </w:t>
      </w:r>
      <w:r>
        <w:rPr>
          <w:rFonts w:ascii="Microsoft YaHei" w:hAnsi="Microsoft YaHei" w:eastAsia="Microsoft YaHei" w:cs="Microsoft YaHei"/>
          <w:sz w:val="20"/>
          <w:szCs w:val="20"/>
          <w:spacing w:val="10"/>
        </w:rPr>
        <w:t>≤</w:t>
      </w:r>
      <w:r>
        <w:rPr>
          <w:sz w:val="19"/>
          <w:szCs w:val="19"/>
          <w:spacing w:val="10"/>
        </w:rPr>
        <w:t>10, with</w:t>
      </w:r>
      <w:r>
        <w:rPr>
          <w:sz w:val="19"/>
          <w:szCs w:val="19"/>
        </w:rPr>
        <w:t xml:space="preserve"> </w:t>
      </w:r>
      <w:r>
        <w:rPr>
          <w:sz w:val="19"/>
          <w:szCs w:val="19"/>
          <w:spacing w:val="10"/>
        </w:rPr>
        <w:t>a sigmoidoscopy score of</w:t>
      </w:r>
      <w:r>
        <w:rPr>
          <w:sz w:val="19"/>
          <w:szCs w:val="19"/>
          <w:spacing w:val="20"/>
          <w:w w:val="101"/>
        </w:rPr>
        <w:t xml:space="preserve"> </w:t>
      </w:r>
      <w:r>
        <w:rPr>
          <w:rFonts w:ascii="Microsoft YaHei" w:hAnsi="Microsoft YaHei" w:eastAsia="Microsoft YaHei" w:cs="Microsoft YaHei"/>
          <w:sz w:val="20"/>
          <w:szCs w:val="20"/>
          <w:spacing w:val="10"/>
        </w:rPr>
        <w:t>≥</w:t>
      </w:r>
      <w:r>
        <w:rPr>
          <w:sz w:val="19"/>
          <w:szCs w:val="19"/>
          <w:spacing w:val="10"/>
        </w:rPr>
        <w:t>1 and a PGA score</w:t>
      </w:r>
      <w:r>
        <w:rPr>
          <w:sz w:val="19"/>
          <w:szCs w:val="19"/>
          <w:spacing w:val="22"/>
        </w:rPr>
        <w:t xml:space="preserve"> </w:t>
      </w:r>
      <w:r>
        <w:rPr>
          <w:rFonts w:ascii="Microsoft YaHei" w:hAnsi="Microsoft YaHei" w:eastAsia="Microsoft YaHei" w:cs="Microsoft YaHei"/>
          <w:sz w:val="20"/>
          <w:szCs w:val="20"/>
          <w:spacing w:val="10"/>
        </w:rPr>
        <w:t>≤</w:t>
      </w:r>
      <w:r>
        <w:rPr>
          <w:sz w:val="19"/>
          <w:szCs w:val="19"/>
          <w:spacing w:val="10"/>
        </w:rPr>
        <w:t>2 [</w:t>
      </w:r>
      <w:hyperlink w:history="true" w:anchor="bookmark8">
        <w:r>
          <w:rPr>
            <w:sz w:val="19"/>
            <w:szCs w:val="19"/>
            <w:color w:val="0875B7"/>
            <w:spacing w:val="10"/>
          </w:rPr>
          <w:t>12</w:t>
        </w:r>
      </w:hyperlink>
      <w:r>
        <w:rPr>
          <w:sz w:val="19"/>
          <w:szCs w:val="19"/>
          <w:spacing w:val="10"/>
        </w:rPr>
        <w:t>].</w:t>
      </w:r>
    </w:p>
    <w:p>
      <w:pPr>
        <w:pStyle w:val="BodyText"/>
        <w:ind w:left="2620" w:right="15" w:firstLine="425"/>
        <w:spacing w:before="4" w:line="266" w:lineRule="auto"/>
        <w:jc w:val="both"/>
        <w:rPr>
          <w:sz w:val="19"/>
          <w:szCs w:val="19"/>
        </w:rPr>
      </w:pPr>
      <w:r>
        <w:rPr>
          <w:sz w:val="19"/>
          <w:szCs w:val="19"/>
          <w:spacing w:val="11"/>
        </w:rPr>
        <w:t>Secondly, we used the modiﬁe</w:t>
      </w:r>
      <w:r>
        <w:rPr>
          <w:sz w:val="19"/>
          <w:szCs w:val="19"/>
          <w:spacing w:val="10"/>
        </w:rPr>
        <w:t>d RAND/University of California, Los Angeles (UCLA)</w:t>
      </w:r>
      <w:r>
        <w:rPr>
          <w:sz w:val="19"/>
          <w:szCs w:val="19"/>
        </w:rPr>
        <w:t xml:space="preserve"> </w:t>
      </w:r>
      <w:r>
        <w:rPr>
          <w:sz w:val="19"/>
          <w:szCs w:val="19"/>
          <w:spacing w:val="15"/>
        </w:rPr>
        <w:t>appropriateness method b</w:t>
      </w:r>
      <w:r>
        <w:rPr>
          <w:sz w:val="19"/>
          <w:szCs w:val="19"/>
          <w:spacing w:val="14"/>
        </w:rPr>
        <w:t>y incorporating a Delphi panel approach with iterative rounds</w:t>
      </w:r>
      <w:r>
        <w:rPr>
          <w:sz w:val="19"/>
          <w:szCs w:val="19"/>
        </w:rPr>
        <w:t xml:space="preserve"> </w:t>
      </w:r>
      <w:r>
        <w:rPr>
          <w:sz w:val="19"/>
          <w:szCs w:val="19"/>
          <w:spacing w:val="14"/>
        </w:rPr>
        <w:t>of voting and discussion [</w:t>
      </w:r>
      <w:hyperlink w:history="true" w:anchor="bookmark9">
        <w:r>
          <w:rPr>
            <w:sz w:val="19"/>
            <w:szCs w:val="19"/>
            <w:color w:val="0875B7"/>
            <w:spacing w:val="14"/>
          </w:rPr>
          <w:t>13</w:t>
        </w:r>
      </w:hyperlink>
      <w:r>
        <w:rPr>
          <w:sz w:val="19"/>
          <w:szCs w:val="19"/>
          <w:spacing w:val="14"/>
        </w:rPr>
        <w:t>].</w:t>
      </w:r>
      <w:r>
        <w:rPr>
          <w:sz w:val="19"/>
          <w:szCs w:val="19"/>
          <w:spacing w:val="24"/>
        </w:rPr>
        <w:t xml:space="preserve"> </w:t>
      </w:r>
      <w:r>
        <w:rPr>
          <w:sz w:val="19"/>
          <w:szCs w:val="19"/>
          <w:spacing w:val="14"/>
        </w:rPr>
        <w:t>This approach combined the be</w:t>
      </w:r>
      <w:r>
        <w:rPr>
          <w:sz w:val="19"/>
          <w:szCs w:val="19"/>
          <w:spacing w:val="13"/>
        </w:rPr>
        <w:t>st available evidence with</w:t>
      </w:r>
      <w:r>
        <w:rPr>
          <w:sz w:val="19"/>
          <w:szCs w:val="19"/>
        </w:rPr>
        <w:t xml:space="preserve"> </w:t>
      </w:r>
      <w:r>
        <w:rPr>
          <w:sz w:val="19"/>
          <w:szCs w:val="19"/>
          <w:spacing w:val="11"/>
        </w:rPr>
        <w:t>expert opinion, in order to (i) assess the face validity and the</w:t>
      </w:r>
      <w:r>
        <w:rPr>
          <w:sz w:val="19"/>
          <w:szCs w:val="19"/>
          <w:spacing w:val="10"/>
        </w:rPr>
        <w:t xml:space="preserve"> feasibility of items identiﬁed</w:t>
      </w:r>
      <w:r>
        <w:rPr>
          <w:sz w:val="19"/>
          <w:szCs w:val="19"/>
        </w:rPr>
        <w:t xml:space="preserve"> </w:t>
      </w:r>
      <w:r>
        <w:rPr>
          <w:sz w:val="19"/>
          <w:szCs w:val="19"/>
          <w:spacing w:val="12"/>
        </w:rPr>
        <w:t>in the systematic review and (ii) generate a robust deﬁnition of mi</w:t>
      </w:r>
      <w:r>
        <w:rPr>
          <w:sz w:val="19"/>
          <w:szCs w:val="19"/>
          <w:spacing w:val="11"/>
        </w:rPr>
        <w:t>ld–to–moderate disease</w:t>
      </w:r>
      <w:r>
        <w:rPr>
          <w:sz w:val="19"/>
          <w:szCs w:val="19"/>
        </w:rPr>
        <w:t xml:space="preserve"> </w:t>
      </w:r>
      <w:r>
        <w:rPr>
          <w:sz w:val="19"/>
          <w:szCs w:val="19"/>
        </w:rPr>
        <w:t>activity</w:t>
      </w:r>
      <w:r>
        <w:rPr>
          <w:sz w:val="19"/>
          <w:szCs w:val="19"/>
          <w:spacing w:val="17"/>
        </w:rPr>
        <w:t xml:space="preserve"> </w:t>
      </w:r>
      <w:r>
        <w:rPr>
          <w:sz w:val="19"/>
          <w:szCs w:val="19"/>
        </w:rPr>
        <w:t>in</w:t>
      </w:r>
      <w:r>
        <w:rPr>
          <w:sz w:val="19"/>
          <w:szCs w:val="19"/>
          <w:spacing w:val="17"/>
        </w:rPr>
        <w:t xml:space="preserve"> </w:t>
      </w:r>
      <w:r>
        <w:rPr>
          <w:sz w:val="19"/>
          <w:szCs w:val="19"/>
        </w:rPr>
        <w:t>UC</w:t>
      </w:r>
      <w:r>
        <w:rPr>
          <w:sz w:val="19"/>
          <w:szCs w:val="19"/>
          <w:spacing w:val="17"/>
        </w:rPr>
        <w:t xml:space="preserve"> [</w:t>
      </w:r>
      <w:hyperlink w:history="true" w:anchor="bookmark8">
        <w:r>
          <w:rPr>
            <w:sz w:val="19"/>
            <w:szCs w:val="19"/>
            <w:color w:val="0875B7"/>
            <w:spacing w:val="17"/>
          </w:rPr>
          <w:t>12</w:t>
        </w:r>
      </w:hyperlink>
      <w:r>
        <w:rPr>
          <w:sz w:val="19"/>
          <w:szCs w:val="19"/>
          <w:spacing w:val="17"/>
        </w:rPr>
        <w:t>,</w:t>
      </w:r>
      <w:hyperlink w:history="true" w:anchor="bookmark9">
        <w:r>
          <w:rPr>
            <w:sz w:val="19"/>
            <w:szCs w:val="19"/>
            <w:color w:val="0875B7"/>
            <w:spacing w:val="17"/>
          </w:rPr>
          <w:t>13</w:t>
        </w:r>
      </w:hyperlink>
      <w:r>
        <w:rPr>
          <w:sz w:val="19"/>
          <w:szCs w:val="19"/>
          <w:spacing w:val="17"/>
        </w:rPr>
        <w:t>].</w:t>
      </w:r>
    </w:p>
    <w:p>
      <w:pPr>
        <w:pStyle w:val="BodyText"/>
        <w:ind w:left="2617" w:right="1" w:firstLine="427"/>
        <w:spacing w:before="49" w:line="265" w:lineRule="auto"/>
        <w:jc w:val="both"/>
        <w:rPr>
          <w:sz w:val="19"/>
          <w:szCs w:val="19"/>
        </w:rPr>
      </w:pPr>
      <w:r>
        <w:rPr>
          <w:sz w:val="19"/>
          <w:szCs w:val="19"/>
          <w:spacing w:val="10"/>
        </w:rPr>
        <w:t>There were two rounds of</w:t>
      </w:r>
      <w:r>
        <w:rPr>
          <w:sz w:val="19"/>
          <w:szCs w:val="19"/>
          <w:spacing w:val="9"/>
        </w:rPr>
        <w:t xml:space="preserve"> voting. Two of the authors (VJ and BC) prepared 49 prelimi–</w:t>
      </w:r>
      <w:r>
        <w:rPr>
          <w:sz w:val="19"/>
          <w:szCs w:val="19"/>
        </w:rPr>
        <w:t xml:space="preserve"> </w:t>
      </w:r>
      <w:r>
        <w:rPr>
          <w:sz w:val="19"/>
          <w:szCs w:val="19"/>
          <w:spacing w:val="14"/>
        </w:rPr>
        <w:t>nary statements based on the ne</w:t>
      </w:r>
      <w:r>
        <w:rPr>
          <w:sz w:val="19"/>
          <w:szCs w:val="19"/>
          <w:spacing w:val="13"/>
        </w:rPr>
        <w:t>eds identiﬁed in the systematic review.</w:t>
      </w:r>
      <w:r>
        <w:rPr>
          <w:sz w:val="19"/>
          <w:szCs w:val="19"/>
          <w:spacing w:val="28"/>
        </w:rPr>
        <w:t xml:space="preserve"> </w:t>
      </w:r>
      <w:r>
        <w:rPr>
          <w:sz w:val="19"/>
          <w:szCs w:val="19"/>
          <w:spacing w:val="13"/>
        </w:rPr>
        <w:t>The list of state–</w:t>
      </w:r>
      <w:r>
        <w:rPr>
          <w:sz w:val="19"/>
          <w:szCs w:val="19"/>
        </w:rPr>
        <w:t xml:space="preserve"> </w:t>
      </w:r>
      <w:r>
        <w:rPr>
          <w:sz w:val="19"/>
          <w:szCs w:val="19"/>
          <w:spacing w:val="14"/>
        </w:rPr>
        <w:t>ments was then disseminated onlin</w:t>
      </w:r>
      <w:r>
        <w:rPr>
          <w:sz w:val="19"/>
          <w:szCs w:val="19"/>
          <w:spacing w:val="13"/>
        </w:rPr>
        <w:t>e. The expert panel members anonymously rated each</w:t>
      </w:r>
      <w:r>
        <w:rPr>
          <w:sz w:val="19"/>
          <w:szCs w:val="19"/>
        </w:rPr>
        <w:t xml:space="preserve">  </w:t>
      </w:r>
      <w:r>
        <w:rPr>
          <w:sz w:val="19"/>
          <w:szCs w:val="19"/>
          <w:spacing w:val="10"/>
        </w:rPr>
        <w:t>item for appropriateness on a 9–point scale</w:t>
      </w:r>
      <w:r>
        <w:rPr>
          <w:sz w:val="19"/>
          <w:szCs w:val="19"/>
          <w:spacing w:val="9"/>
        </w:rPr>
        <w:t xml:space="preserve"> (ranging from 1 = inappropriate to 5 = uncertain</w:t>
      </w:r>
      <w:r>
        <w:rPr>
          <w:sz w:val="19"/>
          <w:szCs w:val="19"/>
        </w:rPr>
        <w:t xml:space="preserve">  </w:t>
      </w:r>
      <w:r>
        <w:rPr>
          <w:sz w:val="19"/>
          <w:szCs w:val="19"/>
          <w:spacing w:val="16"/>
        </w:rPr>
        <w:t>and</w:t>
      </w:r>
      <w:r>
        <w:rPr>
          <w:sz w:val="19"/>
          <w:szCs w:val="19"/>
          <w:spacing w:val="29"/>
          <w:w w:val="101"/>
        </w:rPr>
        <w:t xml:space="preserve"> </w:t>
      </w:r>
      <w:r>
        <w:rPr>
          <w:sz w:val="19"/>
          <w:szCs w:val="19"/>
          <w:spacing w:val="16"/>
        </w:rPr>
        <w:t>9</w:t>
      </w:r>
      <w:r>
        <w:rPr>
          <w:sz w:val="19"/>
          <w:szCs w:val="19"/>
          <w:spacing w:val="35"/>
          <w:w w:val="101"/>
        </w:rPr>
        <w:t xml:space="preserve"> </w:t>
      </w:r>
      <w:r>
        <w:rPr>
          <w:sz w:val="19"/>
          <w:szCs w:val="19"/>
          <w:spacing w:val="16"/>
        </w:rPr>
        <w:t>=</w:t>
      </w:r>
      <w:r>
        <w:rPr>
          <w:sz w:val="19"/>
          <w:szCs w:val="19"/>
          <w:spacing w:val="26"/>
          <w:w w:val="101"/>
        </w:rPr>
        <w:t xml:space="preserve"> </w:t>
      </w:r>
      <w:r>
        <w:rPr>
          <w:sz w:val="19"/>
          <w:szCs w:val="19"/>
          <w:spacing w:val="16"/>
        </w:rPr>
        <w:t>highly</w:t>
      </w:r>
      <w:r>
        <w:rPr>
          <w:sz w:val="19"/>
          <w:szCs w:val="19"/>
          <w:spacing w:val="31"/>
          <w:w w:val="101"/>
        </w:rPr>
        <w:t xml:space="preserve"> </w:t>
      </w:r>
      <w:r>
        <w:rPr>
          <w:sz w:val="19"/>
          <w:szCs w:val="19"/>
          <w:spacing w:val="16"/>
        </w:rPr>
        <w:t>appropriate).  As</w:t>
      </w:r>
      <w:r>
        <w:rPr>
          <w:sz w:val="19"/>
          <w:szCs w:val="19"/>
          <w:spacing w:val="31"/>
        </w:rPr>
        <w:t xml:space="preserve"> </w:t>
      </w:r>
      <w:r>
        <w:rPr>
          <w:sz w:val="19"/>
          <w:szCs w:val="19"/>
          <w:spacing w:val="16"/>
        </w:rPr>
        <w:t>sp</w:t>
      </w:r>
      <w:r>
        <w:rPr>
          <w:sz w:val="19"/>
          <w:szCs w:val="19"/>
          <w:spacing w:val="15"/>
        </w:rPr>
        <w:t>eciﬁed</w:t>
      </w:r>
      <w:r>
        <w:rPr>
          <w:sz w:val="19"/>
          <w:szCs w:val="19"/>
          <w:spacing w:val="29"/>
          <w:w w:val="101"/>
        </w:rPr>
        <w:t xml:space="preserve"> </w:t>
      </w:r>
      <w:r>
        <w:rPr>
          <w:sz w:val="19"/>
          <w:szCs w:val="19"/>
          <w:spacing w:val="15"/>
        </w:rPr>
        <w:t>in</w:t>
      </w:r>
      <w:r>
        <w:rPr>
          <w:sz w:val="19"/>
          <w:szCs w:val="19"/>
          <w:spacing w:val="29"/>
          <w:w w:val="101"/>
        </w:rPr>
        <w:t xml:space="preserve"> </w:t>
      </w:r>
      <w:r>
        <w:rPr>
          <w:sz w:val="19"/>
          <w:szCs w:val="19"/>
          <w:spacing w:val="15"/>
        </w:rPr>
        <w:t>the</w:t>
      </w:r>
      <w:r>
        <w:rPr>
          <w:sz w:val="19"/>
          <w:szCs w:val="19"/>
          <w:spacing w:val="29"/>
          <w:w w:val="101"/>
        </w:rPr>
        <w:t xml:space="preserve"> </w:t>
      </w:r>
      <w:r>
        <w:rPr>
          <w:sz w:val="19"/>
          <w:szCs w:val="19"/>
          <w:spacing w:val="15"/>
        </w:rPr>
        <w:t>RAND/University</w:t>
      </w:r>
      <w:r>
        <w:rPr>
          <w:sz w:val="19"/>
          <w:szCs w:val="19"/>
          <w:spacing w:val="31"/>
          <w:w w:val="101"/>
        </w:rPr>
        <w:t xml:space="preserve"> </w:t>
      </w:r>
      <w:r>
        <w:rPr>
          <w:sz w:val="19"/>
          <w:szCs w:val="19"/>
          <w:spacing w:val="15"/>
        </w:rPr>
        <w:t>of</w:t>
      </w:r>
      <w:r>
        <w:rPr>
          <w:sz w:val="19"/>
          <w:szCs w:val="19"/>
          <w:spacing w:val="28"/>
        </w:rPr>
        <w:t xml:space="preserve"> </w:t>
      </w:r>
      <w:r>
        <w:rPr>
          <w:sz w:val="19"/>
          <w:szCs w:val="19"/>
          <w:spacing w:val="15"/>
        </w:rPr>
        <w:t>California</w:t>
      </w:r>
      <w:r>
        <w:rPr>
          <w:sz w:val="19"/>
          <w:szCs w:val="19"/>
          <w:spacing w:val="29"/>
          <w:w w:val="101"/>
        </w:rPr>
        <w:t xml:space="preserve"> </w:t>
      </w:r>
      <w:r>
        <w:rPr>
          <w:sz w:val="19"/>
          <w:szCs w:val="19"/>
          <w:spacing w:val="15"/>
        </w:rPr>
        <w:t>Los</w:t>
      </w:r>
    </w:p>
    <w:p>
      <w:pPr>
        <w:spacing w:line="265" w:lineRule="auto"/>
        <w:sectPr>
          <w:headerReference w:type="default" r:id="rId26"/>
          <w:pgSz w:w="11906" w:h="16838"/>
          <w:pgMar w:top="1442" w:right="685" w:bottom="0" w:left="711" w:header="1086" w:footer="0" w:gutter="0"/>
        </w:sectPr>
        <w:rPr>
          <w:sz w:val="19"/>
          <w:szCs w:val="19"/>
        </w:rPr>
      </w:pPr>
    </w:p>
    <w:p>
      <w:pPr>
        <w:spacing w:line="452" w:lineRule="auto"/>
        <w:rPr>
          <w:rFonts w:ascii="Arial"/>
          <w:sz w:val="21"/>
        </w:rPr>
      </w:pPr>
      <w:r/>
    </w:p>
    <w:p>
      <w:pPr>
        <w:pStyle w:val="BodyText"/>
        <w:ind w:left="2619" w:right="34" w:hanging="8"/>
        <w:spacing w:before="54" w:line="268" w:lineRule="auto"/>
        <w:jc w:val="both"/>
        <w:rPr>
          <w:sz w:val="19"/>
          <w:szCs w:val="19"/>
        </w:rPr>
      </w:pPr>
      <w:r>
        <w:rPr>
          <w:sz w:val="19"/>
          <w:szCs w:val="19"/>
          <w:spacing w:val="13"/>
        </w:rPr>
        <w:t>Angeles (UCLA) manual, each statement was classiﬁed (according to the panel’s </w:t>
      </w:r>
      <w:r>
        <w:rPr>
          <w:sz w:val="19"/>
          <w:szCs w:val="19"/>
          <w:spacing w:val="12"/>
        </w:rPr>
        <w:t>median</w:t>
      </w:r>
      <w:r>
        <w:rPr>
          <w:sz w:val="19"/>
          <w:szCs w:val="19"/>
        </w:rPr>
        <w:t xml:space="preserve"> </w:t>
      </w:r>
      <w:r>
        <w:rPr>
          <w:sz w:val="19"/>
          <w:szCs w:val="19"/>
          <w:spacing w:val="14"/>
        </w:rPr>
        <w:t>rating and extent of disagreement) as inappropriate (a median score of</w:t>
      </w:r>
      <w:r>
        <w:rPr>
          <w:sz w:val="19"/>
          <w:szCs w:val="19"/>
          <w:spacing w:val="17"/>
          <w:w w:val="101"/>
        </w:rPr>
        <w:t xml:space="preserve"> </w:t>
      </w:r>
      <w:r>
        <w:rPr>
          <w:sz w:val="19"/>
          <w:szCs w:val="19"/>
          <w:spacing w:val="14"/>
        </w:rPr>
        <w:t>1 to 3.5,</w:t>
      </w:r>
      <w:r>
        <w:rPr>
          <w:sz w:val="19"/>
          <w:szCs w:val="19"/>
          <w:spacing w:val="9"/>
        </w:rPr>
        <w:t xml:space="preserve"> </w:t>
      </w:r>
      <w:r>
        <w:rPr>
          <w:sz w:val="19"/>
          <w:szCs w:val="19"/>
          <w:spacing w:val="14"/>
        </w:rPr>
        <w:t>with no</w:t>
      </w:r>
      <w:r>
        <w:rPr>
          <w:sz w:val="19"/>
          <w:szCs w:val="19"/>
        </w:rPr>
        <w:t xml:space="preserve"> </w:t>
      </w:r>
      <w:r>
        <w:rPr>
          <w:sz w:val="19"/>
          <w:szCs w:val="19"/>
          <w:spacing w:val="13"/>
        </w:rPr>
        <w:t>disagreement); uncertain (a median score of 3.5 to 6.5 with no disagreement </w:t>
      </w:r>
      <w:r>
        <w:rPr>
          <w:sz w:val="19"/>
          <w:szCs w:val="19"/>
          <w:spacing w:val="12"/>
        </w:rPr>
        <w:t>or a median</w:t>
      </w:r>
      <w:r>
        <w:rPr>
          <w:sz w:val="19"/>
          <w:szCs w:val="19"/>
        </w:rPr>
        <w:t xml:space="preserve"> </w:t>
      </w:r>
      <w:r>
        <w:rPr>
          <w:sz w:val="19"/>
          <w:szCs w:val="19"/>
          <w:spacing w:val="12"/>
        </w:rPr>
        <w:t>score of any value with disagreement); or app</w:t>
      </w:r>
      <w:r>
        <w:rPr>
          <w:sz w:val="19"/>
          <w:szCs w:val="19"/>
          <w:spacing w:val="11"/>
        </w:rPr>
        <w:t>ropriate (a median score of 6.5 to 9, with no</w:t>
      </w:r>
      <w:r>
        <w:rPr>
          <w:sz w:val="19"/>
          <w:szCs w:val="19"/>
        </w:rPr>
        <w:t xml:space="preserve"> </w:t>
      </w:r>
      <w:r>
        <w:rPr>
          <w:sz w:val="19"/>
          <w:szCs w:val="19"/>
          <w:spacing w:val="12"/>
        </w:rPr>
        <w:t>disagreement). Disag</w:t>
      </w:r>
      <w:r>
        <w:rPr>
          <w:sz w:val="19"/>
          <w:szCs w:val="19"/>
          <w:spacing w:val="11"/>
        </w:rPr>
        <w:t>reement for a given statement was deﬁned as six or more votes in the</w:t>
      </w:r>
      <w:r>
        <w:rPr>
          <w:sz w:val="19"/>
          <w:szCs w:val="19"/>
        </w:rPr>
        <w:t xml:space="preserve"> </w:t>
      </w:r>
      <w:r>
        <w:rPr>
          <w:sz w:val="19"/>
          <w:szCs w:val="19"/>
          <w:spacing w:val="10"/>
        </w:rPr>
        <w:t>lowest three–point region (i.e., 1–3) and six or more votes in the highest three–point </w:t>
      </w:r>
      <w:r>
        <w:rPr>
          <w:sz w:val="19"/>
          <w:szCs w:val="19"/>
          <w:spacing w:val="9"/>
        </w:rPr>
        <w:t>region</w:t>
      </w:r>
      <w:r>
        <w:rPr>
          <w:sz w:val="19"/>
          <w:szCs w:val="19"/>
        </w:rPr>
        <w:t xml:space="preserve"> </w:t>
      </w:r>
      <w:r>
        <w:rPr>
          <w:sz w:val="19"/>
          <w:szCs w:val="19"/>
          <w:spacing w:val="4"/>
        </w:rPr>
        <w:t>(i.e., 6–9).</w:t>
      </w:r>
    </w:p>
    <w:p>
      <w:pPr>
        <w:pStyle w:val="BodyText"/>
        <w:ind w:left="2612" w:firstLine="433"/>
        <w:spacing w:before="7" w:line="275" w:lineRule="auto"/>
        <w:jc w:val="both"/>
        <w:rPr>
          <w:sz w:val="19"/>
          <w:szCs w:val="19"/>
        </w:rPr>
      </w:pPr>
      <w:r>
        <w:rPr>
          <w:sz w:val="19"/>
          <w:szCs w:val="19"/>
          <w:spacing w:val="17"/>
        </w:rPr>
        <w:t>The</w:t>
      </w:r>
      <w:r>
        <w:rPr>
          <w:sz w:val="19"/>
          <w:szCs w:val="19"/>
          <w:spacing w:val="37"/>
        </w:rPr>
        <w:t xml:space="preserve"> </w:t>
      </w:r>
      <w:r>
        <w:rPr>
          <w:sz w:val="19"/>
          <w:szCs w:val="19"/>
          <w:spacing w:val="17"/>
        </w:rPr>
        <w:t>ﬁrst–round</w:t>
      </w:r>
      <w:r>
        <w:rPr>
          <w:sz w:val="19"/>
          <w:szCs w:val="19"/>
          <w:spacing w:val="37"/>
          <w:w w:val="101"/>
        </w:rPr>
        <w:t xml:space="preserve"> </w:t>
      </w:r>
      <w:r>
        <w:rPr>
          <w:sz w:val="19"/>
          <w:szCs w:val="19"/>
          <w:spacing w:val="17"/>
        </w:rPr>
        <w:t>survey</w:t>
      </w:r>
      <w:r>
        <w:rPr>
          <w:sz w:val="19"/>
          <w:szCs w:val="19"/>
          <w:spacing w:val="36"/>
        </w:rPr>
        <w:t xml:space="preserve"> </w:t>
      </w:r>
      <w:r>
        <w:rPr>
          <w:sz w:val="19"/>
          <w:szCs w:val="19"/>
          <w:spacing w:val="17"/>
        </w:rPr>
        <w:t>re</w:t>
      </w:r>
      <w:r>
        <w:rPr>
          <w:sz w:val="19"/>
          <w:szCs w:val="19"/>
          <w:spacing w:val="16"/>
        </w:rPr>
        <w:t>sults</w:t>
      </w:r>
      <w:r>
        <w:rPr>
          <w:sz w:val="19"/>
          <w:szCs w:val="19"/>
          <w:spacing w:val="32"/>
          <w:w w:val="102"/>
        </w:rPr>
        <w:t xml:space="preserve"> </w:t>
      </w:r>
      <w:r>
        <w:rPr>
          <w:sz w:val="19"/>
          <w:szCs w:val="19"/>
          <w:spacing w:val="16"/>
        </w:rPr>
        <w:t>were</w:t>
      </w:r>
      <w:r>
        <w:rPr>
          <w:sz w:val="19"/>
          <w:szCs w:val="19"/>
          <w:spacing w:val="35"/>
          <w:w w:val="101"/>
        </w:rPr>
        <w:t xml:space="preserve"> </w:t>
      </w:r>
      <w:r>
        <w:rPr>
          <w:sz w:val="19"/>
          <w:szCs w:val="19"/>
          <w:spacing w:val="16"/>
        </w:rPr>
        <w:t>reviewed,</w:t>
      </w:r>
      <w:r>
        <w:rPr>
          <w:sz w:val="19"/>
          <w:szCs w:val="19"/>
          <w:spacing w:val="46"/>
        </w:rPr>
        <w:t xml:space="preserve"> </w:t>
      </w:r>
      <w:r>
        <w:rPr>
          <w:sz w:val="19"/>
          <w:szCs w:val="19"/>
          <w:spacing w:val="16"/>
        </w:rPr>
        <w:t>discussed</w:t>
      </w:r>
      <w:r>
        <w:rPr>
          <w:sz w:val="19"/>
          <w:szCs w:val="19"/>
          <w:spacing w:val="38"/>
        </w:rPr>
        <w:t xml:space="preserve"> </w:t>
      </w:r>
      <w:r>
        <w:rPr>
          <w:sz w:val="19"/>
          <w:szCs w:val="19"/>
          <w:spacing w:val="16"/>
        </w:rPr>
        <w:t>and</w:t>
      </w:r>
      <w:r>
        <w:rPr>
          <w:sz w:val="19"/>
          <w:szCs w:val="19"/>
          <w:spacing w:val="38"/>
        </w:rPr>
        <w:t xml:space="preserve"> </w:t>
      </w:r>
      <w:r>
        <w:rPr>
          <w:sz w:val="19"/>
          <w:szCs w:val="19"/>
          <w:spacing w:val="16"/>
        </w:rPr>
        <w:t>amended</w:t>
      </w:r>
      <w:r>
        <w:rPr>
          <w:sz w:val="19"/>
          <w:szCs w:val="19"/>
          <w:spacing w:val="39"/>
        </w:rPr>
        <w:t xml:space="preserve"> </w:t>
      </w:r>
      <w:r>
        <w:rPr>
          <w:sz w:val="19"/>
          <w:szCs w:val="19"/>
          <w:spacing w:val="16"/>
        </w:rPr>
        <w:t>during</w:t>
      </w:r>
      <w:r>
        <w:rPr>
          <w:sz w:val="19"/>
          <w:szCs w:val="19"/>
          <w:spacing w:val="38"/>
        </w:rPr>
        <w:t xml:space="preserve"> </w:t>
      </w:r>
      <w:r>
        <w:rPr>
          <w:sz w:val="19"/>
          <w:szCs w:val="19"/>
          <w:spacing w:val="16"/>
        </w:rPr>
        <w:t>a</w:t>
      </w:r>
      <w:r>
        <w:rPr>
          <w:sz w:val="19"/>
          <w:szCs w:val="19"/>
        </w:rPr>
        <w:t xml:space="preserve">  </w:t>
      </w:r>
      <w:r>
        <w:rPr>
          <w:sz w:val="19"/>
          <w:szCs w:val="19"/>
          <w:spacing w:val="12"/>
        </w:rPr>
        <w:t>videoconference that took place on 26 September 2022. The latter included 12 physicians</w:t>
      </w:r>
      <w:r>
        <w:rPr>
          <w:sz w:val="19"/>
          <w:szCs w:val="19"/>
          <w:spacing w:val="8"/>
        </w:rPr>
        <w:t xml:space="preserve">  </w:t>
      </w:r>
      <w:r>
        <w:rPr>
          <w:sz w:val="19"/>
          <w:szCs w:val="19"/>
          <w:spacing w:val="11"/>
        </w:rPr>
        <w:t>from nine different countries (Brazil, Canada, France, Germany, Italy, </w:t>
      </w:r>
      <w:r>
        <w:rPr>
          <w:sz w:val="19"/>
          <w:szCs w:val="19"/>
          <w:spacing w:val="10"/>
        </w:rPr>
        <w:t>Japan, Portugal, the</w:t>
      </w:r>
      <w:r>
        <w:rPr>
          <w:sz w:val="19"/>
          <w:szCs w:val="19"/>
        </w:rPr>
        <w:t xml:space="preserve">  </w:t>
      </w:r>
      <w:r>
        <w:rPr>
          <w:sz w:val="19"/>
          <w:szCs w:val="19"/>
          <w:spacing w:val="14"/>
        </w:rPr>
        <w:t>United Arab Emirates and the United </w:t>
      </w:r>
      <w:r>
        <w:rPr>
          <w:sz w:val="19"/>
          <w:szCs w:val="19"/>
          <w:spacing w:val="13"/>
        </w:rPr>
        <w:t>Kingdom); all had signiﬁcant expertise in the ﬁeld</w:t>
      </w:r>
      <w:r>
        <w:rPr>
          <w:sz w:val="19"/>
          <w:szCs w:val="19"/>
        </w:rPr>
        <w:t xml:space="preserve">  </w:t>
      </w:r>
      <w:r>
        <w:rPr>
          <w:sz w:val="19"/>
          <w:szCs w:val="19"/>
          <w:spacing w:val="14"/>
        </w:rPr>
        <w:t>of</w:t>
      </w:r>
      <w:r>
        <w:rPr>
          <w:sz w:val="19"/>
          <w:szCs w:val="19"/>
          <w:spacing w:val="21"/>
          <w:w w:val="101"/>
        </w:rPr>
        <w:t xml:space="preserve"> </w:t>
      </w:r>
      <w:r>
        <w:rPr>
          <w:sz w:val="19"/>
          <w:szCs w:val="19"/>
          <w:spacing w:val="14"/>
        </w:rPr>
        <w:t>IBD.</w:t>
      </w:r>
      <w:r>
        <w:rPr>
          <w:sz w:val="19"/>
          <w:szCs w:val="19"/>
          <w:spacing w:val="23"/>
        </w:rPr>
        <w:t xml:space="preserve"> </w:t>
      </w:r>
      <w:r>
        <w:rPr>
          <w:sz w:val="19"/>
          <w:szCs w:val="19"/>
          <w:spacing w:val="14"/>
        </w:rPr>
        <w:t>The videoconference’s</w:t>
      </w:r>
      <w:r>
        <w:rPr>
          <w:sz w:val="19"/>
          <w:szCs w:val="19"/>
          <w:spacing w:val="25"/>
          <w:w w:val="102"/>
        </w:rPr>
        <w:t xml:space="preserve"> </w:t>
      </w:r>
      <w:r>
        <w:rPr>
          <w:sz w:val="19"/>
          <w:szCs w:val="19"/>
          <w:spacing w:val="14"/>
        </w:rPr>
        <w:t>objecti</w:t>
      </w:r>
      <w:r>
        <w:rPr>
          <w:sz w:val="19"/>
          <w:szCs w:val="19"/>
          <w:spacing w:val="13"/>
        </w:rPr>
        <w:t>ve was</w:t>
      </w:r>
      <w:r>
        <w:rPr>
          <w:sz w:val="19"/>
          <w:szCs w:val="19"/>
          <w:spacing w:val="23"/>
        </w:rPr>
        <w:t xml:space="preserve"> </w:t>
      </w:r>
      <w:r>
        <w:rPr>
          <w:sz w:val="19"/>
          <w:szCs w:val="19"/>
          <w:spacing w:val="13"/>
        </w:rPr>
        <w:t>to</w:t>
      </w:r>
      <w:r>
        <w:rPr>
          <w:sz w:val="19"/>
          <w:szCs w:val="19"/>
          <w:spacing w:val="23"/>
          <w:w w:val="101"/>
        </w:rPr>
        <w:t xml:space="preserve"> </w:t>
      </w:r>
      <w:r>
        <w:rPr>
          <w:sz w:val="19"/>
          <w:szCs w:val="19"/>
          <w:spacing w:val="13"/>
        </w:rPr>
        <w:t>identify</w:t>
      </w:r>
      <w:r>
        <w:rPr>
          <w:sz w:val="19"/>
          <w:szCs w:val="19"/>
          <w:spacing w:val="25"/>
          <w:w w:val="101"/>
        </w:rPr>
        <w:t xml:space="preserve"> </w:t>
      </w:r>
      <w:r>
        <w:rPr>
          <w:sz w:val="19"/>
          <w:szCs w:val="19"/>
          <w:spacing w:val="13"/>
        </w:rPr>
        <w:t>areas</w:t>
      </w:r>
      <w:r>
        <w:rPr>
          <w:sz w:val="19"/>
          <w:szCs w:val="19"/>
          <w:spacing w:val="25"/>
          <w:w w:val="101"/>
        </w:rPr>
        <w:t xml:space="preserve"> </w:t>
      </w:r>
      <w:r>
        <w:rPr>
          <w:sz w:val="19"/>
          <w:szCs w:val="19"/>
          <w:spacing w:val="13"/>
        </w:rPr>
        <w:t>of</w:t>
      </w:r>
      <w:r>
        <w:rPr>
          <w:sz w:val="19"/>
          <w:szCs w:val="19"/>
          <w:spacing w:val="24"/>
          <w:w w:val="101"/>
        </w:rPr>
        <w:t xml:space="preserve"> </w:t>
      </w:r>
      <w:r>
        <w:rPr>
          <w:sz w:val="19"/>
          <w:szCs w:val="19"/>
          <w:spacing w:val="13"/>
        </w:rPr>
        <w:t>disagreement</w:t>
      </w:r>
      <w:r>
        <w:rPr>
          <w:sz w:val="19"/>
          <w:szCs w:val="19"/>
          <w:spacing w:val="25"/>
          <w:w w:val="101"/>
        </w:rPr>
        <w:t xml:space="preserve"> </w:t>
      </w:r>
      <w:r>
        <w:rPr>
          <w:sz w:val="19"/>
          <w:szCs w:val="19"/>
          <w:spacing w:val="13"/>
        </w:rPr>
        <w:t>on</w:t>
      </w:r>
      <w:r>
        <w:rPr>
          <w:sz w:val="19"/>
          <w:szCs w:val="19"/>
          <w:spacing w:val="23"/>
          <w:w w:val="101"/>
        </w:rPr>
        <w:t xml:space="preserve"> </w:t>
      </w:r>
      <w:r>
        <w:rPr>
          <w:sz w:val="19"/>
          <w:szCs w:val="19"/>
          <w:spacing w:val="13"/>
        </w:rPr>
        <w:t>item</w:t>
      </w:r>
      <w:r>
        <w:rPr>
          <w:sz w:val="19"/>
          <w:szCs w:val="19"/>
        </w:rPr>
        <w:t xml:space="preserve">  </w:t>
      </w:r>
      <w:r>
        <w:rPr>
          <w:sz w:val="19"/>
          <w:szCs w:val="19"/>
          <w:spacing w:val="13"/>
        </w:rPr>
        <w:t>appropriateness and the rationale for answers. The survey was then revised as a function</w:t>
      </w:r>
      <w:r>
        <w:rPr>
          <w:sz w:val="19"/>
          <w:szCs w:val="19"/>
          <w:spacing w:val="3"/>
        </w:rPr>
        <w:t xml:space="preserve">  </w:t>
      </w:r>
      <w:r>
        <w:rPr>
          <w:sz w:val="19"/>
          <w:szCs w:val="19"/>
          <w:spacing w:val="12"/>
        </w:rPr>
        <w:t>of the panel’s discussions in order to clarify statements prior to a second round of voting.</w:t>
      </w:r>
      <w:r>
        <w:rPr>
          <w:sz w:val="19"/>
          <w:szCs w:val="19"/>
          <w:spacing w:val="16"/>
          <w:w w:val="101"/>
        </w:rPr>
        <w:t xml:space="preserve"> </w:t>
      </w:r>
      <w:r>
        <w:rPr>
          <w:sz w:val="19"/>
          <w:szCs w:val="19"/>
          <w:spacing w:val="12"/>
        </w:rPr>
        <w:t>This second round occurred only if no agreement was achieved during the</w:t>
      </w:r>
      <w:r>
        <w:rPr>
          <w:sz w:val="19"/>
          <w:szCs w:val="19"/>
          <w:spacing w:val="11"/>
        </w:rPr>
        <w:t xml:space="preserve"> ﬁrst round, and</w:t>
      </w:r>
      <w:r>
        <w:rPr>
          <w:sz w:val="19"/>
          <w:szCs w:val="19"/>
        </w:rPr>
        <w:t xml:space="preserve">  </w:t>
      </w:r>
      <w:r>
        <w:rPr>
          <w:sz w:val="19"/>
          <w:szCs w:val="19"/>
          <w:spacing w:val="12"/>
        </w:rPr>
        <w:t>the appropriateness of statements was scored in </w:t>
      </w:r>
      <w:r>
        <w:rPr>
          <w:sz w:val="19"/>
          <w:szCs w:val="19"/>
          <w:spacing w:val="11"/>
        </w:rPr>
        <w:t>the same way. If no agreement was found,</w:t>
      </w:r>
      <w:r>
        <w:rPr>
          <w:sz w:val="19"/>
          <w:szCs w:val="19"/>
        </w:rPr>
        <w:t xml:space="preserve"> </w:t>
      </w:r>
      <w:r>
        <w:rPr>
          <w:sz w:val="19"/>
          <w:szCs w:val="19"/>
          <w:spacing w:val="15"/>
        </w:rPr>
        <w:t>the statement in question was excluded.</w:t>
      </w:r>
      <w:r>
        <w:rPr>
          <w:sz w:val="19"/>
          <w:szCs w:val="19"/>
          <w:spacing w:val="43"/>
        </w:rPr>
        <w:t xml:space="preserve"> </w:t>
      </w:r>
      <w:r>
        <w:rPr>
          <w:sz w:val="19"/>
          <w:szCs w:val="19"/>
          <w:spacing w:val="15"/>
        </w:rPr>
        <w:t>All the experts helped to write the manuscript</w:t>
      </w:r>
      <w:r>
        <w:rPr>
          <w:sz w:val="19"/>
          <w:szCs w:val="19"/>
        </w:rPr>
        <w:t xml:space="preserve">  </w:t>
      </w:r>
      <w:r>
        <w:rPr>
          <w:sz w:val="19"/>
          <w:szCs w:val="19"/>
          <w:spacing w:val="13"/>
        </w:rPr>
        <w:t>and approved the ﬁnal version for publication.</w:t>
      </w:r>
    </w:p>
    <w:p>
      <w:pPr>
        <w:pStyle w:val="BodyText"/>
        <w:ind w:left="2620"/>
        <w:spacing w:before="205" w:line="246" w:lineRule="exact"/>
        <w:outlineLvl w:val="0"/>
        <w:rPr>
          <w:sz w:val="19"/>
          <w:szCs w:val="19"/>
        </w:rPr>
      </w:pPr>
      <w:r>
        <w:rPr>
          <w:sz w:val="19"/>
          <w:szCs w:val="19"/>
          <w:b/>
          <w:bCs/>
          <w:spacing w:val="8"/>
          <w:position w:val="1"/>
        </w:rPr>
        <w:t>3.</w:t>
      </w:r>
      <w:r>
        <w:rPr>
          <w:sz w:val="19"/>
          <w:szCs w:val="19"/>
          <w:b/>
          <w:bCs/>
          <w:spacing w:val="27"/>
          <w:w w:val="101"/>
          <w:position w:val="1"/>
        </w:rPr>
        <w:t xml:space="preserve"> </w:t>
      </w:r>
      <w:r>
        <w:rPr>
          <w:sz w:val="19"/>
          <w:szCs w:val="19"/>
          <w:b/>
          <w:bCs/>
          <w:spacing w:val="8"/>
          <w:position w:val="1"/>
        </w:rPr>
        <w:t>Results</w:t>
      </w:r>
    </w:p>
    <w:p>
      <w:pPr>
        <w:pStyle w:val="BodyText"/>
        <w:ind w:left="2620" w:right="34" w:firstLine="424"/>
        <w:spacing w:before="105" w:line="258" w:lineRule="auto"/>
        <w:jc w:val="both"/>
        <w:rPr>
          <w:sz w:val="19"/>
          <w:szCs w:val="19"/>
        </w:rPr>
      </w:pPr>
      <w:r>
        <w:rPr>
          <w:sz w:val="19"/>
          <w:szCs w:val="19"/>
          <w:spacing w:val="12"/>
        </w:rPr>
        <w:t>The results of our systematic review of the literature (39 RCTs) have be</w:t>
      </w:r>
      <w:r>
        <w:rPr>
          <w:sz w:val="19"/>
          <w:szCs w:val="19"/>
          <w:spacing w:val="11"/>
        </w:rPr>
        <w:t>en published</w:t>
      </w:r>
      <w:r>
        <w:rPr>
          <w:sz w:val="19"/>
          <w:szCs w:val="19"/>
        </w:rPr>
        <w:t xml:space="preserve"> </w:t>
      </w:r>
      <w:r>
        <w:rPr>
          <w:sz w:val="19"/>
          <w:szCs w:val="19"/>
          <w:spacing w:val="10"/>
        </w:rPr>
        <w:t>elsewhere; they emphasized the great</w:t>
      </w:r>
      <w:r>
        <w:rPr>
          <w:sz w:val="19"/>
          <w:szCs w:val="19"/>
          <w:spacing w:val="-5"/>
        </w:rPr>
        <w:t xml:space="preserve"> </w:t>
      </w:r>
      <w:r>
        <w:rPr>
          <w:sz w:val="19"/>
          <w:szCs w:val="19"/>
          <w:spacing w:val="10"/>
        </w:rPr>
        <w:t>variety of deﬁnitions </w:t>
      </w:r>
      <w:r>
        <w:rPr>
          <w:sz w:val="19"/>
          <w:szCs w:val="19"/>
          <w:spacing w:val="9"/>
        </w:rPr>
        <w:t>of</w:t>
      </w:r>
      <w:r>
        <w:rPr>
          <w:sz w:val="19"/>
          <w:szCs w:val="19"/>
          <w:spacing w:val="-5"/>
        </w:rPr>
        <w:t xml:space="preserve"> </w:t>
      </w:r>
      <w:r>
        <w:rPr>
          <w:sz w:val="19"/>
          <w:szCs w:val="19"/>
          <w:spacing w:val="9"/>
        </w:rPr>
        <w:t>mild–to–moderate</w:t>
      </w:r>
      <w:r>
        <w:rPr>
          <w:sz w:val="19"/>
          <w:szCs w:val="19"/>
          <w:spacing w:val="-3"/>
        </w:rPr>
        <w:t xml:space="preserve"> </w:t>
      </w:r>
      <w:r>
        <w:rPr>
          <w:sz w:val="19"/>
          <w:szCs w:val="19"/>
          <w:spacing w:val="9"/>
        </w:rPr>
        <w:t>UC applied</w:t>
      </w:r>
      <w:r>
        <w:rPr>
          <w:sz w:val="19"/>
          <w:szCs w:val="19"/>
        </w:rPr>
        <w:t xml:space="preserve"> </w:t>
      </w:r>
      <w:r>
        <w:rPr>
          <w:sz w:val="19"/>
          <w:szCs w:val="19"/>
          <w:spacing w:val="9"/>
        </w:rPr>
        <w:t>to the inclusion of patients in RCTs [</w:t>
      </w:r>
      <w:hyperlink w:history="true" w:anchor="bookmark8">
        <w:r>
          <w:rPr>
            <w:sz w:val="19"/>
            <w:szCs w:val="19"/>
            <w:color w:val="0875B7"/>
            <w:spacing w:val="9"/>
          </w:rPr>
          <w:t>12</w:t>
        </w:r>
      </w:hyperlink>
      <w:r>
        <w:rPr>
          <w:sz w:val="19"/>
          <w:szCs w:val="19"/>
          <w:spacing w:val="9"/>
        </w:rPr>
        <w:t>].</w:t>
      </w:r>
    </w:p>
    <w:p>
      <w:pPr>
        <w:pStyle w:val="BodyText"/>
        <w:ind w:left="2620"/>
        <w:spacing w:before="204" w:line="248" w:lineRule="exact"/>
        <w:outlineLvl w:val="1"/>
        <w:rPr>
          <w:sz w:val="19"/>
          <w:szCs w:val="19"/>
        </w:rPr>
      </w:pPr>
      <w:r>
        <w:rPr>
          <w:sz w:val="19"/>
          <w:szCs w:val="19"/>
          <w:spacing w:val="4"/>
          <w:position w:val="3"/>
        </w:rPr>
        <w:t>3.1.</w:t>
      </w:r>
      <w:r>
        <w:rPr>
          <w:sz w:val="19"/>
          <w:szCs w:val="19"/>
          <w:spacing w:val="32"/>
          <w:position w:val="3"/>
        </w:rPr>
        <w:t xml:space="preserve"> </w:t>
      </w:r>
      <w:r>
        <w:rPr>
          <w:sz w:val="19"/>
          <w:szCs w:val="19"/>
          <w:spacing w:val="4"/>
          <w:position w:val="3"/>
        </w:rPr>
        <w:t>Item Generation and the</w:t>
      </w:r>
      <w:r>
        <w:rPr>
          <w:sz w:val="19"/>
          <w:szCs w:val="19"/>
          <w:spacing w:val="11"/>
          <w:position w:val="3"/>
        </w:rPr>
        <w:t xml:space="preserve"> </w:t>
      </w:r>
      <w:r>
        <w:rPr>
          <w:sz w:val="19"/>
          <w:szCs w:val="19"/>
          <w:spacing w:val="4"/>
          <w:position w:val="3"/>
        </w:rPr>
        <w:t>Survey</w:t>
      </w:r>
    </w:p>
    <w:p>
      <w:pPr>
        <w:pStyle w:val="BodyText"/>
        <w:ind w:left="2609" w:firstLine="435"/>
        <w:spacing w:before="103" w:line="271" w:lineRule="auto"/>
        <w:jc w:val="both"/>
        <w:rPr>
          <w:sz w:val="19"/>
          <w:szCs w:val="19"/>
        </w:rPr>
      </w:pPr>
      <w:r>
        <w:rPr>
          <w:sz w:val="19"/>
          <w:szCs w:val="19"/>
          <w:spacing w:val="14"/>
        </w:rPr>
        <w:t>The previously published results of the systematic review were used to support the</w:t>
      </w:r>
      <w:r>
        <w:rPr>
          <w:sz w:val="19"/>
          <w:szCs w:val="19"/>
        </w:rPr>
        <w:t xml:space="preserve">  </w:t>
      </w:r>
      <w:r>
        <w:rPr>
          <w:sz w:val="19"/>
          <w:szCs w:val="19"/>
          <w:spacing w:val="12"/>
        </w:rPr>
        <w:t>survey statements. Items were grouped according to the followin</w:t>
      </w:r>
      <w:r>
        <w:rPr>
          <w:sz w:val="19"/>
          <w:szCs w:val="19"/>
          <w:spacing w:val="11"/>
        </w:rPr>
        <w:t>g topics: symptom–based</w:t>
      </w:r>
      <w:r>
        <w:rPr>
          <w:sz w:val="19"/>
          <w:szCs w:val="19"/>
        </w:rPr>
        <w:t xml:space="preserve">  </w:t>
      </w:r>
      <w:r>
        <w:rPr>
          <w:sz w:val="19"/>
          <w:szCs w:val="19"/>
          <w:spacing w:val="14"/>
        </w:rPr>
        <w:t>disease</w:t>
      </w:r>
      <w:r>
        <w:rPr>
          <w:sz w:val="19"/>
          <w:szCs w:val="19"/>
          <w:spacing w:val="29"/>
        </w:rPr>
        <w:t xml:space="preserve"> </w:t>
      </w:r>
      <w:r>
        <w:rPr>
          <w:sz w:val="19"/>
          <w:szCs w:val="19"/>
          <w:spacing w:val="14"/>
        </w:rPr>
        <w:t>activity</w:t>
      </w:r>
      <w:r>
        <w:rPr>
          <w:sz w:val="19"/>
          <w:szCs w:val="19"/>
          <w:spacing w:val="28"/>
        </w:rPr>
        <w:t xml:space="preserve"> </w:t>
      </w:r>
      <w:r>
        <w:rPr>
          <w:sz w:val="19"/>
          <w:szCs w:val="19"/>
          <w:spacing w:val="14"/>
        </w:rPr>
        <w:t>assessmen</w:t>
      </w:r>
      <w:r>
        <w:rPr>
          <w:sz w:val="19"/>
          <w:szCs w:val="19"/>
          <w:spacing w:val="13"/>
        </w:rPr>
        <w:t>ts,</w:t>
      </w:r>
      <w:r>
        <w:rPr>
          <w:sz w:val="19"/>
          <w:szCs w:val="19"/>
          <w:spacing w:val="32"/>
        </w:rPr>
        <w:t xml:space="preserve"> </w:t>
      </w:r>
      <w:r>
        <w:rPr>
          <w:sz w:val="19"/>
          <w:szCs w:val="19"/>
          <w:spacing w:val="13"/>
        </w:rPr>
        <w:t>endoscopy–based</w:t>
      </w:r>
      <w:r>
        <w:rPr>
          <w:sz w:val="19"/>
          <w:szCs w:val="19"/>
          <w:spacing w:val="29"/>
        </w:rPr>
        <w:t xml:space="preserve"> </w:t>
      </w:r>
      <w:r>
        <w:rPr>
          <w:sz w:val="19"/>
          <w:szCs w:val="19"/>
          <w:spacing w:val="13"/>
        </w:rPr>
        <w:t>disease</w:t>
      </w:r>
      <w:r>
        <w:rPr>
          <w:sz w:val="19"/>
          <w:szCs w:val="19"/>
          <w:spacing w:val="28"/>
        </w:rPr>
        <w:t xml:space="preserve"> </w:t>
      </w:r>
      <w:r>
        <w:rPr>
          <w:sz w:val="19"/>
          <w:szCs w:val="19"/>
          <w:spacing w:val="13"/>
        </w:rPr>
        <w:t>activity</w:t>
      </w:r>
      <w:r>
        <w:rPr>
          <w:sz w:val="19"/>
          <w:szCs w:val="19"/>
          <w:spacing w:val="28"/>
        </w:rPr>
        <w:t xml:space="preserve"> </w:t>
      </w:r>
      <w:r>
        <w:rPr>
          <w:sz w:val="19"/>
          <w:szCs w:val="19"/>
          <w:spacing w:val="13"/>
        </w:rPr>
        <w:t>assessments,</w:t>
      </w:r>
      <w:r>
        <w:rPr>
          <w:sz w:val="19"/>
          <w:szCs w:val="19"/>
          <w:spacing w:val="28"/>
        </w:rPr>
        <w:t xml:space="preserve"> </w:t>
      </w:r>
      <w:r>
        <w:rPr>
          <w:sz w:val="19"/>
          <w:szCs w:val="19"/>
          <w:spacing w:val="13"/>
        </w:rPr>
        <w:t>histology–</w:t>
      </w:r>
      <w:r>
        <w:rPr>
          <w:sz w:val="19"/>
          <w:szCs w:val="19"/>
        </w:rPr>
        <w:t xml:space="preserve"> </w:t>
      </w:r>
      <w:r>
        <w:rPr>
          <w:sz w:val="19"/>
          <w:szCs w:val="19"/>
          <w:spacing w:val="14"/>
        </w:rPr>
        <w:t>based disease activity assessments, biomarker–based disea</w:t>
      </w:r>
      <w:r>
        <w:rPr>
          <w:sz w:val="19"/>
          <w:szCs w:val="19"/>
          <w:spacing w:val="13"/>
        </w:rPr>
        <w:t>se activity</w:t>
      </w:r>
      <w:r>
        <w:rPr>
          <w:sz w:val="19"/>
          <w:szCs w:val="19"/>
          <w:spacing w:val="17"/>
          <w:w w:val="101"/>
        </w:rPr>
        <w:t xml:space="preserve"> </w:t>
      </w:r>
      <w:r>
        <w:rPr>
          <w:sz w:val="19"/>
          <w:szCs w:val="19"/>
          <w:spacing w:val="13"/>
        </w:rPr>
        <w:t>assessments,</w:t>
      </w:r>
      <w:r>
        <w:rPr>
          <w:sz w:val="19"/>
          <w:szCs w:val="19"/>
          <w:spacing w:val="18"/>
          <w:w w:val="101"/>
        </w:rPr>
        <w:t xml:space="preserve"> </w:t>
      </w:r>
      <w:r>
        <w:rPr>
          <w:sz w:val="19"/>
          <w:szCs w:val="19"/>
          <w:spacing w:val="13"/>
        </w:rPr>
        <w:t>com–</w:t>
      </w:r>
      <w:r>
        <w:rPr>
          <w:sz w:val="19"/>
          <w:szCs w:val="19"/>
        </w:rPr>
        <w:t xml:space="preserve"> </w:t>
      </w:r>
      <w:r>
        <w:rPr>
          <w:sz w:val="19"/>
          <w:szCs w:val="19"/>
          <w:spacing w:val="11"/>
        </w:rPr>
        <w:t>posite disease activity scales</w:t>
      </w:r>
      <w:r>
        <w:rPr>
          <w:sz w:val="19"/>
          <w:szCs w:val="19"/>
          <w:spacing w:val="10"/>
        </w:rPr>
        <w:t>, societal guideline–based deﬁnitions of mild–to–moderate UC</w:t>
      </w:r>
      <w:r>
        <w:rPr>
          <w:sz w:val="19"/>
          <w:szCs w:val="19"/>
        </w:rPr>
        <w:t xml:space="preserve">  </w:t>
      </w:r>
      <w:r>
        <w:rPr>
          <w:sz w:val="19"/>
          <w:szCs w:val="19"/>
          <w:spacing w:val="13"/>
        </w:rPr>
        <w:t>and quality of life/disability–based deﬁnitions of mild–to–moderate UC. The ﬁrst survey</w:t>
      </w:r>
      <w:r>
        <w:rPr>
          <w:sz w:val="19"/>
          <w:szCs w:val="19"/>
          <w:spacing w:val="1"/>
        </w:rPr>
        <w:t xml:space="preserve"> </w:t>
      </w:r>
      <w:r>
        <w:rPr>
          <w:sz w:val="19"/>
          <w:szCs w:val="19"/>
          <w:spacing w:val="12"/>
        </w:rPr>
        <w:t>consisted of 49 items. The v</w:t>
      </w:r>
      <w:r>
        <w:rPr>
          <w:sz w:val="19"/>
          <w:szCs w:val="19"/>
          <w:spacing w:val="11"/>
        </w:rPr>
        <w:t>irtual panel for the ﬁnal survey comprised 12 voting members.</w:t>
      </w:r>
      <w:r>
        <w:rPr>
          <w:sz w:val="19"/>
          <w:szCs w:val="19"/>
        </w:rPr>
        <w:t xml:space="preserve"> </w:t>
      </w:r>
      <w:r>
        <w:rPr>
          <w:sz w:val="19"/>
          <w:szCs w:val="19"/>
          <w:spacing w:val="13"/>
        </w:rPr>
        <w:t>Overall,</w:t>
      </w:r>
      <w:r>
        <w:rPr>
          <w:sz w:val="19"/>
          <w:szCs w:val="19"/>
          <w:spacing w:val="45"/>
        </w:rPr>
        <w:t xml:space="preserve"> </w:t>
      </w:r>
      <w:r>
        <w:rPr>
          <w:sz w:val="19"/>
          <w:szCs w:val="19"/>
          <w:spacing w:val="13"/>
        </w:rPr>
        <w:t>29</w:t>
      </w:r>
      <w:r>
        <w:rPr>
          <w:sz w:val="19"/>
          <w:szCs w:val="19"/>
          <w:spacing w:val="31"/>
          <w:w w:val="101"/>
        </w:rPr>
        <w:t xml:space="preserve"> </w:t>
      </w:r>
      <w:r>
        <w:rPr>
          <w:sz w:val="19"/>
          <w:szCs w:val="19"/>
          <w:spacing w:val="13"/>
        </w:rPr>
        <w:t>(59.2%)</w:t>
      </w:r>
      <w:r>
        <w:rPr>
          <w:sz w:val="19"/>
          <w:szCs w:val="19"/>
          <w:spacing w:val="24"/>
        </w:rPr>
        <w:t xml:space="preserve"> </w:t>
      </w:r>
      <w:r>
        <w:rPr>
          <w:sz w:val="19"/>
          <w:szCs w:val="19"/>
          <w:spacing w:val="13"/>
        </w:rPr>
        <w:t>items were</w:t>
      </w:r>
      <w:r>
        <w:rPr>
          <w:sz w:val="19"/>
          <w:szCs w:val="19"/>
          <w:spacing w:val="25"/>
        </w:rPr>
        <w:t xml:space="preserve"> </w:t>
      </w:r>
      <w:r>
        <w:rPr>
          <w:sz w:val="19"/>
          <w:szCs w:val="19"/>
          <w:spacing w:val="13"/>
        </w:rPr>
        <w:t>considered</w:t>
      </w:r>
      <w:r>
        <w:rPr>
          <w:sz w:val="19"/>
          <w:szCs w:val="19"/>
          <w:spacing w:val="24"/>
        </w:rPr>
        <w:t xml:space="preserve"> </w:t>
      </w:r>
      <w:r>
        <w:rPr>
          <w:sz w:val="19"/>
          <w:szCs w:val="19"/>
          <w:spacing w:val="13"/>
        </w:rPr>
        <w:t>to be</w:t>
      </w:r>
      <w:r>
        <w:rPr>
          <w:sz w:val="19"/>
          <w:szCs w:val="19"/>
          <w:spacing w:val="26"/>
        </w:rPr>
        <w:t xml:space="preserve"> </w:t>
      </w:r>
      <w:r>
        <w:rPr>
          <w:sz w:val="19"/>
          <w:szCs w:val="19"/>
          <w:spacing w:val="13"/>
        </w:rPr>
        <w:t>appropriate.  Three</w:t>
      </w:r>
      <w:r>
        <w:rPr>
          <w:sz w:val="19"/>
          <w:szCs w:val="19"/>
          <w:spacing w:val="31"/>
          <w:w w:val="101"/>
        </w:rPr>
        <w:t xml:space="preserve"> </w:t>
      </w:r>
      <w:r>
        <w:rPr>
          <w:sz w:val="19"/>
          <w:szCs w:val="19"/>
          <w:spacing w:val="13"/>
        </w:rPr>
        <w:t>(6.1%)</w:t>
      </w:r>
      <w:r>
        <w:rPr>
          <w:sz w:val="19"/>
          <w:szCs w:val="19"/>
          <w:spacing w:val="24"/>
        </w:rPr>
        <w:t xml:space="preserve"> </w:t>
      </w:r>
      <w:r>
        <w:rPr>
          <w:sz w:val="19"/>
          <w:szCs w:val="19"/>
          <w:spacing w:val="13"/>
        </w:rPr>
        <w:t>items were</w:t>
      </w:r>
      <w:r>
        <w:rPr>
          <w:sz w:val="19"/>
          <w:szCs w:val="19"/>
        </w:rPr>
        <w:t xml:space="preserve">  </w:t>
      </w:r>
      <w:r>
        <w:rPr>
          <w:sz w:val="19"/>
          <w:szCs w:val="19"/>
          <w:spacing w:val="16"/>
        </w:rPr>
        <w:t>discussed, voted on and approved after the second round of voting.</w:t>
      </w:r>
      <w:r>
        <w:rPr>
          <w:sz w:val="19"/>
          <w:szCs w:val="19"/>
          <w:spacing w:val="36"/>
        </w:rPr>
        <w:t xml:space="preserve"> </w:t>
      </w:r>
      <w:r>
        <w:rPr>
          <w:sz w:val="19"/>
          <w:szCs w:val="19"/>
          <w:spacing w:val="15"/>
        </w:rPr>
        <w:t>The statements on</w:t>
      </w:r>
      <w:r>
        <w:rPr>
          <w:sz w:val="19"/>
          <w:szCs w:val="19"/>
        </w:rPr>
        <w:t xml:space="preserve">  </w:t>
      </w:r>
      <w:r>
        <w:rPr>
          <w:sz w:val="19"/>
          <w:szCs w:val="19"/>
          <w:spacing w:val="15"/>
        </w:rPr>
        <w:t>which the experts agreed are summarized in Tab</w:t>
      </w:r>
      <w:r>
        <w:rPr>
          <w:sz w:val="19"/>
          <w:szCs w:val="19"/>
          <w:spacing w:val="14"/>
        </w:rPr>
        <w:t>le</w:t>
      </w:r>
      <w:r>
        <w:rPr>
          <w:sz w:val="19"/>
          <w:szCs w:val="19"/>
          <w:spacing w:val="-16"/>
        </w:rPr>
        <w:t xml:space="preserve"> </w:t>
      </w:r>
      <w:hyperlink w:history="true" w:anchor="bookmark10">
        <w:r>
          <w:rPr>
            <w:sz w:val="19"/>
            <w:szCs w:val="19"/>
            <w:color w:val="0875B7"/>
            <w:spacing w:val="14"/>
          </w:rPr>
          <w:t>1</w:t>
        </w:r>
      </w:hyperlink>
      <w:r>
        <w:rPr>
          <w:sz w:val="19"/>
          <w:szCs w:val="19"/>
          <w:spacing w:val="14"/>
        </w:rPr>
        <w:t>. Statements that were excluded are</w:t>
      </w:r>
      <w:r>
        <w:rPr>
          <w:sz w:val="19"/>
          <w:szCs w:val="19"/>
        </w:rPr>
        <w:t xml:space="preserve">  </w:t>
      </w:r>
      <w:bookmarkStart w:name="bookmark10" w:id="1"/>
      <w:bookmarkEnd w:id="1"/>
      <w:r>
        <w:rPr>
          <w:sz w:val="19"/>
          <w:szCs w:val="19"/>
          <w:spacing w:val="13"/>
        </w:rPr>
        <w:t>shown in Supplementary d</w:t>
      </w:r>
      <w:r>
        <w:rPr>
          <w:sz w:val="19"/>
          <w:szCs w:val="19"/>
          <w:spacing w:val="12"/>
        </w:rPr>
        <w:t>ata Table S1.</w:t>
      </w:r>
    </w:p>
    <w:p>
      <w:pPr>
        <w:pStyle w:val="BodyText"/>
        <w:ind w:left="2620" w:right="34" w:hanging="7"/>
        <w:spacing w:before="269" w:line="314" w:lineRule="auto"/>
        <w:rPr/>
      </w:pPr>
      <w:r>
        <w:rPr>
          <w:b/>
          <w:bCs/>
          <w:spacing w:val="12"/>
        </w:rPr>
        <w:t>Table 1. </w:t>
      </w:r>
      <w:r>
        <w:rPr>
          <w:spacing w:val="12"/>
        </w:rPr>
        <w:t>Approved statements for deﬁnition of mild–to</w:t>
      </w:r>
      <w:r>
        <w:rPr>
          <w:spacing w:val="11"/>
        </w:rPr>
        <w:t>–moderate ulcerative colitis for inclusion in</w:t>
      </w:r>
      <w:r>
        <w:rPr/>
        <w:t xml:space="preserve"> </w:t>
      </w:r>
      <w:r>
        <w:rPr>
          <w:spacing w:val="7"/>
        </w:rPr>
        <w:t>clinical trials.</w:t>
      </w:r>
    </w:p>
    <w:p>
      <w:pPr>
        <w:spacing w:line="151" w:lineRule="exact"/>
        <w:rPr/>
      </w:pPr>
      <w:r/>
    </w:p>
    <w:tbl>
      <w:tblPr>
        <w:tblStyle w:val="TableNormal"/>
        <w:tblW w:w="10465" w:type="dxa"/>
        <w:tblInd w:w="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908"/>
        <w:gridCol w:w="2557"/>
      </w:tblGrid>
      <w:tr>
        <w:trPr>
          <w:trHeight w:val="311" w:hRule="atLeast"/>
        </w:trPr>
        <w:tc>
          <w:tcPr>
            <w:tcW w:w="7908" w:type="dxa"/>
            <w:vAlign w:val="top"/>
            <w:tcBorders>
              <w:bottom w:val="single" w:color="000000" w:sz="2" w:space="0"/>
              <w:top w:val="single" w:color="000000" w:sz="6" w:space="0"/>
            </w:tcBorders>
          </w:tcPr>
          <w:p>
            <w:pPr>
              <w:pStyle w:val="TableText"/>
              <w:ind w:left="126"/>
              <w:spacing w:before="80" w:line="216" w:lineRule="auto"/>
              <w:rPr/>
            </w:pPr>
            <w:r>
              <w:rPr>
                <w:b/>
                <w:bCs/>
                <w:spacing w:val="9"/>
              </w:rPr>
              <w:t>Proposed Statements</w:t>
            </w:r>
          </w:p>
        </w:tc>
        <w:tc>
          <w:tcPr>
            <w:tcW w:w="2557" w:type="dxa"/>
            <w:vAlign w:val="top"/>
            <w:tcBorders>
              <w:bottom w:val="single" w:color="000000" w:sz="2" w:space="0"/>
              <w:top w:val="single" w:color="000000" w:sz="6" w:space="0"/>
            </w:tcBorders>
          </w:tcPr>
          <w:p>
            <w:pPr>
              <w:pStyle w:val="TableText"/>
              <w:ind w:left="354"/>
              <w:spacing w:before="80" w:line="204" w:lineRule="auto"/>
              <w:rPr/>
            </w:pPr>
            <w:r>
              <w:rPr>
                <w:b/>
                <w:bCs/>
                <w:spacing w:val="9"/>
              </w:rPr>
              <w:t>Median Panel Score</w:t>
            </w:r>
          </w:p>
        </w:tc>
      </w:tr>
      <w:tr>
        <w:trPr>
          <w:trHeight w:val="308" w:hRule="atLeast"/>
        </w:trPr>
        <w:tc>
          <w:tcPr>
            <w:tcW w:w="7908" w:type="dxa"/>
            <w:vAlign w:val="top"/>
            <w:tcBorders>
              <w:bottom w:val="single" w:color="000000" w:sz="2" w:space="0"/>
              <w:top w:val="single" w:color="000000" w:sz="2" w:space="0"/>
            </w:tcBorders>
          </w:tcPr>
          <w:p>
            <w:pPr>
              <w:pStyle w:val="TableText"/>
              <w:ind w:left="123"/>
              <w:spacing w:before="40" w:line="220" w:lineRule="exact"/>
              <w:rPr/>
            </w:pPr>
            <w:r>
              <w:rPr>
                <w:spacing w:val="12"/>
                <w:position w:val="3"/>
              </w:rPr>
              <w:t>Symptom measurements are importa</w:t>
            </w:r>
            <w:r>
              <w:rPr>
                <w:spacing w:val="11"/>
                <w:position w:val="3"/>
              </w:rPr>
              <w:t>nt to deﬁne mild–to–moderate ulcerative colitis.</w:t>
            </w:r>
          </w:p>
        </w:tc>
        <w:tc>
          <w:tcPr>
            <w:tcW w:w="2557" w:type="dxa"/>
            <w:vAlign w:val="top"/>
            <w:tcBorders>
              <w:bottom w:val="single" w:color="000000" w:sz="2" w:space="0"/>
              <w:top w:val="single" w:color="000000" w:sz="2" w:space="0"/>
            </w:tcBorders>
          </w:tcPr>
          <w:p>
            <w:pPr>
              <w:pStyle w:val="TableText"/>
              <w:ind w:left="1125"/>
              <w:spacing w:before="40" w:line="220" w:lineRule="exact"/>
              <w:rPr/>
            </w:pPr>
            <w:r>
              <w:rPr>
                <w:position w:val="1"/>
              </w:rPr>
              <w:t>8</w:t>
            </w:r>
          </w:p>
        </w:tc>
      </w:tr>
      <w:tr>
        <w:trPr>
          <w:trHeight w:val="527" w:hRule="atLeast"/>
        </w:trPr>
        <w:tc>
          <w:tcPr>
            <w:tcW w:w="7908" w:type="dxa"/>
            <w:vAlign w:val="top"/>
            <w:tcBorders>
              <w:bottom w:val="single" w:color="000000" w:sz="2" w:space="0"/>
              <w:top w:val="single" w:color="000000" w:sz="2" w:space="0"/>
            </w:tcBorders>
          </w:tcPr>
          <w:p>
            <w:pPr>
              <w:pStyle w:val="TableText"/>
              <w:ind w:left="123" w:right="348" w:hanging="1"/>
              <w:spacing w:before="41" w:line="270" w:lineRule="auto"/>
              <w:rPr/>
            </w:pPr>
            <w:r>
              <w:rPr>
                <w:spacing w:val="11"/>
              </w:rPr>
              <w:t>The symptom–based it</w:t>
            </w:r>
            <w:r>
              <w:rPr>
                <w:spacing w:val="10"/>
              </w:rPr>
              <w:t>ems of the UCDAI should be used to assess mild–to–moderate ulcerative</w:t>
            </w:r>
            <w:r>
              <w:rPr/>
              <w:t xml:space="preserve"> </w:t>
            </w:r>
            <w:r>
              <w:rPr>
                <w:spacing w:val="9"/>
              </w:rPr>
              <w:t>colitis disease activity</w:t>
            </w:r>
          </w:p>
        </w:tc>
        <w:tc>
          <w:tcPr>
            <w:tcW w:w="2557" w:type="dxa"/>
            <w:vAlign w:val="top"/>
            <w:tcBorders>
              <w:bottom w:val="single" w:color="000000" w:sz="2" w:space="0"/>
              <w:top w:val="single" w:color="000000" w:sz="2" w:space="0"/>
            </w:tcBorders>
          </w:tcPr>
          <w:p>
            <w:pPr>
              <w:pStyle w:val="TableText"/>
              <w:ind w:left="1128"/>
              <w:spacing w:before="152" w:line="219" w:lineRule="exact"/>
              <w:rPr/>
            </w:pPr>
            <w:r>
              <w:rPr>
                <w:position w:val="1"/>
              </w:rPr>
              <w:t>7</w:t>
            </w:r>
          </w:p>
        </w:tc>
      </w:tr>
      <w:tr>
        <w:trPr>
          <w:trHeight w:val="527" w:hRule="atLeast"/>
        </w:trPr>
        <w:tc>
          <w:tcPr>
            <w:tcW w:w="7908" w:type="dxa"/>
            <w:vAlign w:val="top"/>
            <w:tcBorders>
              <w:bottom w:val="single" w:color="000000" w:sz="2" w:space="0"/>
              <w:top w:val="single" w:color="000000" w:sz="2" w:space="0"/>
            </w:tcBorders>
          </w:tcPr>
          <w:p>
            <w:pPr>
              <w:pStyle w:val="TableText"/>
              <w:ind w:left="123" w:right="507" w:hanging="1"/>
              <w:spacing w:before="44" w:line="270" w:lineRule="auto"/>
              <w:rPr/>
            </w:pPr>
            <w:r>
              <w:rPr>
                <w:spacing w:val="11"/>
              </w:rPr>
              <w:t>The symptom–based items of the MCS should be used to assess m</w:t>
            </w:r>
            <w:r>
              <w:rPr>
                <w:spacing w:val="10"/>
              </w:rPr>
              <w:t>ild–to–moderate ulcerative</w:t>
            </w:r>
            <w:r>
              <w:rPr/>
              <w:t xml:space="preserve"> </w:t>
            </w:r>
            <w:r>
              <w:rPr>
                <w:spacing w:val="8"/>
              </w:rPr>
              <w:t>colitis disease activity.</w:t>
            </w:r>
          </w:p>
        </w:tc>
        <w:tc>
          <w:tcPr>
            <w:tcW w:w="2557" w:type="dxa"/>
            <w:vAlign w:val="top"/>
            <w:tcBorders>
              <w:bottom w:val="single" w:color="000000" w:sz="2" w:space="0"/>
              <w:top w:val="single" w:color="000000" w:sz="2" w:space="0"/>
            </w:tcBorders>
          </w:tcPr>
          <w:p>
            <w:pPr>
              <w:pStyle w:val="TableText"/>
              <w:ind w:left="1125"/>
              <w:spacing w:before="154" w:line="220" w:lineRule="exact"/>
              <w:rPr/>
            </w:pPr>
            <w:r>
              <w:rPr>
                <w:position w:val="1"/>
              </w:rPr>
              <w:t>8</w:t>
            </w:r>
          </w:p>
        </w:tc>
      </w:tr>
      <w:tr>
        <w:trPr>
          <w:trHeight w:val="308" w:hRule="atLeast"/>
        </w:trPr>
        <w:tc>
          <w:tcPr>
            <w:tcW w:w="7908" w:type="dxa"/>
            <w:vAlign w:val="top"/>
            <w:tcBorders>
              <w:bottom w:val="single" w:color="000000" w:sz="2" w:space="0"/>
              <w:top w:val="single" w:color="000000" w:sz="2" w:space="0"/>
            </w:tcBorders>
          </w:tcPr>
          <w:p>
            <w:pPr>
              <w:pStyle w:val="TableText"/>
              <w:ind w:left="123"/>
              <w:spacing w:before="47" w:line="220" w:lineRule="exact"/>
              <w:rPr/>
            </w:pPr>
            <w:r>
              <w:rPr>
                <w:spacing w:val="10"/>
                <w:position w:val="3"/>
              </w:rPr>
              <w:t>Stool frequency should be used to assess mild–to–moderate ulcerative colitis disease activity.</w:t>
            </w:r>
          </w:p>
        </w:tc>
        <w:tc>
          <w:tcPr>
            <w:tcW w:w="2557" w:type="dxa"/>
            <w:vAlign w:val="top"/>
            <w:tcBorders>
              <w:bottom w:val="single" w:color="000000" w:sz="2" w:space="0"/>
              <w:top w:val="single" w:color="000000" w:sz="2" w:space="0"/>
            </w:tcBorders>
          </w:tcPr>
          <w:p>
            <w:pPr>
              <w:pStyle w:val="TableText"/>
              <w:ind w:left="1125"/>
              <w:spacing w:before="47" w:line="220" w:lineRule="exact"/>
              <w:rPr/>
            </w:pPr>
            <w:r>
              <w:rPr>
                <w:position w:val="1"/>
              </w:rPr>
              <w:t>8</w:t>
            </w:r>
          </w:p>
        </w:tc>
      </w:tr>
      <w:tr>
        <w:trPr>
          <w:trHeight w:val="527" w:hRule="atLeast"/>
        </w:trPr>
        <w:tc>
          <w:tcPr>
            <w:tcW w:w="7908" w:type="dxa"/>
            <w:vAlign w:val="top"/>
            <w:tcBorders>
              <w:bottom w:val="single" w:color="000000" w:sz="2" w:space="0"/>
              <w:top w:val="single" w:color="000000" w:sz="2" w:space="0"/>
            </w:tcBorders>
          </w:tcPr>
          <w:p>
            <w:pPr>
              <w:pStyle w:val="TableText"/>
              <w:ind w:left="125" w:right="417" w:hanging="3"/>
              <w:spacing w:before="48" w:line="270" w:lineRule="auto"/>
              <w:rPr/>
            </w:pPr>
            <w:r>
              <w:rPr>
                <w:spacing w:val="10"/>
              </w:rPr>
              <w:t>MCS stool frequency score of 2 is appropriate for deﬁning mild–to–moderate ulcerative coli</w:t>
            </w:r>
            <w:r>
              <w:rPr>
                <w:spacing w:val="9"/>
              </w:rPr>
              <w:t>tis</w:t>
            </w:r>
            <w:r>
              <w:rPr/>
              <w:t xml:space="preserve"> </w:t>
            </w:r>
            <w:r>
              <w:rPr>
                <w:spacing w:val="10"/>
              </w:rPr>
              <w:t>disease activity</w:t>
            </w:r>
          </w:p>
        </w:tc>
        <w:tc>
          <w:tcPr>
            <w:tcW w:w="2557" w:type="dxa"/>
            <w:vAlign w:val="top"/>
            <w:tcBorders>
              <w:bottom w:val="single" w:color="000000" w:sz="2" w:space="0"/>
              <w:top w:val="single" w:color="000000" w:sz="2" w:space="0"/>
            </w:tcBorders>
          </w:tcPr>
          <w:p>
            <w:pPr>
              <w:pStyle w:val="TableText"/>
              <w:ind w:left="1128"/>
              <w:spacing w:before="158" w:line="220" w:lineRule="exact"/>
              <w:rPr/>
            </w:pPr>
            <w:r>
              <w:rPr>
                <w:position w:val="1"/>
              </w:rPr>
              <w:t>7</w:t>
            </w:r>
          </w:p>
        </w:tc>
      </w:tr>
      <w:tr>
        <w:trPr>
          <w:trHeight w:val="321" w:hRule="atLeast"/>
        </w:trPr>
        <w:tc>
          <w:tcPr>
            <w:tcW w:w="7908" w:type="dxa"/>
            <w:vAlign w:val="top"/>
            <w:tcBorders>
              <w:top w:val="single" w:color="000000" w:sz="2" w:space="0"/>
              <w:bottom w:val="single" w:color="000000" w:sz="6" w:space="0"/>
            </w:tcBorders>
          </w:tcPr>
          <w:p>
            <w:pPr>
              <w:pStyle w:val="TableText"/>
              <w:ind w:left="123"/>
              <w:spacing w:before="51" w:line="220" w:lineRule="exact"/>
              <w:rPr/>
            </w:pPr>
            <w:r>
              <w:rPr>
                <w:spacing w:val="10"/>
                <w:position w:val="3"/>
              </w:rPr>
              <w:t>Rectal bleeding should be used to assess mild–to–moderate ulcerative colitis disease activity.</w:t>
            </w:r>
          </w:p>
        </w:tc>
        <w:tc>
          <w:tcPr>
            <w:tcW w:w="2557" w:type="dxa"/>
            <w:vAlign w:val="top"/>
            <w:tcBorders>
              <w:top w:val="single" w:color="000000" w:sz="2" w:space="0"/>
              <w:bottom w:val="single" w:color="000000" w:sz="6" w:space="0"/>
            </w:tcBorders>
          </w:tcPr>
          <w:p>
            <w:pPr>
              <w:pStyle w:val="TableText"/>
              <w:ind w:left="1125"/>
              <w:spacing w:before="51" w:line="220" w:lineRule="exact"/>
              <w:rPr/>
            </w:pPr>
            <w:r>
              <w:rPr>
                <w:position w:val="1"/>
              </w:rPr>
              <w:t>8</w:t>
            </w:r>
          </w:p>
        </w:tc>
      </w:tr>
    </w:tbl>
    <w:p>
      <w:pPr>
        <w:rPr>
          <w:rFonts w:ascii="Arial"/>
          <w:sz w:val="21"/>
        </w:rPr>
      </w:pPr>
      <w:r/>
    </w:p>
    <w:p>
      <w:pPr>
        <w:sectPr>
          <w:headerReference w:type="default" r:id="rId28"/>
          <w:pgSz w:w="11906" w:h="16838"/>
          <w:pgMar w:top="1442" w:right="685" w:bottom="0" w:left="711" w:header="1086" w:footer="0" w:gutter="0"/>
        </w:sectPr>
        <w:rPr>
          <w:rFonts w:ascii="Arial" w:hAnsi="Arial" w:eastAsia="Arial" w:cs="Arial"/>
          <w:sz w:val="21"/>
          <w:szCs w:val="21"/>
        </w:rPr>
      </w:pPr>
    </w:p>
    <w:p>
      <w:pPr>
        <w:spacing w:line="453" w:lineRule="auto"/>
        <w:rPr>
          <w:rFonts w:ascii="Arial"/>
          <w:sz w:val="21"/>
        </w:rPr>
      </w:pPr>
      <w:r/>
    </w:p>
    <w:p>
      <w:pPr>
        <w:pStyle w:val="BodyText"/>
        <w:ind w:left="2613"/>
        <w:spacing w:before="49" w:line="204" w:lineRule="auto"/>
        <w:rPr/>
      </w:pPr>
      <w:r>
        <w:rPr>
          <w:b/>
          <w:bCs/>
        </w:rPr>
        <w:t>Table</w:t>
      </w:r>
      <w:r>
        <w:rPr>
          <w:b/>
          <w:bCs/>
          <w:spacing w:val="15"/>
        </w:rPr>
        <w:t xml:space="preserve"> 1.</w:t>
      </w:r>
      <w:r>
        <w:rPr>
          <w:b/>
          <w:bCs/>
          <w:spacing w:val="21"/>
        </w:rPr>
        <w:t xml:space="preserve"> </w:t>
      </w:r>
      <w:r>
        <w:rPr/>
        <w:t>Cont</w:t>
      </w:r>
      <w:r>
        <w:rPr>
          <w:spacing w:val="15"/>
        </w:rPr>
        <w:t>.</w:t>
      </w:r>
    </w:p>
    <w:p>
      <w:pPr>
        <w:spacing w:line="199" w:lineRule="exact"/>
        <w:rPr/>
      </w:pPr>
      <w:r/>
    </w:p>
    <w:tbl>
      <w:tblPr>
        <w:tblStyle w:val="TableNormal"/>
        <w:tblW w:w="10465" w:type="dxa"/>
        <w:tblInd w:w="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910"/>
        <w:gridCol w:w="2555"/>
      </w:tblGrid>
      <w:tr>
        <w:trPr>
          <w:trHeight w:val="313" w:hRule="atLeast"/>
        </w:trPr>
        <w:tc>
          <w:tcPr>
            <w:tcW w:w="7910" w:type="dxa"/>
            <w:vAlign w:val="top"/>
            <w:tcBorders>
              <w:bottom w:val="single" w:color="000000" w:sz="2" w:space="0"/>
              <w:top w:val="single" w:color="000000" w:sz="6" w:space="0"/>
            </w:tcBorders>
          </w:tcPr>
          <w:p>
            <w:pPr>
              <w:pStyle w:val="TableText"/>
              <w:ind w:left="126"/>
              <w:spacing w:before="80" w:line="216" w:lineRule="auto"/>
              <w:rPr/>
            </w:pPr>
            <w:r>
              <w:rPr>
                <w:b/>
                <w:bCs/>
                <w:spacing w:val="9"/>
              </w:rPr>
              <w:t>Proposed Statements</w:t>
            </w:r>
          </w:p>
        </w:tc>
        <w:tc>
          <w:tcPr>
            <w:tcW w:w="2555" w:type="dxa"/>
            <w:vAlign w:val="top"/>
            <w:tcBorders>
              <w:bottom w:val="single" w:color="000000" w:sz="2" w:space="0"/>
              <w:top w:val="single" w:color="000000" w:sz="6" w:space="0"/>
            </w:tcBorders>
          </w:tcPr>
          <w:p>
            <w:pPr>
              <w:pStyle w:val="TableText"/>
              <w:ind w:left="352"/>
              <w:spacing w:before="80" w:line="204" w:lineRule="auto"/>
              <w:rPr/>
            </w:pPr>
            <w:r>
              <w:rPr>
                <w:b/>
                <w:bCs/>
                <w:spacing w:val="9"/>
              </w:rPr>
              <w:t>Median Panel Score</w:t>
            </w:r>
          </w:p>
        </w:tc>
      </w:tr>
      <w:tr>
        <w:trPr>
          <w:trHeight w:val="529" w:hRule="atLeast"/>
        </w:trPr>
        <w:tc>
          <w:tcPr>
            <w:tcW w:w="7910" w:type="dxa"/>
            <w:vAlign w:val="top"/>
            <w:tcBorders>
              <w:bottom w:val="single" w:color="000000" w:sz="2" w:space="0"/>
              <w:top w:val="single" w:color="000000" w:sz="2" w:space="0"/>
            </w:tcBorders>
          </w:tcPr>
          <w:p>
            <w:pPr>
              <w:pStyle w:val="TableText"/>
              <w:ind w:left="125" w:right="470" w:hanging="3"/>
              <w:spacing w:before="37" w:line="270" w:lineRule="auto"/>
              <w:rPr/>
            </w:pPr>
            <w:r>
              <w:rPr>
                <w:spacing w:val="10"/>
              </w:rPr>
              <w:t>MCS rectal bleeding score of 1 is appropriate for deﬁning mild–to–moderate ulcerative </w:t>
            </w:r>
            <w:r>
              <w:rPr>
                <w:spacing w:val="9"/>
              </w:rPr>
              <w:t>colitis</w:t>
            </w:r>
            <w:r>
              <w:rPr/>
              <w:t xml:space="preserve"> </w:t>
            </w:r>
            <w:r>
              <w:rPr>
                <w:spacing w:val="9"/>
              </w:rPr>
              <w:t>disease activity.</w:t>
            </w:r>
          </w:p>
        </w:tc>
        <w:tc>
          <w:tcPr>
            <w:tcW w:w="2555" w:type="dxa"/>
            <w:vAlign w:val="top"/>
            <w:tcBorders>
              <w:bottom w:val="single" w:color="000000" w:sz="2" w:space="0"/>
              <w:top w:val="single" w:color="000000" w:sz="2" w:space="0"/>
            </w:tcBorders>
          </w:tcPr>
          <w:p>
            <w:pPr>
              <w:pStyle w:val="TableText"/>
              <w:ind w:left="1123"/>
              <w:spacing w:before="147" w:line="220" w:lineRule="exact"/>
              <w:rPr/>
            </w:pPr>
            <w:r>
              <w:rPr>
                <w:position w:val="1"/>
              </w:rPr>
              <w:t>8</w:t>
            </w:r>
          </w:p>
        </w:tc>
      </w:tr>
      <w:tr>
        <w:trPr>
          <w:trHeight w:val="528" w:hRule="atLeast"/>
        </w:trPr>
        <w:tc>
          <w:tcPr>
            <w:tcW w:w="7910" w:type="dxa"/>
            <w:vAlign w:val="top"/>
            <w:tcBorders>
              <w:bottom w:val="single" w:color="000000" w:sz="2" w:space="0"/>
              <w:top w:val="single" w:color="000000" w:sz="2" w:space="0"/>
            </w:tcBorders>
          </w:tcPr>
          <w:p>
            <w:pPr>
              <w:pStyle w:val="TableText"/>
              <w:ind w:left="125" w:right="683" w:hanging="3"/>
              <w:spacing w:before="37" w:line="270" w:lineRule="auto"/>
              <w:rPr/>
            </w:pPr>
            <w:r>
              <w:rPr>
                <w:spacing w:val="10"/>
              </w:rPr>
              <w:t>The presence of fecal urgency should be used to assess mild–to–moderate ulcerative colitis</w:t>
            </w:r>
            <w:r>
              <w:rPr>
                <w:spacing w:val="9"/>
              </w:rPr>
              <w:t xml:space="preserve"> </w:t>
            </w:r>
            <w:r>
              <w:rPr>
                <w:spacing w:val="9"/>
              </w:rPr>
              <w:t>disease activity.</w:t>
            </w:r>
          </w:p>
        </w:tc>
        <w:tc>
          <w:tcPr>
            <w:tcW w:w="2555" w:type="dxa"/>
            <w:vAlign w:val="top"/>
            <w:tcBorders>
              <w:bottom w:val="single" w:color="000000" w:sz="2" w:space="0"/>
              <w:top w:val="single" w:color="000000" w:sz="2" w:space="0"/>
            </w:tcBorders>
          </w:tcPr>
          <w:p>
            <w:pPr>
              <w:pStyle w:val="TableText"/>
              <w:ind w:left="1123"/>
              <w:spacing w:before="148" w:line="220" w:lineRule="exact"/>
              <w:rPr/>
            </w:pPr>
            <w:r>
              <w:rPr>
                <w:position w:val="1"/>
              </w:rPr>
              <w:t>8</w:t>
            </w:r>
          </w:p>
        </w:tc>
      </w:tr>
      <w:tr>
        <w:trPr>
          <w:trHeight w:val="310" w:hRule="atLeast"/>
        </w:trPr>
        <w:tc>
          <w:tcPr>
            <w:tcW w:w="7910" w:type="dxa"/>
            <w:vAlign w:val="top"/>
            <w:tcBorders>
              <w:bottom w:val="single" w:color="000000" w:sz="2" w:space="0"/>
              <w:top w:val="single" w:color="000000" w:sz="2" w:space="0"/>
            </w:tcBorders>
          </w:tcPr>
          <w:p>
            <w:pPr>
              <w:pStyle w:val="TableText"/>
              <w:ind w:left="123"/>
              <w:spacing w:before="78" w:line="222" w:lineRule="auto"/>
              <w:rPr/>
            </w:pPr>
            <w:r>
              <w:rPr>
                <w:spacing w:val="11"/>
              </w:rPr>
              <w:t>Fecal urgency should be deﬁned according to a global rating scale</w:t>
            </w:r>
          </w:p>
        </w:tc>
        <w:tc>
          <w:tcPr>
            <w:tcW w:w="2555" w:type="dxa"/>
            <w:vAlign w:val="top"/>
            <w:tcBorders>
              <w:bottom w:val="single" w:color="000000" w:sz="2" w:space="0"/>
              <w:top w:val="single" w:color="000000" w:sz="2" w:space="0"/>
            </w:tcBorders>
          </w:tcPr>
          <w:p>
            <w:pPr>
              <w:pStyle w:val="TableText"/>
              <w:ind w:left="1126"/>
              <w:spacing w:before="39" w:line="220" w:lineRule="exact"/>
              <w:rPr/>
            </w:pPr>
            <w:r>
              <w:rPr>
                <w:position w:val="1"/>
              </w:rPr>
              <w:t>7</w:t>
            </w:r>
          </w:p>
        </w:tc>
      </w:tr>
      <w:tr>
        <w:trPr>
          <w:trHeight w:val="310" w:hRule="atLeast"/>
        </w:trPr>
        <w:tc>
          <w:tcPr>
            <w:tcW w:w="7910" w:type="dxa"/>
            <w:vAlign w:val="top"/>
            <w:tcBorders>
              <w:bottom w:val="single" w:color="000000" w:sz="2" w:space="0"/>
              <w:top w:val="single" w:color="000000" w:sz="2" w:space="0"/>
            </w:tcBorders>
          </w:tcPr>
          <w:p>
            <w:pPr>
              <w:pStyle w:val="TableText"/>
              <w:ind w:left="123"/>
              <w:spacing w:before="40" w:line="220" w:lineRule="exact"/>
              <w:rPr/>
            </w:pPr>
            <w:r>
              <w:rPr>
                <w:spacing w:val="11"/>
                <w:position w:val="3"/>
              </w:rPr>
              <w:t>Endoscopic measurements are important to deﬁne mild–to–moderate ulcerative colitis.</w:t>
            </w:r>
          </w:p>
        </w:tc>
        <w:tc>
          <w:tcPr>
            <w:tcW w:w="2555" w:type="dxa"/>
            <w:vAlign w:val="top"/>
            <w:tcBorders>
              <w:bottom w:val="single" w:color="000000" w:sz="2" w:space="0"/>
              <w:top w:val="single" w:color="000000" w:sz="2" w:space="0"/>
            </w:tcBorders>
          </w:tcPr>
          <w:p>
            <w:pPr>
              <w:pStyle w:val="TableText"/>
              <w:ind w:left="1121"/>
              <w:spacing w:before="40" w:line="220" w:lineRule="exact"/>
              <w:rPr/>
            </w:pPr>
            <w:r>
              <w:rPr>
                <w:spacing w:val="1"/>
                <w:position w:val="1"/>
              </w:rPr>
              <w:t>9</w:t>
            </w:r>
          </w:p>
        </w:tc>
      </w:tr>
      <w:tr>
        <w:trPr>
          <w:trHeight w:val="529" w:hRule="atLeast"/>
        </w:trPr>
        <w:tc>
          <w:tcPr>
            <w:tcW w:w="7910" w:type="dxa"/>
            <w:vAlign w:val="top"/>
            <w:tcBorders>
              <w:bottom w:val="single" w:color="000000" w:sz="2" w:space="0"/>
              <w:top w:val="single" w:color="000000" w:sz="2" w:space="0"/>
            </w:tcBorders>
          </w:tcPr>
          <w:p>
            <w:pPr>
              <w:pStyle w:val="TableText"/>
              <w:ind w:left="123" w:right="375" w:hanging="1"/>
              <w:spacing w:before="39" w:line="270" w:lineRule="auto"/>
              <w:rPr/>
            </w:pPr>
            <w:r>
              <w:rPr>
                <w:spacing w:val="11"/>
              </w:rPr>
              <w:t>The endoscopic–based items of the</w:t>
            </w:r>
            <w:r>
              <w:rPr>
                <w:spacing w:val="10"/>
              </w:rPr>
              <w:t xml:space="preserve"> MCS should be used to assess mild–to–moderate ulcerative</w:t>
            </w:r>
            <w:r>
              <w:rPr/>
              <w:t xml:space="preserve"> </w:t>
            </w:r>
            <w:r>
              <w:rPr>
                <w:spacing w:val="8"/>
              </w:rPr>
              <w:t>colitis disease activity.</w:t>
            </w:r>
          </w:p>
        </w:tc>
        <w:tc>
          <w:tcPr>
            <w:tcW w:w="2555" w:type="dxa"/>
            <w:vAlign w:val="top"/>
            <w:tcBorders>
              <w:bottom w:val="single" w:color="000000" w:sz="2" w:space="0"/>
              <w:top w:val="single" w:color="000000" w:sz="2" w:space="0"/>
            </w:tcBorders>
          </w:tcPr>
          <w:p>
            <w:pPr>
              <w:pStyle w:val="TableText"/>
              <w:ind w:left="1123"/>
              <w:spacing w:before="150" w:line="219" w:lineRule="exact"/>
              <w:rPr/>
            </w:pPr>
            <w:r>
              <w:rPr>
                <w:position w:val="1"/>
              </w:rPr>
              <w:t>8</w:t>
            </w:r>
          </w:p>
        </w:tc>
      </w:tr>
      <w:tr>
        <w:trPr>
          <w:trHeight w:val="528" w:hRule="atLeast"/>
        </w:trPr>
        <w:tc>
          <w:tcPr>
            <w:tcW w:w="7910" w:type="dxa"/>
            <w:vAlign w:val="top"/>
            <w:tcBorders>
              <w:bottom w:val="single" w:color="000000" w:sz="2" w:space="0"/>
              <w:top w:val="single" w:color="000000" w:sz="2" w:space="0"/>
            </w:tcBorders>
          </w:tcPr>
          <w:p>
            <w:pPr>
              <w:pStyle w:val="TableText"/>
              <w:ind w:left="123" w:right="348" w:hanging="1"/>
              <w:spacing w:before="40" w:line="270" w:lineRule="auto"/>
              <w:rPr/>
            </w:pPr>
            <w:r>
              <w:rPr>
                <w:spacing w:val="9"/>
              </w:rPr>
              <w:t>The endoscopic–based items of the MMCS should be used to assess mild–to–moderate</w:t>
            </w:r>
            <w:r>
              <w:rPr>
                <w:spacing w:val="8"/>
              </w:rPr>
              <w:t xml:space="preserve"> ulcerative</w:t>
            </w:r>
            <w:r>
              <w:rPr/>
              <w:t xml:space="preserve"> </w:t>
            </w:r>
            <w:r>
              <w:rPr>
                <w:spacing w:val="8"/>
              </w:rPr>
              <w:t>colitis disease activity.</w:t>
            </w:r>
          </w:p>
        </w:tc>
        <w:tc>
          <w:tcPr>
            <w:tcW w:w="2555" w:type="dxa"/>
            <w:vAlign w:val="top"/>
            <w:tcBorders>
              <w:bottom w:val="single" w:color="000000" w:sz="2" w:space="0"/>
              <w:top w:val="single" w:color="000000" w:sz="2" w:space="0"/>
            </w:tcBorders>
          </w:tcPr>
          <w:p>
            <w:pPr>
              <w:pStyle w:val="TableText"/>
              <w:ind w:left="1126"/>
              <w:spacing w:before="150" w:line="220" w:lineRule="exact"/>
              <w:rPr/>
            </w:pPr>
            <w:r>
              <w:rPr>
                <w:position w:val="1"/>
              </w:rPr>
              <w:t>7</w:t>
            </w:r>
          </w:p>
        </w:tc>
      </w:tr>
      <w:tr>
        <w:trPr>
          <w:trHeight w:val="528" w:hRule="atLeast"/>
        </w:trPr>
        <w:tc>
          <w:tcPr>
            <w:tcW w:w="7910" w:type="dxa"/>
            <w:vAlign w:val="top"/>
            <w:tcBorders>
              <w:bottom w:val="single" w:color="000000" w:sz="2" w:space="0"/>
              <w:top w:val="single" w:color="000000" w:sz="2" w:space="0"/>
            </w:tcBorders>
          </w:tcPr>
          <w:p>
            <w:pPr>
              <w:pStyle w:val="TableText"/>
              <w:ind w:left="123" w:right="348" w:hanging="1"/>
              <w:spacing w:before="41" w:line="270" w:lineRule="auto"/>
              <w:rPr/>
            </w:pPr>
            <w:r>
              <w:rPr>
                <w:spacing w:val="9"/>
              </w:rPr>
              <w:t>The endoscopic–based items of the UCEIS should be used to assess mild–to–moderate ulcerative</w:t>
            </w:r>
            <w:r>
              <w:rPr/>
              <w:t xml:space="preserve"> </w:t>
            </w:r>
            <w:r>
              <w:rPr>
                <w:spacing w:val="8"/>
              </w:rPr>
              <w:t>colitis disease activity.</w:t>
            </w:r>
          </w:p>
        </w:tc>
        <w:tc>
          <w:tcPr>
            <w:tcW w:w="2555" w:type="dxa"/>
            <w:vAlign w:val="top"/>
            <w:tcBorders>
              <w:bottom w:val="single" w:color="000000" w:sz="2" w:space="0"/>
              <w:top w:val="single" w:color="000000" w:sz="2" w:space="0"/>
            </w:tcBorders>
          </w:tcPr>
          <w:p>
            <w:pPr>
              <w:pStyle w:val="TableText"/>
              <w:ind w:left="1126"/>
              <w:spacing w:before="151" w:line="220" w:lineRule="exact"/>
              <w:rPr/>
            </w:pPr>
            <w:r>
              <w:rPr>
                <w:position w:val="1"/>
              </w:rPr>
              <w:t>7</w:t>
            </w:r>
          </w:p>
        </w:tc>
      </w:tr>
      <w:tr>
        <w:trPr>
          <w:trHeight w:val="528" w:hRule="atLeast"/>
        </w:trPr>
        <w:tc>
          <w:tcPr>
            <w:tcW w:w="7910" w:type="dxa"/>
            <w:vAlign w:val="top"/>
            <w:tcBorders>
              <w:bottom w:val="single" w:color="000000" w:sz="2" w:space="0"/>
              <w:top w:val="single" w:color="000000" w:sz="2" w:space="0"/>
            </w:tcBorders>
          </w:tcPr>
          <w:p>
            <w:pPr>
              <w:pStyle w:val="TableText"/>
              <w:ind w:left="124" w:right="776" w:hanging="2"/>
              <w:spacing w:before="42" w:line="270" w:lineRule="auto"/>
              <w:rPr/>
            </w:pPr>
            <w:r>
              <w:rPr>
                <w:spacing w:val="11"/>
              </w:rPr>
              <w:t>Mucosal appearance should be used to assess mild–to–moderate ulcerati</w:t>
            </w:r>
            <w:r>
              <w:rPr>
                <w:spacing w:val="10"/>
              </w:rPr>
              <w:t>ve colitis disease</w:t>
            </w:r>
            <w:r>
              <w:rPr/>
              <w:t xml:space="preserve"> </w:t>
            </w:r>
            <w:r>
              <w:rPr>
                <w:spacing w:val="8"/>
              </w:rPr>
              <w:t>activity.</w:t>
            </w:r>
          </w:p>
        </w:tc>
        <w:tc>
          <w:tcPr>
            <w:tcW w:w="2555" w:type="dxa"/>
            <w:vAlign w:val="top"/>
            <w:tcBorders>
              <w:bottom w:val="single" w:color="000000" w:sz="2" w:space="0"/>
              <w:top w:val="single" w:color="000000" w:sz="2" w:space="0"/>
            </w:tcBorders>
          </w:tcPr>
          <w:p>
            <w:pPr>
              <w:pStyle w:val="TableText"/>
              <w:ind w:left="1126"/>
              <w:spacing w:before="153" w:line="220" w:lineRule="exact"/>
              <w:rPr/>
            </w:pPr>
            <w:r>
              <w:rPr>
                <w:position w:val="1"/>
              </w:rPr>
              <w:t>7</w:t>
            </w:r>
          </w:p>
        </w:tc>
      </w:tr>
      <w:tr>
        <w:trPr>
          <w:trHeight w:val="528" w:hRule="atLeast"/>
        </w:trPr>
        <w:tc>
          <w:tcPr>
            <w:tcW w:w="7910" w:type="dxa"/>
            <w:vAlign w:val="top"/>
            <w:tcBorders>
              <w:bottom w:val="single" w:color="000000" w:sz="2" w:space="0"/>
              <w:top w:val="single" w:color="000000" w:sz="2" w:space="0"/>
            </w:tcBorders>
          </w:tcPr>
          <w:p>
            <w:pPr>
              <w:pStyle w:val="TableText"/>
              <w:ind w:left="122" w:right="1074"/>
              <w:spacing w:before="83" w:line="246" w:lineRule="auto"/>
              <w:rPr/>
            </w:pPr>
            <w:r>
              <w:rPr>
                <w:spacing w:val="11"/>
              </w:rPr>
              <w:t>MES score of 1 for mucosal appearance based on the MCS is appropriate for de</w:t>
            </w:r>
            <w:r>
              <w:rPr>
                <w:spacing w:val="10"/>
              </w:rPr>
              <w:t>ﬁning</w:t>
            </w:r>
            <w:r>
              <w:rPr/>
              <w:t xml:space="preserve"> </w:t>
            </w:r>
            <w:r>
              <w:rPr>
                <w:spacing w:val="10"/>
              </w:rPr>
              <w:t>mild–to–moderate ulc</w:t>
            </w:r>
            <w:r>
              <w:rPr>
                <w:spacing w:val="9"/>
              </w:rPr>
              <w:t>erative colitis disease activity.</w:t>
            </w:r>
          </w:p>
        </w:tc>
        <w:tc>
          <w:tcPr>
            <w:tcW w:w="2555" w:type="dxa"/>
            <w:vAlign w:val="top"/>
            <w:tcBorders>
              <w:bottom w:val="single" w:color="000000" w:sz="2" w:space="0"/>
              <w:top w:val="single" w:color="000000" w:sz="2" w:space="0"/>
            </w:tcBorders>
          </w:tcPr>
          <w:p>
            <w:pPr>
              <w:pStyle w:val="TableText"/>
              <w:ind w:left="1123"/>
              <w:spacing w:before="154" w:line="220" w:lineRule="exact"/>
              <w:rPr/>
            </w:pPr>
            <w:r>
              <w:rPr>
                <w:position w:val="1"/>
              </w:rPr>
              <w:t>8</w:t>
            </w:r>
          </w:p>
        </w:tc>
      </w:tr>
      <w:tr>
        <w:trPr>
          <w:trHeight w:val="310" w:hRule="atLeast"/>
        </w:trPr>
        <w:tc>
          <w:tcPr>
            <w:tcW w:w="7910" w:type="dxa"/>
            <w:vAlign w:val="top"/>
            <w:tcBorders>
              <w:bottom w:val="single" w:color="000000" w:sz="2" w:space="0"/>
              <w:top w:val="single" w:color="000000" w:sz="2" w:space="0"/>
            </w:tcBorders>
          </w:tcPr>
          <w:p>
            <w:pPr>
              <w:pStyle w:val="TableText"/>
              <w:ind w:left="120"/>
              <w:spacing w:before="46" w:line="220" w:lineRule="exact"/>
              <w:rPr/>
            </w:pPr>
            <w:r>
              <w:rPr>
                <w:spacing w:val="11"/>
                <w:position w:val="3"/>
              </w:rPr>
              <w:t>Vascular pattern should be u</w:t>
            </w:r>
            <w:r>
              <w:rPr>
                <w:spacing w:val="10"/>
                <w:position w:val="3"/>
              </w:rPr>
              <w:t>sed to assess mild–to–moderate ulcerative colitis disease activity</w:t>
            </w:r>
          </w:p>
        </w:tc>
        <w:tc>
          <w:tcPr>
            <w:tcW w:w="2555" w:type="dxa"/>
            <w:vAlign w:val="top"/>
            <w:tcBorders>
              <w:bottom w:val="single" w:color="000000" w:sz="2" w:space="0"/>
              <w:top w:val="single" w:color="000000" w:sz="2" w:space="0"/>
            </w:tcBorders>
          </w:tcPr>
          <w:p>
            <w:pPr>
              <w:pStyle w:val="TableText"/>
              <w:ind w:left="1126"/>
              <w:spacing w:before="46" w:line="220" w:lineRule="exact"/>
              <w:rPr/>
            </w:pPr>
            <w:r>
              <w:rPr>
                <w:position w:val="1"/>
              </w:rPr>
              <w:t>7</w:t>
            </w:r>
          </w:p>
        </w:tc>
      </w:tr>
      <w:tr>
        <w:trPr>
          <w:trHeight w:val="528" w:hRule="atLeast"/>
        </w:trPr>
        <w:tc>
          <w:tcPr>
            <w:tcW w:w="7910" w:type="dxa"/>
            <w:vAlign w:val="top"/>
            <w:tcBorders>
              <w:bottom w:val="single" w:color="000000" w:sz="2" w:space="0"/>
              <w:top w:val="single" w:color="000000" w:sz="2" w:space="0"/>
            </w:tcBorders>
          </w:tcPr>
          <w:p>
            <w:pPr>
              <w:pStyle w:val="TableText"/>
              <w:ind w:left="122" w:right="993" w:firstLine="1"/>
              <w:spacing w:before="84" w:line="246" w:lineRule="auto"/>
              <w:rPr/>
            </w:pPr>
            <w:r>
              <w:rPr>
                <w:spacing w:val="12"/>
              </w:rPr>
              <w:t>Patchy obliteration o</w:t>
            </w:r>
            <w:r>
              <w:rPr>
                <w:spacing w:val="11"/>
              </w:rPr>
              <w:t>f vascular pattern based on the UCEIS is appropriate for deﬁning</w:t>
            </w:r>
            <w:r>
              <w:rPr/>
              <w:t xml:space="preserve"> </w:t>
            </w:r>
            <w:r>
              <w:rPr>
                <w:spacing w:val="10"/>
              </w:rPr>
              <w:t>mild–to–moderate ulc</w:t>
            </w:r>
            <w:r>
              <w:rPr>
                <w:spacing w:val="9"/>
              </w:rPr>
              <w:t>erative colitis disease activity.</w:t>
            </w:r>
          </w:p>
        </w:tc>
        <w:tc>
          <w:tcPr>
            <w:tcW w:w="2555" w:type="dxa"/>
            <w:vAlign w:val="top"/>
            <w:tcBorders>
              <w:bottom w:val="single" w:color="000000" w:sz="2" w:space="0"/>
              <w:top w:val="single" w:color="000000" w:sz="2" w:space="0"/>
            </w:tcBorders>
          </w:tcPr>
          <w:p>
            <w:pPr>
              <w:pStyle w:val="TableText"/>
              <w:ind w:left="1126"/>
              <w:spacing w:before="156" w:line="219" w:lineRule="exact"/>
              <w:rPr/>
            </w:pPr>
            <w:r>
              <w:rPr>
                <w:position w:val="1"/>
              </w:rPr>
              <w:t>7</w:t>
            </w:r>
          </w:p>
        </w:tc>
      </w:tr>
      <w:tr>
        <w:trPr>
          <w:trHeight w:val="310" w:hRule="atLeast"/>
        </w:trPr>
        <w:tc>
          <w:tcPr>
            <w:tcW w:w="7910" w:type="dxa"/>
            <w:vAlign w:val="top"/>
            <w:tcBorders>
              <w:bottom w:val="single" w:color="000000" w:sz="2" w:space="0"/>
              <w:top w:val="single" w:color="000000" w:sz="2" w:space="0"/>
            </w:tcBorders>
          </w:tcPr>
          <w:p>
            <w:pPr>
              <w:pStyle w:val="TableText"/>
              <w:ind w:left="124"/>
              <w:spacing w:before="47" w:line="220" w:lineRule="exact"/>
              <w:rPr/>
            </w:pPr>
            <w:r>
              <w:rPr>
                <w:spacing w:val="10"/>
                <w:position w:val="3"/>
              </w:rPr>
              <w:t>Bleeding should be used to assess mild–to–moderate ulcerative colitis disease activity.</w:t>
            </w:r>
          </w:p>
        </w:tc>
        <w:tc>
          <w:tcPr>
            <w:tcW w:w="2555" w:type="dxa"/>
            <w:vAlign w:val="top"/>
            <w:tcBorders>
              <w:bottom w:val="single" w:color="000000" w:sz="2" w:space="0"/>
              <w:top w:val="single" w:color="000000" w:sz="2" w:space="0"/>
            </w:tcBorders>
          </w:tcPr>
          <w:p>
            <w:pPr>
              <w:pStyle w:val="TableText"/>
              <w:ind w:left="1123"/>
              <w:spacing w:before="47" w:line="220" w:lineRule="exact"/>
              <w:rPr/>
            </w:pPr>
            <w:r>
              <w:rPr>
                <w:position w:val="1"/>
              </w:rPr>
              <w:t>8</w:t>
            </w:r>
          </w:p>
        </w:tc>
      </w:tr>
      <w:tr>
        <w:trPr>
          <w:trHeight w:val="529" w:hRule="atLeast"/>
        </w:trPr>
        <w:tc>
          <w:tcPr>
            <w:tcW w:w="7910" w:type="dxa"/>
            <w:vAlign w:val="top"/>
            <w:tcBorders>
              <w:bottom w:val="single" w:color="000000" w:sz="2" w:space="0"/>
              <w:top w:val="single" w:color="000000" w:sz="2" w:space="0"/>
            </w:tcBorders>
          </w:tcPr>
          <w:p>
            <w:pPr>
              <w:pStyle w:val="TableText"/>
              <w:ind w:left="123" w:right="348" w:hanging="1"/>
              <w:spacing w:before="47" w:line="270" w:lineRule="auto"/>
              <w:rPr/>
            </w:pPr>
            <w:r>
              <w:rPr>
                <w:spacing w:val="11"/>
              </w:rPr>
              <w:t>Mucosal bleeding based on the UCEIS is appropriate for deﬁning mild–to–moderate ulce</w:t>
            </w:r>
            <w:r>
              <w:rPr>
                <w:spacing w:val="10"/>
              </w:rPr>
              <w:t>rative</w:t>
            </w:r>
            <w:r>
              <w:rPr/>
              <w:t xml:space="preserve"> </w:t>
            </w:r>
            <w:r>
              <w:rPr>
                <w:spacing w:val="8"/>
              </w:rPr>
              <w:t>colitis disease activity.</w:t>
            </w:r>
          </w:p>
        </w:tc>
        <w:tc>
          <w:tcPr>
            <w:tcW w:w="2555" w:type="dxa"/>
            <w:vAlign w:val="top"/>
            <w:tcBorders>
              <w:bottom w:val="single" w:color="000000" w:sz="2" w:space="0"/>
              <w:top w:val="single" w:color="000000" w:sz="2" w:space="0"/>
            </w:tcBorders>
          </w:tcPr>
          <w:p>
            <w:pPr>
              <w:pStyle w:val="TableText"/>
              <w:ind w:left="1126"/>
              <w:spacing w:before="157" w:line="220" w:lineRule="exact"/>
              <w:rPr/>
            </w:pPr>
            <w:r>
              <w:rPr>
                <w:position w:val="1"/>
              </w:rPr>
              <w:t>7</w:t>
            </w:r>
          </w:p>
        </w:tc>
      </w:tr>
      <w:tr>
        <w:trPr>
          <w:trHeight w:val="310" w:hRule="atLeast"/>
        </w:trPr>
        <w:tc>
          <w:tcPr>
            <w:tcW w:w="7910" w:type="dxa"/>
            <w:vAlign w:val="top"/>
            <w:tcBorders>
              <w:bottom w:val="single" w:color="000000" w:sz="2" w:space="0"/>
              <w:top w:val="single" w:color="000000" w:sz="2" w:space="0"/>
            </w:tcBorders>
          </w:tcPr>
          <w:p>
            <w:pPr>
              <w:pStyle w:val="TableText"/>
              <w:ind w:left="123"/>
              <w:spacing w:before="48" w:line="220" w:lineRule="exact"/>
              <w:rPr/>
            </w:pPr>
            <w:r>
              <w:rPr>
                <w:spacing w:val="9"/>
                <w:position w:val="3"/>
              </w:rPr>
              <w:t>Erosions and ulcers should be used to assess mild–to–moderate ulce</w:t>
            </w:r>
            <w:r>
              <w:rPr>
                <w:spacing w:val="8"/>
                <w:position w:val="3"/>
              </w:rPr>
              <w:t>rative colitis disease activity.</w:t>
            </w:r>
          </w:p>
        </w:tc>
        <w:tc>
          <w:tcPr>
            <w:tcW w:w="2555" w:type="dxa"/>
            <w:vAlign w:val="top"/>
            <w:tcBorders>
              <w:bottom w:val="single" w:color="000000" w:sz="2" w:space="0"/>
              <w:top w:val="single" w:color="000000" w:sz="2" w:space="0"/>
            </w:tcBorders>
          </w:tcPr>
          <w:p>
            <w:pPr>
              <w:pStyle w:val="TableText"/>
              <w:ind w:left="1126"/>
              <w:spacing w:before="48" w:line="220" w:lineRule="exact"/>
              <w:rPr/>
            </w:pPr>
            <w:r>
              <w:rPr>
                <w:position w:val="1"/>
              </w:rPr>
              <w:t>7</w:t>
            </w:r>
          </w:p>
        </w:tc>
      </w:tr>
      <w:tr>
        <w:trPr>
          <w:trHeight w:val="529" w:hRule="atLeast"/>
        </w:trPr>
        <w:tc>
          <w:tcPr>
            <w:tcW w:w="7910" w:type="dxa"/>
            <w:vAlign w:val="top"/>
            <w:tcBorders>
              <w:bottom w:val="single" w:color="000000" w:sz="2" w:space="0"/>
              <w:top w:val="single" w:color="000000" w:sz="2" w:space="0"/>
            </w:tcBorders>
          </w:tcPr>
          <w:p>
            <w:pPr>
              <w:pStyle w:val="TableText"/>
              <w:ind w:left="122" w:right="524"/>
              <w:spacing w:before="48" w:line="270" w:lineRule="auto"/>
              <w:rPr/>
            </w:pPr>
            <w:r>
              <w:rPr>
                <w:spacing w:val="11"/>
              </w:rPr>
              <w:t>The presence of erosions based on the UCEIS are appropriate for </w:t>
            </w:r>
            <w:r>
              <w:rPr>
                <w:spacing w:val="10"/>
              </w:rPr>
              <w:t>deﬁning mild–to–moderate</w:t>
            </w:r>
            <w:r>
              <w:rPr/>
              <w:t xml:space="preserve"> </w:t>
            </w:r>
            <w:r>
              <w:rPr>
                <w:spacing w:val="9"/>
              </w:rPr>
              <w:t>ulcerative colitis disease activity.</w:t>
            </w:r>
          </w:p>
        </w:tc>
        <w:tc>
          <w:tcPr>
            <w:tcW w:w="2555" w:type="dxa"/>
            <w:vAlign w:val="top"/>
            <w:tcBorders>
              <w:bottom w:val="single" w:color="000000" w:sz="2" w:space="0"/>
              <w:top w:val="single" w:color="000000" w:sz="2" w:space="0"/>
            </w:tcBorders>
          </w:tcPr>
          <w:p>
            <w:pPr>
              <w:pStyle w:val="TableText"/>
              <w:ind w:left="1126"/>
              <w:spacing w:before="158" w:line="220" w:lineRule="exact"/>
              <w:rPr/>
            </w:pPr>
            <w:r>
              <w:rPr>
                <w:position w:val="1"/>
              </w:rPr>
              <w:t>7</w:t>
            </w:r>
          </w:p>
        </w:tc>
      </w:tr>
      <w:tr>
        <w:trPr>
          <w:trHeight w:val="310" w:hRule="atLeast"/>
        </w:trPr>
        <w:tc>
          <w:tcPr>
            <w:tcW w:w="7910" w:type="dxa"/>
            <w:vAlign w:val="top"/>
            <w:tcBorders>
              <w:bottom w:val="single" w:color="000000" w:sz="2" w:space="0"/>
              <w:top w:val="single" w:color="000000" w:sz="2" w:space="0"/>
            </w:tcBorders>
          </w:tcPr>
          <w:p>
            <w:pPr>
              <w:pStyle w:val="TableText"/>
              <w:ind w:left="124"/>
              <w:spacing w:before="49" w:line="219" w:lineRule="exact"/>
              <w:rPr/>
            </w:pPr>
            <w:r>
              <w:rPr>
                <w:spacing w:val="11"/>
                <w:position w:val="3"/>
              </w:rPr>
              <w:t>Biomarker measurements are important to deﬁne mild–to–moderate ulcerative colitis.</w:t>
            </w:r>
          </w:p>
        </w:tc>
        <w:tc>
          <w:tcPr>
            <w:tcW w:w="2555" w:type="dxa"/>
            <w:vAlign w:val="top"/>
            <w:tcBorders>
              <w:bottom w:val="single" w:color="000000" w:sz="2" w:space="0"/>
              <w:top w:val="single" w:color="000000" w:sz="2" w:space="0"/>
            </w:tcBorders>
          </w:tcPr>
          <w:p>
            <w:pPr>
              <w:pStyle w:val="TableText"/>
              <w:ind w:left="1126"/>
              <w:spacing w:before="49" w:line="219" w:lineRule="exact"/>
              <w:rPr/>
            </w:pPr>
            <w:r>
              <w:rPr>
                <w:position w:val="1"/>
              </w:rPr>
              <w:t>7</w:t>
            </w:r>
          </w:p>
        </w:tc>
      </w:tr>
      <w:tr>
        <w:trPr>
          <w:trHeight w:val="529" w:hRule="atLeast"/>
        </w:trPr>
        <w:tc>
          <w:tcPr>
            <w:tcW w:w="7910" w:type="dxa"/>
            <w:vAlign w:val="top"/>
            <w:tcBorders>
              <w:bottom w:val="single" w:color="000000" w:sz="2" w:space="0"/>
              <w:top w:val="single" w:color="000000" w:sz="2" w:space="0"/>
            </w:tcBorders>
          </w:tcPr>
          <w:p>
            <w:pPr>
              <w:pStyle w:val="TableText"/>
              <w:ind w:left="122" w:right="1047"/>
              <w:spacing w:before="87" w:line="265" w:lineRule="auto"/>
              <w:rPr/>
            </w:pPr>
            <w:r>
              <w:rPr>
                <w:spacing w:val="10"/>
              </w:rPr>
              <w:t>The fecal calprotectin level is an appropriate marker for classifying disease activity in</w:t>
            </w:r>
            <w:r>
              <w:rPr>
                <w:spacing w:val="14"/>
              </w:rPr>
              <w:t xml:space="preserve"> </w:t>
            </w:r>
            <w:r>
              <w:rPr>
                <w:spacing w:val="9"/>
              </w:rPr>
              <w:t>mild–to–moderate ulcerative colitis.</w:t>
            </w:r>
          </w:p>
        </w:tc>
        <w:tc>
          <w:tcPr>
            <w:tcW w:w="2555" w:type="dxa"/>
            <w:vAlign w:val="top"/>
            <w:tcBorders>
              <w:bottom w:val="single" w:color="000000" w:sz="2" w:space="0"/>
              <w:top w:val="single" w:color="000000" w:sz="2" w:space="0"/>
            </w:tcBorders>
          </w:tcPr>
          <w:p>
            <w:pPr>
              <w:pStyle w:val="TableText"/>
              <w:ind w:left="1123"/>
              <w:spacing w:before="158" w:line="220" w:lineRule="exact"/>
              <w:rPr/>
            </w:pPr>
            <w:r>
              <w:rPr>
                <w:position w:val="1"/>
              </w:rPr>
              <w:t>8</w:t>
            </w:r>
          </w:p>
        </w:tc>
      </w:tr>
      <w:tr>
        <w:trPr>
          <w:trHeight w:val="747" w:hRule="atLeast"/>
        </w:trPr>
        <w:tc>
          <w:tcPr>
            <w:tcW w:w="7910" w:type="dxa"/>
            <w:vAlign w:val="top"/>
            <w:tcBorders>
              <w:bottom w:val="single" w:color="000000" w:sz="2" w:space="0"/>
              <w:top w:val="single" w:color="000000" w:sz="2" w:space="0"/>
            </w:tcBorders>
          </w:tcPr>
          <w:p>
            <w:pPr>
              <w:pStyle w:val="TableText"/>
              <w:ind w:left="124" w:right="601" w:hanging="2"/>
              <w:spacing w:before="50" w:line="269" w:lineRule="auto"/>
              <w:rPr/>
            </w:pPr>
            <w:r>
              <w:rPr>
                <w:spacing w:val="10"/>
              </w:rPr>
              <w:t>MCS score of at least 4 including an endoscopic sub–sc</w:t>
            </w:r>
            <w:r>
              <w:rPr>
                <w:spacing w:val="9"/>
              </w:rPr>
              <w:t>ore of at least 2 and a rectal bleeding</w:t>
            </w:r>
            <w:r>
              <w:rPr/>
              <w:t xml:space="preserve"> </w:t>
            </w:r>
            <w:r>
              <w:rPr>
                <w:spacing w:val="10"/>
              </w:rPr>
              <w:t>sub–score of at least 1 should be used to deﬁne mild–to–m</w:t>
            </w:r>
            <w:r>
              <w:rPr>
                <w:spacing w:val="9"/>
              </w:rPr>
              <w:t>oderate ulcerative colitis</w:t>
            </w:r>
          </w:p>
          <w:p>
            <w:pPr>
              <w:pStyle w:val="TableText"/>
              <w:ind w:left="125"/>
              <w:spacing w:line="219" w:lineRule="exact"/>
              <w:rPr/>
            </w:pPr>
            <w:r>
              <w:rPr>
                <w:spacing w:val="9"/>
                <w:position w:val="3"/>
              </w:rPr>
              <w:t>disease activity.</w:t>
            </w:r>
          </w:p>
        </w:tc>
        <w:tc>
          <w:tcPr>
            <w:tcW w:w="2555" w:type="dxa"/>
            <w:vAlign w:val="top"/>
            <w:tcBorders>
              <w:bottom w:val="single" w:color="000000" w:sz="2" w:space="0"/>
              <w:top w:val="single" w:color="000000" w:sz="2" w:space="0"/>
            </w:tcBorders>
          </w:tcPr>
          <w:p>
            <w:pPr>
              <w:pStyle w:val="TableText"/>
              <w:ind w:left="1126"/>
              <w:spacing w:before="268" w:line="220" w:lineRule="exact"/>
              <w:rPr/>
            </w:pPr>
            <w:r>
              <w:rPr>
                <w:position w:val="1"/>
              </w:rPr>
              <w:t>7</w:t>
            </w:r>
          </w:p>
        </w:tc>
      </w:tr>
      <w:tr>
        <w:trPr>
          <w:trHeight w:val="310" w:hRule="atLeast"/>
        </w:trPr>
        <w:tc>
          <w:tcPr>
            <w:tcW w:w="7910" w:type="dxa"/>
            <w:vAlign w:val="top"/>
            <w:tcBorders>
              <w:bottom w:val="single" w:color="000000" w:sz="2" w:space="0"/>
              <w:top w:val="single" w:color="000000" w:sz="2" w:space="0"/>
            </w:tcBorders>
          </w:tcPr>
          <w:p>
            <w:pPr>
              <w:pStyle w:val="TableText"/>
              <w:ind w:left="123"/>
              <w:spacing w:before="51" w:line="220" w:lineRule="exact"/>
              <w:rPr/>
            </w:pPr>
            <w:r>
              <w:rPr>
                <w:spacing w:val="10"/>
                <w:position w:val="3"/>
              </w:rPr>
              <w:t>Quality of life–based measurements are important to</w:t>
            </w:r>
            <w:r>
              <w:rPr>
                <w:spacing w:val="9"/>
                <w:position w:val="3"/>
              </w:rPr>
              <w:t xml:space="preserve"> deﬁne mild–to–moderate ulcerative colitis.</w:t>
            </w:r>
          </w:p>
        </w:tc>
        <w:tc>
          <w:tcPr>
            <w:tcW w:w="2555" w:type="dxa"/>
            <w:vAlign w:val="top"/>
            <w:tcBorders>
              <w:bottom w:val="single" w:color="000000" w:sz="2" w:space="0"/>
              <w:top w:val="single" w:color="000000" w:sz="2" w:space="0"/>
            </w:tcBorders>
          </w:tcPr>
          <w:p>
            <w:pPr>
              <w:pStyle w:val="TableText"/>
              <w:ind w:left="1126"/>
              <w:spacing w:before="51" w:line="220" w:lineRule="exact"/>
              <w:rPr/>
            </w:pPr>
            <w:r>
              <w:rPr>
                <w:position w:val="1"/>
              </w:rPr>
              <w:t>7</w:t>
            </w:r>
          </w:p>
        </w:tc>
      </w:tr>
      <w:tr>
        <w:trPr>
          <w:trHeight w:val="310" w:hRule="atLeast"/>
        </w:trPr>
        <w:tc>
          <w:tcPr>
            <w:tcW w:w="7910" w:type="dxa"/>
            <w:vAlign w:val="top"/>
            <w:tcBorders>
              <w:bottom w:val="single" w:color="000000" w:sz="2" w:space="0"/>
              <w:top w:val="single" w:color="000000" w:sz="2" w:space="0"/>
            </w:tcBorders>
          </w:tcPr>
          <w:p>
            <w:pPr>
              <w:pStyle w:val="TableText"/>
              <w:ind w:left="123"/>
              <w:spacing w:before="51" w:line="220" w:lineRule="exact"/>
              <w:rPr/>
            </w:pPr>
            <w:r>
              <w:rPr>
                <w:spacing w:val="11"/>
                <w:position w:val="3"/>
              </w:rPr>
              <w:t>Disability based measurements are important to deﬁne mild–to–moderate ulcerative col</w:t>
            </w:r>
            <w:r>
              <w:rPr>
                <w:spacing w:val="10"/>
                <w:position w:val="3"/>
              </w:rPr>
              <w:t>itis.</w:t>
            </w:r>
          </w:p>
        </w:tc>
        <w:tc>
          <w:tcPr>
            <w:tcW w:w="2555" w:type="dxa"/>
            <w:vAlign w:val="top"/>
            <w:tcBorders>
              <w:bottom w:val="single" w:color="000000" w:sz="2" w:space="0"/>
              <w:top w:val="single" w:color="000000" w:sz="2" w:space="0"/>
            </w:tcBorders>
          </w:tcPr>
          <w:p>
            <w:pPr>
              <w:pStyle w:val="TableText"/>
              <w:ind w:left="1126"/>
              <w:spacing w:before="51" w:line="220" w:lineRule="exact"/>
              <w:rPr/>
            </w:pPr>
            <w:r>
              <w:rPr>
                <w:position w:val="1"/>
              </w:rPr>
              <w:t>7</w:t>
            </w:r>
          </w:p>
        </w:tc>
      </w:tr>
      <w:tr>
        <w:trPr>
          <w:trHeight w:val="310" w:hRule="atLeast"/>
        </w:trPr>
        <w:tc>
          <w:tcPr>
            <w:tcW w:w="7910" w:type="dxa"/>
            <w:vAlign w:val="top"/>
            <w:tcBorders>
              <w:bottom w:val="single" w:color="000000" w:sz="2" w:space="0"/>
              <w:top w:val="single" w:color="000000" w:sz="2" w:space="0"/>
            </w:tcBorders>
          </w:tcPr>
          <w:p>
            <w:pPr>
              <w:pStyle w:val="TableText"/>
              <w:ind w:left="123"/>
              <w:spacing w:before="51" w:line="220" w:lineRule="exact"/>
              <w:rPr/>
            </w:pPr>
            <w:r>
              <w:rPr>
                <w:spacing w:val="11"/>
                <w:position w:val="3"/>
              </w:rPr>
              <w:t>Fatigue measurements are important to deﬁne mild–to–moderate ulcerative colitis.</w:t>
            </w:r>
          </w:p>
        </w:tc>
        <w:tc>
          <w:tcPr>
            <w:tcW w:w="2555" w:type="dxa"/>
            <w:vAlign w:val="top"/>
            <w:tcBorders>
              <w:bottom w:val="single" w:color="000000" w:sz="2" w:space="0"/>
              <w:top w:val="single" w:color="000000" w:sz="2" w:space="0"/>
            </w:tcBorders>
          </w:tcPr>
          <w:p>
            <w:pPr>
              <w:pStyle w:val="TableText"/>
              <w:ind w:left="1126"/>
              <w:spacing w:before="51" w:line="220" w:lineRule="exact"/>
              <w:rPr/>
            </w:pPr>
            <w:r>
              <w:rPr>
                <w:position w:val="1"/>
              </w:rPr>
              <w:t>7</w:t>
            </w:r>
          </w:p>
        </w:tc>
      </w:tr>
      <w:tr>
        <w:trPr>
          <w:trHeight w:val="310" w:hRule="atLeast"/>
        </w:trPr>
        <w:tc>
          <w:tcPr>
            <w:tcW w:w="7910" w:type="dxa"/>
            <w:vAlign w:val="top"/>
            <w:tcBorders>
              <w:bottom w:val="single" w:color="000000" w:sz="2" w:space="0"/>
              <w:top w:val="single" w:color="000000" w:sz="2" w:space="0"/>
            </w:tcBorders>
          </w:tcPr>
          <w:p>
            <w:pPr>
              <w:pStyle w:val="TableText"/>
              <w:ind w:left="120"/>
              <w:spacing w:before="51" w:line="220" w:lineRule="exact"/>
              <w:rPr/>
            </w:pPr>
            <w:r>
              <w:rPr>
                <w:spacing w:val="12"/>
                <w:position w:val="3"/>
              </w:rPr>
              <w:t>Work productivity me</w:t>
            </w:r>
            <w:r>
              <w:rPr>
                <w:spacing w:val="11"/>
                <w:position w:val="3"/>
              </w:rPr>
              <w:t>asurements are important to deﬁne mild–to–moderate ulcerative colitis.</w:t>
            </w:r>
          </w:p>
        </w:tc>
        <w:tc>
          <w:tcPr>
            <w:tcW w:w="2555" w:type="dxa"/>
            <w:vAlign w:val="top"/>
            <w:tcBorders>
              <w:bottom w:val="single" w:color="000000" w:sz="2" w:space="0"/>
              <w:top w:val="single" w:color="000000" w:sz="2" w:space="0"/>
            </w:tcBorders>
          </w:tcPr>
          <w:p>
            <w:pPr>
              <w:pStyle w:val="TableText"/>
              <w:ind w:left="1126"/>
              <w:spacing w:before="51" w:line="220" w:lineRule="exact"/>
              <w:rPr/>
            </w:pPr>
            <w:r>
              <w:rPr>
                <w:position w:val="1"/>
              </w:rPr>
              <w:t>7</w:t>
            </w:r>
          </w:p>
        </w:tc>
      </w:tr>
      <w:tr>
        <w:trPr>
          <w:trHeight w:val="541" w:hRule="atLeast"/>
        </w:trPr>
        <w:tc>
          <w:tcPr>
            <w:tcW w:w="7910" w:type="dxa"/>
            <w:vAlign w:val="top"/>
            <w:tcBorders>
              <w:top w:val="single" w:color="000000" w:sz="2" w:space="0"/>
              <w:bottom w:val="single" w:color="000000" w:sz="6" w:space="0"/>
            </w:tcBorders>
          </w:tcPr>
          <w:p>
            <w:pPr>
              <w:pStyle w:val="TableText"/>
              <w:ind w:left="122" w:right="349"/>
              <w:spacing w:before="51" w:line="270" w:lineRule="auto"/>
              <w:rPr/>
            </w:pPr>
            <w:r>
              <w:rPr>
                <w:spacing w:val="10"/>
              </w:rPr>
              <w:t>Mild–to–moderate ulcerative colitis should </w:t>
            </w:r>
            <w:r>
              <w:rPr>
                <w:spacing w:val="9"/>
              </w:rPr>
              <w:t>be deﬁned as disease that does not have a signiﬁcant</w:t>
            </w:r>
            <w:r>
              <w:rPr/>
              <w:t xml:space="preserve"> </w:t>
            </w:r>
            <w:r>
              <w:rPr>
                <w:spacing w:val="10"/>
              </w:rPr>
              <w:t>impact on daily activities.</w:t>
            </w:r>
          </w:p>
        </w:tc>
        <w:tc>
          <w:tcPr>
            <w:tcW w:w="2555" w:type="dxa"/>
            <w:vAlign w:val="top"/>
            <w:tcBorders>
              <w:top w:val="single" w:color="000000" w:sz="2" w:space="0"/>
              <w:bottom w:val="single" w:color="000000" w:sz="6" w:space="0"/>
            </w:tcBorders>
          </w:tcPr>
          <w:p>
            <w:pPr>
              <w:pStyle w:val="TableText"/>
              <w:ind w:left="1126"/>
              <w:spacing w:before="161" w:line="220" w:lineRule="exact"/>
              <w:rPr/>
            </w:pPr>
            <w:r>
              <w:rPr>
                <w:position w:val="1"/>
              </w:rPr>
              <w:t>7</w:t>
            </w:r>
          </w:p>
        </w:tc>
      </w:tr>
    </w:tbl>
    <w:p>
      <w:pPr>
        <w:pStyle w:val="BodyText"/>
        <w:ind w:right="15"/>
        <w:spacing w:before="59" w:line="224" w:lineRule="auto"/>
        <w:jc w:val="right"/>
        <w:rPr>
          <w:sz w:val="15"/>
          <w:szCs w:val="15"/>
        </w:rPr>
      </w:pPr>
      <w:r>
        <w:rPr>
          <w:sz w:val="15"/>
          <w:szCs w:val="15"/>
          <w:spacing w:val="11"/>
        </w:rPr>
        <w:t>UCDAI: ulcerative colitis disease activity index; MCS:</w:t>
      </w:r>
      <w:r>
        <w:rPr>
          <w:sz w:val="15"/>
          <w:szCs w:val="15"/>
          <w:spacing w:val="10"/>
          <w:w w:val="101"/>
        </w:rPr>
        <w:t xml:space="preserve"> </w:t>
      </w:r>
      <w:r>
        <w:rPr>
          <w:sz w:val="15"/>
          <w:szCs w:val="15"/>
          <w:spacing w:val="11"/>
        </w:rPr>
        <w:t>Mayo</w:t>
      </w:r>
      <w:r>
        <w:rPr>
          <w:sz w:val="15"/>
          <w:szCs w:val="15"/>
          <w:spacing w:val="12"/>
          <w:w w:val="101"/>
        </w:rPr>
        <w:t xml:space="preserve"> </w:t>
      </w:r>
      <w:r>
        <w:rPr>
          <w:sz w:val="15"/>
          <w:szCs w:val="15"/>
          <w:spacing w:val="11"/>
        </w:rPr>
        <w:t>clinic</w:t>
      </w:r>
      <w:r>
        <w:rPr>
          <w:sz w:val="15"/>
          <w:szCs w:val="15"/>
          <w:spacing w:val="12"/>
          <w:w w:val="102"/>
        </w:rPr>
        <w:t xml:space="preserve"> </w:t>
      </w:r>
      <w:r>
        <w:rPr>
          <w:sz w:val="15"/>
          <w:szCs w:val="15"/>
          <w:spacing w:val="11"/>
        </w:rPr>
        <w:t>score;</w:t>
      </w:r>
      <w:r>
        <w:rPr>
          <w:sz w:val="15"/>
          <w:szCs w:val="15"/>
          <w:spacing w:val="13"/>
          <w:w w:val="101"/>
        </w:rPr>
        <w:t xml:space="preserve"> </w:t>
      </w:r>
      <w:r>
        <w:rPr>
          <w:sz w:val="15"/>
          <w:szCs w:val="15"/>
          <w:spacing w:val="11"/>
        </w:rPr>
        <w:t>MMCS: </w:t>
      </w:r>
      <w:r>
        <w:rPr>
          <w:sz w:val="15"/>
          <w:szCs w:val="15"/>
          <w:spacing w:val="10"/>
        </w:rPr>
        <w:t>modiﬁed</w:t>
      </w:r>
      <w:r>
        <w:rPr>
          <w:sz w:val="15"/>
          <w:szCs w:val="15"/>
          <w:spacing w:val="10"/>
          <w:w w:val="102"/>
        </w:rPr>
        <w:t xml:space="preserve"> </w:t>
      </w:r>
      <w:r>
        <w:rPr>
          <w:sz w:val="15"/>
          <w:szCs w:val="15"/>
          <w:spacing w:val="10"/>
        </w:rPr>
        <w:t>Mayo</w:t>
      </w:r>
      <w:r>
        <w:rPr>
          <w:sz w:val="15"/>
          <w:szCs w:val="15"/>
          <w:spacing w:val="12"/>
        </w:rPr>
        <w:t xml:space="preserve"> </w:t>
      </w:r>
      <w:r>
        <w:rPr>
          <w:sz w:val="15"/>
          <w:szCs w:val="15"/>
          <w:spacing w:val="10"/>
        </w:rPr>
        <w:t>clinic</w:t>
      </w:r>
      <w:r>
        <w:rPr>
          <w:sz w:val="15"/>
          <w:szCs w:val="15"/>
          <w:spacing w:val="13"/>
        </w:rPr>
        <w:t xml:space="preserve"> </w:t>
      </w:r>
      <w:r>
        <w:rPr>
          <w:sz w:val="15"/>
          <w:szCs w:val="15"/>
          <w:spacing w:val="10"/>
        </w:rPr>
        <w:t>score;</w:t>
      </w:r>
    </w:p>
    <w:p>
      <w:pPr>
        <w:pStyle w:val="BodyText"/>
        <w:ind w:left="2618"/>
        <w:spacing w:before="28" w:line="224" w:lineRule="auto"/>
        <w:rPr>
          <w:sz w:val="15"/>
          <w:szCs w:val="15"/>
        </w:rPr>
      </w:pPr>
      <w:r>
        <w:rPr>
          <w:sz w:val="15"/>
          <w:szCs w:val="15"/>
          <w:spacing w:val="9"/>
        </w:rPr>
        <w:t>UCEIS: Ucerative Colitis Endoscopic Index of Severity; MES: Ma</w:t>
      </w:r>
      <w:r>
        <w:rPr>
          <w:sz w:val="15"/>
          <w:szCs w:val="15"/>
          <w:spacing w:val="8"/>
        </w:rPr>
        <w:t>yo endoscopic score.</w:t>
      </w:r>
    </w:p>
    <w:p>
      <w:pPr>
        <w:pStyle w:val="BodyText"/>
        <w:ind w:left="2620"/>
        <w:spacing w:before="229" w:line="248" w:lineRule="exact"/>
        <w:outlineLvl w:val="1"/>
        <w:rPr>
          <w:sz w:val="19"/>
          <w:szCs w:val="19"/>
        </w:rPr>
      </w:pPr>
      <w:r>
        <w:rPr>
          <w:sz w:val="19"/>
          <w:szCs w:val="19"/>
          <w:spacing w:val="3"/>
          <w:position w:val="3"/>
        </w:rPr>
        <w:t>3.2.</w:t>
      </w:r>
      <w:r>
        <w:rPr>
          <w:sz w:val="19"/>
          <w:szCs w:val="19"/>
          <w:spacing w:val="40"/>
          <w:w w:val="101"/>
          <w:position w:val="3"/>
        </w:rPr>
        <w:t xml:space="preserve"> </w:t>
      </w:r>
      <w:r>
        <w:rPr>
          <w:sz w:val="19"/>
          <w:szCs w:val="19"/>
          <w:spacing w:val="3"/>
          <w:position w:val="3"/>
        </w:rPr>
        <w:t>Symptom Based Disease Activity Assessments</w:t>
      </w:r>
    </w:p>
    <w:p>
      <w:pPr>
        <w:pStyle w:val="BodyText"/>
        <w:ind w:left="2619" w:firstLine="425"/>
        <w:spacing w:before="105" w:line="268" w:lineRule="auto"/>
        <w:jc w:val="both"/>
        <w:rPr>
          <w:sz w:val="19"/>
          <w:szCs w:val="19"/>
        </w:rPr>
      </w:pPr>
      <w:r>
        <w:rPr>
          <w:sz w:val="19"/>
          <w:szCs w:val="19"/>
          <w:spacing w:val="17"/>
        </w:rPr>
        <w:t>The</w:t>
      </w:r>
      <w:r>
        <w:rPr>
          <w:sz w:val="19"/>
          <w:szCs w:val="19"/>
          <w:spacing w:val="28"/>
        </w:rPr>
        <w:t xml:space="preserve"> </w:t>
      </w:r>
      <w:r>
        <w:rPr>
          <w:sz w:val="19"/>
          <w:szCs w:val="19"/>
          <w:spacing w:val="17"/>
        </w:rPr>
        <w:t>panel</w:t>
      </w:r>
      <w:r>
        <w:rPr>
          <w:sz w:val="19"/>
          <w:szCs w:val="19"/>
          <w:spacing w:val="33"/>
          <w:w w:val="101"/>
        </w:rPr>
        <w:t xml:space="preserve"> </w:t>
      </w:r>
      <w:r>
        <w:rPr>
          <w:sz w:val="19"/>
          <w:szCs w:val="19"/>
          <w:spacing w:val="17"/>
        </w:rPr>
        <w:t>decided</w:t>
      </w:r>
      <w:r>
        <w:rPr>
          <w:sz w:val="19"/>
          <w:szCs w:val="19"/>
          <w:spacing w:val="30"/>
          <w:w w:val="101"/>
        </w:rPr>
        <w:t xml:space="preserve"> </w:t>
      </w:r>
      <w:r>
        <w:rPr>
          <w:sz w:val="19"/>
          <w:szCs w:val="19"/>
          <w:spacing w:val="17"/>
        </w:rPr>
        <w:t>that</w:t>
      </w:r>
      <w:r>
        <w:rPr>
          <w:sz w:val="19"/>
          <w:szCs w:val="19"/>
          <w:spacing w:val="29"/>
          <w:w w:val="101"/>
        </w:rPr>
        <w:t xml:space="preserve"> </w:t>
      </w:r>
      <w:r>
        <w:rPr>
          <w:sz w:val="19"/>
          <w:szCs w:val="19"/>
          <w:spacing w:val="17"/>
        </w:rPr>
        <w:t>measurements</w:t>
      </w:r>
      <w:r>
        <w:rPr>
          <w:sz w:val="19"/>
          <w:szCs w:val="19"/>
          <w:spacing w:val="33"/>
        </w:rPr>
        <w:t xml:space="preserve"> </w:t>
      </w:r>
      <w:r>
        <w:rPr>
          <w:sz w:val="19"/>
          <w:szCs w:val="19"/>
          <w:spacing w:val="17"/>
        </w:rPr>
        <w:t>of</w:t>
      </w:r>
      <w:r>
        <w:rPr>
          <w:sz w:val="19"/>
          <w:szCs w:val="19"/>
          <w:spacing w:val="30"/>
          <w:w w:val="101"/>
        </w:rPr>
        <w:t xml:space="preserve"> </w:t>
      </w:r>
      <w:r>
        <w:rPr>
          <w:sz w:val="19"/>
          <w:szCs w:val="19"/>
          <w:spacing w:val="17"/>
        </w:rPr>
        <w:t>symptoms</w:t>
      </w:r>
      <w:r>
        <w:rPr>
          <w:sz w:val="19"/>
          <w:szCs w:val="19"/>
          <w:spacing w:val="27"/>
        </w:rPr>
        <w:t xml:space="preserve"> </w:t>
      </w:r>
      <w:r>
        <w:rPr>
          <w:sz w:val="19"/>
          <w:szCs w:val="19"/>
          <w:spacing w:val="17"/>
        </w:rPr>
        <w:t>were</w:t>
      </w:r>
      <w:r>
        <w:rPr>
          <w:sz w:val="19"/>
          <w:szCs w:val="19"/>
          <w:spacing w:val="30"/>
          <w:w w:val="101"/>
        </w:rPr>
        <w:t xml:space="preserve"> </w:t>
      </w:r>
      <w:r>
        <w:rPr>
          <w:sz w:val="19"/>
          <w:szCs w:val="19"/>
          <w:spacing w:val="17"/>
        </w:rPr>
        <w:t>important</w:t>
      </w:r>
      <w:r>
        <w:rPr>
          <w:sz w:val="19"/>
          <w:szCs w:val="19"/>
          <w:spacing w:val="31"/>
        </w:rPr>
        <w:t xml:space="preserve"> </w:t>
      </w:r>
      <w:r>
        <w:rPr>
          <w:sz w:val="19"/>
          <w:szCs w:val="19"/>
          <w:spacing w:val="17"/>
        </w:rPr>
        <w:t>for</w:t>
      </w:r>
      <w:r>
        <w:rPr>
          <w:sz w:val="19"/>
          <w:szCs w:val="19"/>
          <w:spacing w:val="33"/>
        </w:rPr>
        <w:t xml:space="preserve"> </w:t>
      </w:r>
      <w:r>
        <w:rPr>
          <w:sz w:val="19"/>
          <w:szCs w:val="19"/>
          <w:spacing w:val="17"/>
        </w:rPr>
        <w:t>deﬁn</w:t>
      </w:r>
      <w:r>
        <w:rPr>
          <w:sz w:val="19"/>
          <w:szCs w:val="19"/>
          <w:spacing w:val="16"/>
        </w:rPr>
        <w:t>ing</w:t>
      </w:r>
      <w:r>
        <w:rPr>
          <w:sz w:val="19"/>
          <w:szCs w:val="19"/>
        </w:rPr>
        <w:t xml:space="preserve">  </w:t>
      </w:r>
      <w:r>
        <w:rPr>
          <w:sz w:val="19"/>
          <w:szCs w:val="19"/>
          <w:spacing w:val="9"/>
        </w:rPr>
        <w:t>mild–to–moderate UC. The Clinical Activity Index (CAI), the Disease Activity Index (DAI),</w:t>
      </w:r>
      <w:r>
        <w:rPr>
          <w:sz w:val="19"/>
          <w:szCs w:val="19"/>
          <w:spacing w:val="6"/>
        </w:rPr>
        <w:t xml:space="preserve"> </w:t>
      </w:r>
      <w:r>
        <w:rPr>
          <w:sz w:val="19"/>
          <w:szCs w:val="19"/>
          <w:spacing w:val="15"/>
        </w:rPr>
        <w:t>the</w:t>
      </w:r>
      <w:r>
        <w:rPr>
          <w:sz w:val="19"/>
          <w:szCs w:val="19"/>
          <w:spacing w:val="25"/>
          <w:w w:val="101"/>
        </w:rPr>
        <w:t xml:space="preserve"> </w:t>
      </w:r>
      <w:r>
        <w:rPr>
          <w:sz w:val="19"/>
          <w:szCs w:val="19"/>
          <w:spacing w:val="15"/>
        </w:rPr>
        <w:t>UCDAI</w:t>
      </w:r>
      <w:r>
        <w:rPr>
          <w:sz w:val="19"/>
          <w:szCs w:val="19"/>
          <w:spacing w:val="29"/>
          <w:w w:val="101"/>
        </w:rPr>
        <w:t xml:space="preserve"> </w:t>
      </w:r>
      <w:r>
        <w:rPr>
          <w:sz w:val="19"/>
          <w:szCs w:val="19"/>
          <w:spacing w:val="15"/>
        </w:rPr>
        <w:t>and</w:t>
      </w:r>
      <w:r>
        <w:rPr>
          <w:sz w:val="19"/>
          <w:szCs w:val="19"/>
          <w:spacing w:val="27"/>
          <w:w w:val="101"/>
        </w:rPr>
        <w:t xml:space="preserve"> </w:t>
      </w:r>
      <w:r>
        <w:rPr>
          <w:sz w:val="19"/>
          <w:szCs w:val="19"/>
          <w:spacing w:val="15"/>
        </w:rPr>
        <w:t>the</w:t>
      </w:r>
      <w:r>
        <w:rPr>
          <w:sz w:val="19"/>
          <w:szCs w:val="19"/>
          <w:spacing w:val="26"/>
        </w:rPr>
        <w:t xml:space="preserve"> </w:t>
      </w:r>
      <w:r>
        <w:rPr>
          <w:sz w:val="19"/>
          <w:szCs w:val="19"/>
          <w:spacing w:val="15"/>
        </w:rPr>
        <w:t>MCS</w:t>
      </w:r>
      <w:r>
        <w:rPr>
          <w:sz w:val="19"/>
          <w:szCs w:val="19"/>
          <w:spacing w:val="24"/>
          <w:w w:val="101"/>
        </w:rPr>
        <w:t xml:space="preserve"> </w:t>
      </w:r>
      <w:r>
        <w:rPr>
          <w:sz w:val="19"/>
          <w:szCs w:val="19"/>
          <w:spacing w:val="15"/>
        </w:rPr>
        <w:t>have been</w:t>
      </w:r>
      <w:r>
        <w:rPr>
          <w:sz w:val="19"/>
          <w:szCs w:val="19"/>
          <w:spacing w:val="26"/>
          <w:w w:val="101"/>
        </w:rPr>
        <w:t xml:space="preserve"> </w:t>
      </w:r>
      <w:r>
        <w:rPr>
          <w:sz w:val="19"/>
          <w:szCs w:val="19"/>
          <w:spacing w:val="15"/>
        </w:rPr>
        <w:t>used</w:t>
      </w:r>
      <w:r>
        <w:rPr>
          <w:sz w:val="19"/>
          <w:szCs w:val="19"/>
          <w:spacing w:val="27"/>
          <w:w w:val="101"/>
        </w:rPr>
        <w:t xml:space="preserve"> </w:t>
      </w:r>
      <w:r>
        <w:rPr>
          <w:sz w:val="19"/>
          <w:szCs w:val="19"/>
          <w:spacing w:val="15"/>
        </w:rPr>
        <w:t>in</w:t>
      </w:r>
      <w:r>
        <w:rPr>
          <w:sz w:val="19"/>
          <w:szCs w:val="19"/>
          <w:spacing w:val="28"/>
        </w:rPr>
        <w:t xml:space="preserve"> </w:t>
      </w:r>
      <w:r>
        <w:rPr>
          <w:sz w:val="19"/>
          <w:szCs w:val="19"/>
          <w:spacing w:val="15"/>
        </w:rPr>
        <w:t>clinical</w:t>
      </w:r>
      <w:r>
        <w:rPr>
          <w:sz w:val="19"/>
          <w:szCs w:val="19"/>
          <w:spacing w:val="27"/>
          <w:w w:val="101"/>
        </w:rPr>
        <w:t xml:space="preserve"> </w:t>
      </w:r>
      <w:r>
        <w:rPr>
          <w:sz w:val="19"/>
          <w:szCs w:val="19"/>
          <w:spacing w:val="15"/>
        </w:rPr>
        <w:t>trials.  The</w:t>
      </w:r>
      <w:r>
        <w:rPr>
          <w:sz w:val="19"/>
          <w:szCs w:val="19"/>
          <w:spacing w:val="24"/>
          <w:w w:val="101"/>
        </w:rPr>
        <w:t xml:space="preserve"> </w:t>
      </w:r>
      <w:r>
        <w:rPr>
          <w:sz w:val="19"/>
          <w:szCs w:val="19"/>
          <w:spacing w:val="15"/>
        </w:rPr>
        <w:t>panel</w:t>
      </w:r>
      <w:r>
        <w:rPr>
          <w:sz w:val="19"/>
          <w:szCs w:val="19"/>
          <w:spacing w:val="28"/>
          <w:w w:val="101"/>
        </w:rPr>
        <w:t xml:space="preserve"> </w:t>
      </w:r>
      <w:r>
        <w:rPr>
          <w:sz w:val="19"/>
          <w:szCs w:val="19"/>
          <w:spacing w:val="15"/>
        </w:rPr>
        <w:t>considered</w:t>
      </w:r>
      <w:r>
        <w:rPr>
          <w:sz w:val="19"/>
          <w:szCs w:val="19"/>
          <w:spacing w:val="27"/>
        </w:rPr>
        <w:t xml:space="preserve"> </w:t>
      </w:r>
      <w:r>
        <w:rPr>
          <w:sz w:val="19"/>
          <w:szCs w:val="19"/>
          <w:spacing w:val="15"/>
        </w:rPr>
        <w:t>t</w:t>
      </w:r>
      <w:r>
        <w:rPr>
          <w:sz w:val="19"/>
          <w:szCs w:val="19"/>
          <w:spacing w:val="14"/>
        </w:rPr>
        <w:t>hat</w:t>
      </w:r>
      <w:r>
        <w:rPr>
          <w:sz w:val="19"/>
          <w:szCs w:val="19"/>
        </w:rPr>
        <w:t xml:space="preserve">  </w:t>
      </w:r>
      <w:r>
        <w:rPr>
          <w:sz w:val="19"/>
          <w:szCs w:val="19"/>
          <w:spacing w:val="14"/>
        </w:rPr>
        <w:t>the UCDAI or the MCS should be</w:t>
      </w:r>
      <w:r>
        <w:rPr>
          <w:sz w:val="19"/>
          <w:szCs w:val="19"/>
          <w:spacing w:val="17"/>
        </w:rPr>
        <w:t xml:space="preserve"> </w:t>
      </w:r>
      <w:r>
        <w:rPr>
          <w:sz w:val="19"/>
          <w:szCs w:val="19"/>
          <w:spacing w:val="14"/>
        </w:rPr>
        <w:t>used</w:t>
      </w:r>
      <w:r>
        <w:rPr>
          <w:sz w:val="19"/>
          <w:szCs w:val="19"/>
          <w:spacing w:val="17"/>
        </w:rPr>
        <w:t xml:space="preserve"> </w:t>
      </w:r>
      <w:r>
        <w:rPr>
          <w:sz w:val="19"/>
          <w:szCs w:val="19"/>
          <w:spacing w:val="14"/>
        </w:rPr>
        <w:t>to</w:t>
      </w:r>
      <w:r>
        <w:rPr>
          <w:sz w:val="19"/>
          <w:szCs w:val="19"/>
          <w:spacing w:val="19"/>
        </w:rPr>
        <w:t xml:space="preserve"> </w:t>
      </w:r>
      <w:r>
        <w:rPr>
          <w:sz w:val="19"/>
          <w:szCs w:val="19"/>
          <w:spacing w:val="14"/>
        </w:rPr>
        <w:t>assess</w:t>
      </w:r>
      <w:r>
        <w:rPr>
          <w:sz w:val="19"/>
          <w:szCs w:val="19"/>
          <w:spacing w:val="16"/>
        </w:rPr>
        <w:t xml:space="preserve"> </w:t>
      </w:r>
      <w:r>
        <w:rPr>
          <w:sz w:val="19"/>
          <w:szCs w:val="19"/>
          <w:spacing w:val="14"/>
        </w:rPr>
        <w:t>mild–to–moderate</w:t>
      </w:r>
      <w:r>
        <w:rPr>
          <w:sz w:val="19"/>
          <w:szCs w:val="19"/>
          <w:spacing w:val="15"/>
        </w:rPr>
        <w:t xml:space="preserve"> </w:t>
      </w:r>
      <w:r>
        <w:rPr>
          <w:sz w:val="19"/>
          <w:szCs w:val="19"/>
          <w:spacing w:val="14"/>
        </w:rPr>
        <w:t>UC</w:t>
      </w:r>
      <w:r>
        <w:rPr>
          <w:sz w:val="19"/>
          <w:szCs w:val="19"/>
          <w:spacing w:val="19"/>
          <w:w w:val="101"/>
        </w:rPr>
        <w:t xml:space="preserve"> </w:t>
      </w:r>
      <w:r>
        <w:rPr>
          <w:sz w:val="19"/>
          <w:szCs w:val="19"/>
          <w:spacing w:val="14"/>
        </w:rPr>
        <w:t>disea</w:t>
      </w:r>
      <w:r>
        <w:rPr>
          <w:sz w:val="19"/>
          <w:szCs w:val="19"/>
          <w:spacing w:val="13"/>
        </w:rPr>
        <w:t>se</w:t>
      </w:r>
      <w:r>
        <w:rPr>
          <w:sz w:val="19"/>
          <w:szCs w:val="19"/>
          <w:spacing w:val="19"/>
        </w:rPr>
        <w:t xml:space="preserve"> </w:t>
      </w:r>
      <w:r>
        <w:rPr>
          <w:sz w:val="19"/>
          <w:szCs w:val="19"/>
          <w:spacing w:val="13"/>
        </w:rPr>
        <w:t>activity.</w:t>
      </w:r>
      <w:r>
        <w:rPr>
          <w:sz w:val="19"/>
          <w:szCs w:val="19"/>
        </w:rPr>
        <w:t xml:space="preserve"> </w:t>
      </w:r>
      <w:r>
        <w:rPr>
          <w:sz w:val="19"/>
          <w:szCs w:val="19"/>
          <w:spacing w:val="15"/>
        </w:rPr>
        <w:t>However, the panel did not </w:t>
      </w:r>
      <w:r>
        <w:rPr>
          <w:sz w:val="19"/>
          <w:szCs w:val="19"/>
          <w:spacing w:val="14"/>
        </w:rPr>
        <w:t>recommend the use of these</w:t>
      </w:r>
      <w:r>
        <w:rPr>
          <w:sz w:val="19"/>
          <w:szCs w:val="19"/>
          <w:spacing w:val="16"/>
        </w:rPr>
        <w:t xml:space="preserve"> </w:t>
      </w:r>
      <w:r>
        <w:rPr>
          <w:sz w:val="19"/>
          <w:szCs w:val="19"/>
          <w:spacing w:val="14"/>
        </w:rPr>
        <w:t>scores in</w:t>
      </w:r>
      <w:r>
        <w:rPr>
          <w:sz w:val="19"/>
          <w:szCs w:val="19"/>
          <w:spacing w:val="15"/>
          <w:w w:val="101"/>
        </w:rPr>
        <w:t xml:space="preserve"> </w:t>
      </w:r>
      <w:r>
        <w:rPr>
          <w:sz w:val="19"/>
          <w:szCs w:val="19"/>
          <w:spacing w:val="14"/>
        </w:rPr>
        <w:t>clinical</w:t>
      </w:r>
      <w:r>
        <w:rPr>
          <w:sz w:val="19"/>
          <w:szCs w:val="19"/>
          <w:spacing w:val="11"/>
        </w:rPr>
        <w:t xml:space="preserve"> </w:t>
      </w:r>
      <w:r>
        <w:rPr>
          <w:sz w:val="19"/>
          <w:szCs w:val="19"/>
          <w:spacing w:val="14"/>
        </w:rPr>
        <w:t>practice.</w:t>
      </w:r>
      <w:r>
        <w:rPr>
          <w:sz w:val="19"/>
          <w:szCs w:val="19"/>
          <w:spacing w:val="41"/>
        </w:rPr>
        <w:t xml:space="preserve"> </w:t>
      </w:r>
      <w:r>
        <w:rPr>
          <w:sz w:val="19"/>
          <w:szCs w:val="19"/>
          <w:spacing w:val="14"/>
        </w:rPr>
        <w:t>The</w:t>
      </w:r>
      <w:r>
        <w:rPr>
          <w:sz w:val="19"/>
          <w:szCs w:val="19"/>
        </w:rPr>
        <w:t xml:space="preserve">  </w:t>
      </w:r>
      <w:r>
        <w:rPr>
          <w:sz w:val="19"/>
          <w:szCs w:val="19"/>
          <w:spacing w:val="14"/>
        </w:rPr>
        <w:t>clinical items deemed to be appropriate for disease asse</w:t>
      </w:r>
      <w:r>
        <w:rPr>
          <w:sz w:val="19"/>
          <w:szCs w:val="19"/>
          <w:spacing w:val="13"/>
        </w:rPr>
        <w:t>ssment included stool frequency</w:t>
      </w:r>
      <w:r>
        <w:rPr>
          <w:sz w:val="19"/>
          <w:szCs w:val="19"/>
        </w:rPr>
        <w:t xml:space="preserve"> </w:t>
      </w:r>
      <w:r>
        <w:rPr>
          <w:sz w:val="19"/>
          <w:szCs w:val="19"/>
          <w:spacing w:val="15"/>
        </w:rPr>
        <w:t>and</w:t>
      </w:r>
      <w:r>
        <w:rPr>
          <w:sz w:val="19"/>
          <w:szCs w:val="19"/>
          <w:spacing w:val="33"/>
          <w:w w:val="101"/>
        </w:rPr>
        <w:t xml:space="preserve"> </w:t>
      </w:r>
      <w:r>
        <w:rPr>
          <w:sz w:val="19"/>
          <w:szCs w:val="19"/>
          <w:spacing w:val="15"/>
        </w:rPr>
        <w:t>rectal bleeding,</w:t>
      </w:r>
      <w:r>
        <w:rPr>
          <w:sz w:val="19"/>
          <w:szCs w:val="19"/>
          <w:spacing w:val="23"/>
        </w:rPr>
        <w:t xml:space="preserve"> </w:t>
      </w:r>
      <w:r>
        <w:rPr>
          <w:sz w:val="19"/>
          <w:szCs w:val="19"/>
          <w:spacing w:val="15"/>
        </w:rPr>
        <w:t>which</w:t>
      </w:r>
      <w:r>
        <w:rPr>
          <w:sz w:val="19"/>
          <w:szCs w:val="19"/>
          <w:spacing w:val="25"/>
        </w:rPr>
        <w:t xml:space="preserve"> </w:t>
      </w:r>
      <w:r>
        <w:rPr>
          <w:sz w:val="19"/>
          <w:szCs w:val="19"/>
          <w:spacing w:val="15"/>
        </w:rPr>
        <w:t>are</w:t>
      </w:r>
      <w:r>
        <w:rPr>
          <w:sz w:val="19"/>
          <w:szCs w:val="19"/>
          <w:spacing w:val="24"/>
        </w:rPr>
        <w:t xml:space="preserve"> </w:t>
      </w:r>
      <w:r>
        <w:rPr>
          <w:sz w:val="19"/>
          <w:szCs w:val="19"/>
          <w:spacing w:val="15"/>
        </w:rPr>
        <w:t>symptom–based</w:t>
      </w:r>
      <w:r>
        <w:rPr>
          <w:sz w:val="19"/>
          <w:szCs w:val="19"/>
          <w:spacing w:val="22"/>
          <w:w w:val="102"/>
        </w:rPr>
        <w:t xml:space="preserve"> </w:t>
      </w:r>
      <w:r>
        <w:rPr>
          <w:sz w:val="19"/>
          <w:szCs w:val="19"/>
          <w:spacing w:val="15"/>
        </w:rPr>
        <w:t>items</w:t>
      </w:r>
      <w:r>
        <w:rPr>
          <w:sz w:val="19"/>
          <w:szCs w:val="19"/>
          <w:spacing w:val="24"/>
          <w:w w:val="101"/>
        </w:rPr>
        <w:t xml:space="preserve"> </w:t>
      </w:r>
      <w:r>
        <w:rPr>
          <w:sz w:val="19"/>
          <w:szCs w:val="19"/>
          <w:spacing w:val="15"/>
        </w:rPr>
        <w:t>of the UCDAI</w:t>
      </w:r>
      <w:r>
        <w:rPr>
          <w:sz w:val="19"/>
          <w:szCs w:val="19"/>
          <w:spacing w:val="24"/>
          <w:w w:val="101"/>
        </w:rPr>
        <w:t xml:space="preserve"> </w:t>
      </w:r>
      <w:r>
        <w:rPr>
          <w:sz w:val="19"/>
          <w:szCs w:val="19"/>
          <w:spacing w:val="15"/>
        </w:rPr>
        <w:t>and</w:t>
      </w:r>
      <w:r>
        <w:rPr>
          <w:sz w:val="19"/>
          <w:szCs w:val="19"/>
          <w:spacing w:val="22"/>
          <w:w w:val="102"/>
        </w:rPr>
        <w:t xml:space="preserve"> </w:t>
      </w:r>
      <w:r>
        <w:rPr>
          <w:sz w:val="19"/>
          <w:szCs w:val="19"/>
          <w:spacing w:val="15"/>
        </w:rPr>
        <w:t>the MCS.</w:t>
      </w:r>
      <w:r>
        <w:rPr>
          <w:sz w:val="19"/>
          <w:szCs w:val="19"/>
          <w:spacing w:val="22"/>
          <w:w w:val="101"/>
        </w:rPr>
        <w:t xml:space="preserve"> </w:t>
      </w:r>
      <w:r>
        <w:rPr>
          <w:sz w:val="19"/>
          <w:szCs w:val="19"/>
          <w:spacing w:val="15"/>
        </w:rPr>
        <w:t>For</w:t>
      </w:r>
    </w:p>
    <w:p>
      <w:pPr>
        <w:spacing w:line="268" w:lineRule="auto"/>
        <w:sectPr>
          <w:headerReference w:type="default" r:id="rId29"/>
          <w:pgSz w:w="11906" w:h="16838"/>
          <w:pgMar w:top="1442" w:right="685" w:bottom="0" w:left="711" w:header="1086" w:footer="0" w:gutter="0"/>
        </w:sectPr>
        <w:rPr>
          <w:sz w:val="19"/>
          <w:szCs w:val="19"/>
        </w:rPr>
      </w:pPr>
    </w:p>
    <w:p>
      <w:pPr>
        <w:spacing w:line="452" w:lineRule="auto"/>
        <w:rPr>
          <w:rFonts w:ascii="Arial"/>
          <w:sz w:val="21"/>
        </w:rPr>
      </w:pPr>
      <w:r/>
    </w:p>
    <w:p>
      <w:pPr>
        <w:pStyle w:val="BodyText"/>
        <w:ind w:left="2612" w:right="35" w:firstLine="8"/>
        <w:spacing w:before="55" w:line="262" w:lineRule="auto"/>
        <w:jc w:val="both"/>
        <w:rPr>
          <w:sz w:val="19"/>
          <w:szCs w:val="19"/>
        </w:rPr>
      </w:pPr>
      <w:r>
        <w:rPr>
          <w:sz w:val="19"/>
          <w:szCs w:val="19"/>
          <w:spacing w:val="14"/>
        </w:rPr>
        <w:t>the MCS,</w:t>
      </w:r>
      <w:r>
        <w:rPr>
          <w:sz w:val="19"/>
          <w:szCs w:val="19"/>
          <w:spacing w:val="25"/>
        </w:rPr>
        <w:t xml:space="preserve"> </w:t>
      </w:r>
      <w:r>
        <w:rPr>
          <w:sz w:val="19"/>
          <w:szCs w:val="19"/>
          <w:spacing w:val="14"/>
        </w:rPr>
        <w:t>a</w:t>
      </w:r>
      <w:r>
        <w:rPr>
          <w:sz w:val="19"/>
          <w:szCs w:val="19"/>
          <w:spacing w:val="24"/>
        </w:rPr>
        <w:t xml:space="preserve"> </w:t>
      </w:r>
      <w:r>
        <w:rPr>
          <w:sz w:val="19"/>
          <w:szCs w:val="19"/>
          <w:spacing w:val="14"/>
        </w:rPr>
        <w:t>stool</w:t>
      </w:r>
      <w:r>
        <w:rPr>
          <w:sz w:val="19"/>
          <w:szCs w:val="19"/>
          <w:spacing w:val="22"/>
          <w:w w:val="101"/>
        </w:rPr>
        <w:t xml:space="preserve"> </w:t>
      </w:r>
      <w:r>
        <w:rPr>
          <w:sz w:val="19"/>
          <w:szCs w:val="19"/>
          <w:spacing w:val="14"/>
        </w:rPr>
        <w:t>frequency</w:t>
      </w:r>
      <w:r>
        <w:rPr>
          <w:sz w:val="19"/>
          <w:szCs w:val="19"/>
          <w:spacing w:val="24"/>
        </w:rPr>
        <w:t xml:space="preserve"> </w:t>
      </w:r>
      <w:r>
        <w:rPr>
          <w:sz w:val="19"/>
          <w:szCs w:val="19"/>
          <w:spacing w:val="14"/>
        </w:rPr>
        <w:t>score</w:t>
      </w:r>
      <w:r>
        <w:rPr>
          <w:sz w:val="19"/>
          <w:szCs w:val="19"/>
          <w:spacing w:val="24"/>
        </w:rPr>
        <w:t xml:space="preserve"> </w:t>
      </w:r>
      <w:r>
        <w:rPr>
          <w:sz w:val="19"/>
          <w:szCs w:val="19"/>
          <w:spacing w:val="14"/>
        </w:rPr>
        <w:t>of 2</w:t>
      </w:r>
      <w:r>
        <w:rPr>
          <w:sz w:val="19"/>
          <w:szCs w:val="19"/>
          <w:spacing w:val="24"/>
          <w:w w:val="101"/>
        </w:rPr>
        <w:t xml:space="preserve"> </w:t>
      </w:r>
      <w:r>
        <w:rPr>
          <w:sz w:val="19"/>
          <w:szCs w:val="19"/>
          <w:spacing w:val="14"/>
        </w:rPr>
        <w:t>and</w:t>
      </w:r>
      <w:r>
        <w:rPr>
          <w:sz w:val="19"/>
          <w:szCs w:val="19"/>
          <w:spacing w:val="24"/>
          <w:w w:val="101"/>
        </w:rPr>
        <w:t xml:space="preserve"> </w:t>
      </w:r>
      <w:r>
        <w:rPr>
          <w:sz w:val="19"/>
          <w:szCs w:val="19"/>
          <w:spacing w:val="14"/>
        </w:rPr>
        <w:t>a</w:t>
      </w:r>
      <w:r>
        <w:rPr>
          <w:sz w:val="19"/>
          <w:szCs w:val="19"/>
          <w:spacing w:val="22"/>
        </w:rPr>
        <w:t xml:space="preserve"> </w:t>
      </w:r>
      <w:r>
        <w:rPr>
          <w:sz w:val="19"/>
          <w:szCs w:val="19"/>
          <w:spacing w:val="14"/>
        </w:rPr>
        <w:t>rectal bleedi</w:t>
      </w:r>
      <w:r>
        <w:rPr>
          <w:sz w:val="19"/>
          <w:szCs w:val="19"/>
          <w:spacing w:val="13"/>
        </w:rPr>
        <w:t>ng</w:t>
      </w:r>
      <w:r>
        <w:rPr>
          <w:sz w:val="19"/>
          <w:szCs w:val="19"/>
          <w:spacing w:val="24"/>
        </w:rPr>
        <w:t xml:space="preserve"> </w:t>
      </w:r>
      <w:r>
        <w:rPr>
          <w:sz w:val="19"/>
          <w:szCs w:val="19"/>
          <w:spacing w:val="13"/>
        </w:rPr>
        <w:t>score</w:t>
      </w:r>
      <w:r>
        <w:rPr>
          <w:sz w:val="19"/>
          <w:szCs w:val="19"/>
          <w:spacing w:val="24"/>
        </w:rPr>
        <w:t xml:space="preserve"> </w:t>
      </w:r>
      <w:r>
        <w:rPr>
          <w:sz w:val="19"/>
          <w:szCs w:val="19"/>
          <w:spacing w:val="13"/>
        </w:rPr>
        <w:t>of</w:t>
      </w:r>
      <w:r>
        <w:rPr>
          <w:sz w:val="19"/>
          <w:szCs w:val="19"/>
          <w:spacing w:val="28"/>
          <w:w w:val="101"/>
        </w:rPr>
        <w:t xml:space="preserve"> </w:t>
      </w:r>
      <w:r>
        <w:rPr>
          <w:sz w:val="19"/>
          <w:szCs w:val="19"/>
          <w:spacing w:val="13"/>
        </w:rPr>
        <w:t>1 were</w:t>
      </w:r>
      <w:r>
        <w:rPr>
          <w:sz w:val="19"/>
          <w:szCs w:val="19"/>
          <w:spacing w:val="25"/>
        </w:rPr>
        <w:t xml:space="preserve"> </w:t>
      </w:r>
      <w:r>
        <w:rPr>
          <w:sz w:val="19"/>
          <w:szCs w:val="19"/>
          <w:spacing w:val="13"/>
        </w:rPr>
        <w:t>deemed</w:t>
      </w:r>
      <w:r>
        <w:rPr>
          <w:sz w:val="19"/>
          <w:szCs w:val="19"/>
          <w:spacing w:val="22"/>
          <w:w w:val="101"/>
        </w:rPr>
        <w:t xml:space="preserve"> </w:t>
      </w:r>
      <w:r>
        <w:rPr>
          <w:sz w:val="19"/>
          <w:szCs w:val="19"/>
          <w:spacing w:val="13"/>
        </w:rPr>
        <w:t>to</w:t>
      </w:r>
      <w:r>
        <w:rPr>
          <w:sz w:val="19"/>
          <w:szCs w:val="19"/>
        </w:rPr>
        <w:t xml:space="preserve"> </w:t>
      </w:r>
      <w:r>
        <w:rPr>
          <w:sz w:val="19"/>
          <w:szCs w:val="19"/>
          <w:spacing w:val="13"/>
        </w:rPr>
        <w:t>be appropriate for deﬁning mild–to–moderate UC disease activity.</w:t>
      </w:r>
      <w:r>
        <w:rPr>
          <w:sz w:val="19"/>
          <w:szCs w:val="19"/>
          <w:spacing w:val="34"/>
          <w:w w:val="101"/>
        </w:rPr>
        <w:t xml:space="preserve"> </w:t>
      </w:r>
      <w:r>
        <w:rPr>
          <w:sz w:val="19"/>
          <w:szCs w:val="19"/>
          <w:spacing w:val="13"/>
        </w:rPr>
        <w:t>The presence of fecal</w:t>
      </w:r>
      <w:r>
        <w:rPr>
          <w:sz w:val="19"/>
          <w:szCs w:val="19"/>
        </w:rPr>
        <w:t xml:space="preserve"> </w:t>
      </w:r>
      <w:r>
        <w:rPr>
          <w:sz w:val="19"/>
          <w:szCs w:val="19"/>
          <w:spacing w:val="14"/>
        </w:rPr>
        <w:t>urgency</w:t>
      </w:r>
      <w:r>
        <w:rPr>
          <w:sz w:val="19"/>
          <w:szCs w:val="19"/>
          <w:spacing w:val="30"/>
        </w:rPr>
        <w:t xml:space="preserve"> </w:t>
      </w:r>
      <w:r>
        <w:rPr>
          <w:sz w:val="19"/>
          <w:szCs w:val="19"/>
          <w:spacing w:val="14"/>
        </w:rPr>
        <w:t>should be</w:t>
      </w:r>
      <w:r>
        <w:rPr>
          <w:sz w:val="19"/>
          <w:szCs w:val="19"/>
          <w:spacing w:val="25"/>
          <w:w w:val="101"/>
        </w:rPr>
        <w:t xml:space="preserve"> </w:t>
      </w:r>
      <w:r>
        <w:rPr>
          <w:sz w:val="19"/>
          <w:szCs w:val="19"/>
          <w:spacing w:val="14"/>
        </w:rPr>
        <w:t>used</w:t>
      </w:r>
      <w:r>
        <w:rPr>
          <w:sz w:val="19"/>
          <w:szCs w:val="19"/>
          <w:spacing w:val="26"/>
        </w:rPr>
        <w:t xml:space="preserve"> </w:t>
      </w:r>
      <w:r>
        <w:rPr>
          <w:sz w:val="19"/>
          <w:szCs w:val="19"/>
          <w:spacing w:val="14"/>
        </w:rPr>
        <w:t>to</w:t>
      </w:r>
      <w:r>
        <w:rPr>
          <w:sz w:val="19"/>
          <w:szCs w:val="19"/>
          <w:spacing w:val="28"/>
        </w:rPr>
        <w:t xml:space="preserve"> </w:t>
      </w:r>
      <w:r>
        <w:rPr>
          <w:sz w:val="19"/>
          <w:szCs w:val="19"/>
          <w:spacing w:val="14"/>
        </w:rPr>
        <w:t>assess</w:t>
      </w:r>
      <w:r>
        <w:rPr>
          <w:sz w:val="19"/>
          <w:szCs w:val="19"/>
          <w:spacing w:val="25"/>
        </w:rPr>
        <w:t xml:space="preserve"> </w:t>
      </w:r>
      <w:r>
        <w:rPr>
          <w:sz w:val="19"/>
          <w:szCs w:val="19"/>
          <w:spacing w:val="14"/>
        </w:rPr>
        <w:t>mild–to–moderate</w:t>
      </w:r>
      <w:r>
        <w:rPr>
          <w:sz w:val="19"/>
          <w:szCs w:val="19"/>
          <w:spacing w:val="24"/>
        </w:rPr>
        <w:t xml:space="preserve"> </w:t>
      </w:r>
      <w:r>
        <w:rPr>
          <w:sz w:val="19"/>
          <w:szCs w:val="19"/>
          <w:spacing w:val="14"/>
        </w:rPr>
        <w:t>UC,</w:t>
      </w:r>
      <w:r>
        <w:rPr>
          <w:sz w:val="19"/>
          <w:szCs w:val="19"/>
          <w:spacing w:val="27"/>
          <w:w w:val="101"/>
        </w:rPr>
        <w:t xml:space="preserve"> </w:t>
      </w:r>
      <w:r>
        <w:rPr>
          <w:sz w:val="19"/>
          <w:szCs w:val="19"/>
          <w:spacing w:val="14"/>
        </w:rPr>
        <w:t>on</w:t>
      </w:r>
      <w:r>
        <w:rPr>
          <w:sz w:val="19"/>
          <w:szCs w:val="19"/>
          <w:spacing w:val="28"/>
          <w:w w:val="101"/>
        </w:rPr>
        <w:t xml:space="preserve"> </w:t>
      </w:r>
      <w:r>
        <w:rPr>
          <w:sz w:val="19"/>
          <w:szCs w:val="19"/>
          <w:spacing w:val="14"/>
        </w:rPr>
        <w:t>a</w:t>
      </w:r>
      <w:r>
        <w:rPr>
          <w:sz w:val="19"/>
          <w:szCs w:val="19"/>
          <w:spacing w:val="28"/>
        </w:rPr>
        <w:t xml:space="preserve"> </w:t>
      </w:r>
      <w:r>
        <w:rPr>
          <w:sz w:val="19"/>
          <w:szCs w:val="19"/>
          <w:spacing w:val="14"/>
        </w:rPr>
        <w:t>global</w:t>
      </w:r>
      <w:r>
        <w:rPr>
          <w:sz w:val="19"/>
          <w:szCs w:val="19"/>
          <w:spacing w:val="26"/>
        </w:rPr>
        <w:t xml:space="preserve"> </w:t>
      </w:r>
      <w:r>
        <w:rPr>
          <w:sz w:val="19"/>
          <w:szCs w:val="19"/>
          <w:spacing w:val="14"/>
        </w:rPr>
        <w:t>rating</w:t>
      </w:r>
      <w:r>
        <w:rPr>
          <w:sz w:val="19"/>
          <w:szCs w:val="19"/>
          <w:spacing w:val="27"/>
          <w:w w:val="101"/>
        </w:rPr>
        <w:t xml:space="preserve"> </w:t>
      </w:r>
      <w:r>
        <w:rPr>
          <w:sz w:val="19"/>
          <w:szCs w:val="19"/>
          <w:spacing w:val="14"/>
        </w:rPr>
        <w:t>scale.  The</w:t>
      </w:r>
      <w:r>
        <w:rPr>
          <w:sz w:val="19"/>
          <w:szCs w:val="19"/>
        </w:rPr>
        <w:t xml:space="preserve"> </w:t>
      </w:r>
      <w:r>
        <w:rPr>
          <w:sz w:val="19"/>
          <w:szCs w:val="19"/>
          <w:spacing w:val="11"/>
        </w:rPr>
        <w:t>presence of UC–related fever ruled out mil</w:t>
      </w:r>
      <w:r>
        <w:rPr>
          <w:sz w:val="19"/>
          <w:szCs w:val="19"/>
          <w:spacing w:val="10"/>
        </w:rPr>
        <w:t>d–to–moderate disease activity.</w:t>
      </w:r>
    </w:p>
    <w:p>
      <w:pPr>
        <w:pStyle w:val="BodyText"/>
        <w:ind w:left="2620"/>
        <w:spacing w:before="204" w:line="248" w:lineRule="exact"/>
        <w:outlineLvl w:val="1"/>
        <w:rPr>
          <w:sz w:val="19"/>
          <w:szCs w:val="19"/>
        </w:rPr>
      </w:pPr>
      <w:r>
        <w:rPr>
          <w:sz w:val="19"/>
          <w:szCs w:val="19"/>
          <w:spacing w:val="18"/>
          <w:position w:val="3"/>
        </w:rPr>
        <w:t>3.3.</w:t>
      </w:r>
      <w:r>
        <w:rPr>
          <w:sz w:val="19"/>
          <w:szCs w:val="19"/>
          <w:spacing w:val="22"/>
          <w:position w:val="3"/>
        </w:rPr>
        <w:t xml:space="preserve"> </w:t>
      </w:r>
      <w:r>
        <w:rPr>
          <w:sz w:val="19"/>
          <w:szCs w:val="19"/>
          <w:position w:val="3"/>
        </w:rPr>
        <w:t>Endoscopy</w:t>
      </w:r>
      <w:r>
        <w:rPr>
          <w:sz w:val="19"/>
          <w:szCs w:val="19"/>
          <w:spacing w:val="18"/>
          <w:position w:val="3"/>
        </w:rPr>
        <w:t>-</w:t>
      </w:r>
      <w:r>
        <w:rPr>
          <w:sz w:val="19"/>
          <w:szCs w:val="19"/>
          <w:position w:val="3"/>
        </w:rPr>
        <w:t>Based</w:t>
      </w:r>
      <w:r>
        <w:rPr>
          <w:sz w:val="19"/>
          <w:szCs w:val="19"/>
          <w:spacing w:val="18"/>
          <w:position w:val="3"/>
        </w:rPr>
        <w:t xml:space="preserve"> </w:t>
      </w:r>
      <w:r>
        <w:rPr>
          <w:sz w:val="19"/>
          <w:szCs w:val="19"/>
          <w:position w:val="3"/>
        </w:rPr>
        <w:t>Disease</w:t>
      </w:r>
      <w:r>
        <w:rPr>
          <w:sz w:val="19"/>
          <w:szCs w:val="19"/>
          <w:spacing w:val="18"/>
          <w:position w:val="3"/>
        </w:rPr>
        <w:t xml:space="preserve"> </w:t>
      </w:r>
      <w:r>
        <w:rPr>
          <w:sz w:val="19"/>
          <w:szCs w:val="19"/>
          <w:position w:val="3"/>
        </w:rPr>
        <w:t>Activity</w:t>
      </w:r>
      <w:r>
        <w:rPr>
          <w:sz w:val="19"/>
          <w:szCs w:val="19"/>
          <w:spacing w:val="18"/>
          <w:position w:val="3"/>
        </w:rPr>
        <w:t xml:space="preserve"> </w:t>
      </w:r>
      <w:r>
        <w:rPr>
          <w:sz w:val="19"/>
          <w:szCs w:val="19"/>
          <w:position w:val="3"/>
        </w:rPr>
        <w:t>Assessments</w:t>
      </w:r>
    </w:p>
    <w:p>
      <w:pPr>
        <w:pStyle w:val="BodyText"/>
        <w:ind w:left="2618" w:right="1" w:firstLine="427"/>
        <w:spacing w:before="61" w:line="275" w:lineRule="auto"/>
        <w:jc w:val="both"/>
        <w:rPr>
          <w:sz w:val="19"/>
          <w:szCs w:val="19"/>
        </w:rPr>
      </w:pPr>
      <w:r>
        <w:rPr>
          <w:sz w:val="19"/>
          <w:szCs w:val="19"/>
          <w:spacing w:val="12"/>
        </w:rPr>
        <w:t>Endoscopic measurements were</w:t>
      </w:r>
      <w:r>
        <w:rPr>
          <w:sz w:val="19"/>
          <w:szCs w:val="19"/>
          <w:spacing w:val="-10"/>
        </w:rPr>
        <w:t xml:space="preserve"> </w:t>
      </w:r>
      <w:r>
        <w:rPr>
          <w:sz w:val="19"/>
          <w:szCs w:val="19"/>
          <w:spacing w:val="12"/>
        </w:rPr>
        <w:t>judged t</w:t>
      </w:r>
      <w:r>
        <w:rPr>
          <w:sz w:val="19"/>
          <w:szCs w:val="19"/>
          <w:spacing w:val="11"/>
        </w:rPr>
        <w:t>obe important for deﬁning mild–to–moderate</w:t>
      </w:r>
      <w:r>
        <w:rPr>
          <w:sz w:val="19"/>
          <w:szCs w:val="19"/>
        </w:rPr>
        <w:t xml:space="preserve">  </w:t>
      </w:r>
      <w:r>
        <w:rPr>
          <w:sz w:val="19"/>
          <w:szCs w:val="19"/>
          <w:spacing w:val="12"/>
        </w:rPr>
        <w:t>UC. The MCS, the Modiﬁed MCS (MMCS) or the Ulcerative Colitis Endoscopic Index of</w:t>
      </w:r>
      <w:r>
        <w:rPr>
          <w:sz w:val="19"/>
          <w:szCs w:val="19"/>
          <w:spacing w:val="9"/>
        </w:rPr>
        <w:t xml:space="preserve">  </w:t>
      </w:r>
      <w:r>
        <w:rPr>
          <w:sz w:val="19"/>
          <w:szCs w:val="19"/>
          <w:spacing w:val="13"/>
        </w:rPr>
        <w:t>Severity</w:t>
      </w:r>
      <w:r>
        <w:rPr>
          <w:sz w:val="19"/>
          <w:szCs w:val="19"/>
          <w:spacing w:val="21"/>
          <w:w w:val="101"/>
        </w:rPr>
        <w:t xml:space="preserve"> </w:t>
      </w:r>
      <w:r>
        <w:rPr>
          <w:sz w:val="19"/>
          <w:szCs w:val="19"/>
          <w:spacing w:val="13"/>
        </w:rPr>
        <w:t>(UCEIS) should be used </w:t>
      </w:r>
      <w:r>
        <w:rPr>
          <w:sz w:val="19"/>
          <w:szCs w:val="19"/>
          <w:spacing w:val="12"/>
        </w:rPr>
        <w:t>to assess mild–to–moderate UC disease</w:t>
      </w:r>
      <w:r>
        <w:rPr>
          <w:sz w:val="19"/>
          <w:szCs w:val="19"/>
          <w:spacing w:val="15"/>
          <w:w w:val="102"/>
        </w:rPr>
        <w:t xml:space="preserve"> </w:t>
      </w:r>
      <w:r>
        <w:rPr>
          <w:sz w:val="19"/>
          <w:szCs w:val="19"/>
          <w:spacing w:val="12"/>
        </w:rPr>
        <w:t>activity.</w:t>
      </w:r>
      <w:r>
        <w:rPr>
          <w:sz w:val="19"/>
          <w:szCs w:val="19"/>
          <w:spacing w:val="38"/>
          <w:w w:val="101"/>
        </w:rPr>
        <w:t xml:space="preserve"> </w:t>
      </w:r>
      <w:r>
        <w:rPr>
          <w:sz w:val="19"/>
          <w:szCs w:val="19"/>
          <w:spacing w:val="12"/>
        </w:rPr>
        <w:t>Endo–</w:t>
      </w:r>
      <w:r>
        <w:rPr>
          <w:sz w:val="19"/>
          <w:szCs w:val="19"/>
        </w:rPr>
        <w:t xml:space="preserve"> </w:t>
      </w:r>
      <w:r>
        <w:rPr>
          <w:sz w:val="19"/>
          <w:szCs w:val="19"/>
          <w:spacing w:val="14"/>
        </w:rPr>
        <w:t>scopic items deemed to </w:t>
      </w:r>
      <w:r>
        <w:rPr>
          <w:sz w:val="19"/>
          <w:szCs w:val="19"/>
          <w:spacing w:val="13"/>
        </w:rPr>
        <w:t>be appropriate for disease measurement included the appearance</w:t>
      </w:r>
      <w:r>
        <w:rPr>
          <w:sz w:val="19"/>
          <w:szCs w:val="19"/>
        </w:rPr>
        <w:t xml:space="preserve">  </w:t>
      </w:r>
      <w:r>
        <w:rPr>
          <w:sz w:val="19"/>
          <w:szCs w:val="19"/>
          <w:spacing w:val="16"/>
        </w:rPr>
        <w:t>of the mucosa, the vascular pattern, bleeding a</w:t>
      </w:r>
      <w:r>
        <w:rPr>
          <w:sz w:val="19"/>
          <w:szCs w:val="19"/>
          <w:spacing w:val="15"/>
        </w:rPr>
        <w:t>nd erosion/ulcers.</w:t>
      </w:r>
      <w:r>
        <w:rPr>
          <w:sz w:val="19"/>
          <w:szCs w:val="19"/>
          <w:spacing w:val="30"/>
          <w:w w:val="101"/>
        </w:rPr>
        <w:t xml:space="preserve"> </w:t>
      </w:r>
      <w:r>
        <w:rPr>
          <w:sz w:val="19"/>
          <w:szCs w:val="19"/>
          <w:spacing w:val="15"/>
        </w:rPr>
        <w:t>When evaluating UC</w:t>
      </w:r>
      <w:r>
        <w:rPr>
          <w:sz w:val="19"/>
          <w:szCs w:val="19"/>
        </w:rPr>
        <w:t xml:space="preserve">  </w:t>
      </w:r>
      <w:r>
        <w:rPr>
          <w:sz w:val="19"/>
          <w:szCs w:val="19"/>
          <w:spacing w:val="11"/>
        </w:rPr>
        <w:t>activity endoscopically, the panel determi</w:t>
      </w:r>
      <w:r>
        <w:rPr>
          <w:sz w:val="19"/>
          <w:szCs w:val="19"/>
          <w:spacing w:val="10"/>
        </w:rPr>
        <w:t>ned that a Mayo Endoscopic Sub–score (MES) of</w:t>
      </w:r>
      <w:r>
        <w:rPr>
          <w:sz w:val="19"/>
          <w:szCs w:val="19"/>
        </w:rPr>
        <w:t xml:space="preserve">  </w:t>
      </w:r>
      <w:r>
        <w:rPr>
          <w:sz w:val="19"/>
          <w:szCs w:val="19"/>
          <w:spacing w:val="11"/>
        </w:rPr>
        <w:t>1 is appropriate for mild–to–moderate disease. For each UCEIS </w:t>
      </w:r>
      <w:r>
        <w:rPr>
          <w:sz w:val="19"/>
          <w:szCs w:val="19"/>
          <w:spacing w:val="10"/>
        </w:rPr>
        <w:t>item, the panel determined</w:t>
      </w:r>
      <w:r>
        <w:rPr>
          <w:sz w:val="19"/>
          <w:szCs w:val="19"/>
        </w:rPr>
        <w:t xml:space="preserve">  </w:t>
      </w:r>
      <w:r>
        <w:rPr>
          <w:sz w:val="19"/>
          <w:szCs w:val="19"/>
          <w:spacing w:val="15"/>
        </w:rPr>
        <w:t>that the patchy obliteration of vascular patterns, mucosal bleeding</w:t>
      </w:r>
      <w:r>
        <w:rPr>
          <w:sz w:val="19"/>
          <w:szCs w:val="19"/>
          <w:spacing w:val="34"/>
        </w:rPr>
        <w:t xml:space="preserve"> </w:t>
      </w:r>
      <w:r>
        <w:rPr>
          <w:sz w:val="19"/>
          <w:szCs w:val="19"/>
          <w:spacing w:val="15"/>
        </w:rPr>
        <w:t>and</w:t>
      </w:r>
      <w:r>
        <w:rPr>
          <w:sz w:val="19"/>
          <w:szCs w:val="19"/>
          <w:spacing w:val="17"/>
          <w:w w:val="101"/>
        </w:rPr>
        <w:t xml:space="preserve"> </w:t>
      </w:r>
      <w:r>
        <w:rPr>
          <w:sz w:val="19"/>
          <w:szCs w:val="19"/>
          <w:spacing w:val="15"/>
        </w:rPr>
        <w:t>the</w:t>
      </w:r>
      <w:r>
        <w:rPr>
          <w:sz w:val="19"/>
          <w:szCs w:val="19"/>
          <w:spacing w:val="14"/>
        </w:rPr>
        <w:t xml:space="preserve"> </w:t>
      </w:r>
      <w:r>
        <w:rPr>
          <w:sz w:val="19"/>
          <w:szCs w:val="19"/>
          <w:spacing w:val="15"/>
        </w:rPr>
        <w:t>presence</w:t>
      </w:r>
      <w:r>
        <w:rPr>
          <w:sz w:val="19"/>
          <w:szCs w:val="19"/>
          <w:spacing w:val="19"/>
          <w:w w:val="101"/>
        </w:rPr>
        <w:t xml:space="preserve"> </w:t>
      </w:r>
      <w:r>
        <w:rPr>
          <w:sz w:val="19"/>
          <w:szCs w:val="19"/>
          <w:spacing w:val="15"/>
        </w:rPr>
        <w:t>of</w:t>
      </w:r>
      <w:r>
        <w:rPr>
          <w:sz w:val="19"/>
          <w:szCs w:val="19"/>
        </w:rPr>
        <w:t xml:space="preserve">  </w:t>
      </w:r>
      <w:r>
        <w:rPr>
          <w:sz w:val="19"/>
          <w:szCs w:val="19"/>
          <w:spacing w:val="12"/>
        </w:rPr>
        <w:t>erosions were appropriate for deﬁning mild–to–moder</w:t>
      </w:r>
      <w:r>
        <w:rPr>
          <w:sz w:val="19"/>
          <w:szCs w:val="19"/>
          <w:spacing w:val="11"/>
        </w:rPr>
        <w:t>ate UC disease activity.</w:t>
      </w:r>
    </w:p>
    <w:p>
      <w:pPr>
        <w:pStyle w:val="BodyText"/>
        <w:ind w:left="2620"/>
        <w:spacing w:before="204" w:line="248" w:lineRule="exact"/>
        <w:outlineLvl w:val="1"/>
        <w:rPr>
          <w:sz w:val="19"/>
          <w:szCs w:val="19"/>
        </w:rPr>
      </w:pPr>
      <w:r>
        <w:rPr>
          <w:sz w:val="19"/>
          <w:szCs w:val="19"/>
          <w:spacing w:val="4"/>
          <w:position w:val="3"/>
        </w:rPr>
        <w:t>3.4. Histology-Based Disease Acti</w:t>
      </w:r>
      <w:r>
        <w:rPr>
          <w:sz w:val="19"/>
          <w:szCs w:val="19"/>
          <w:spacing w:val="3"/>
          <w:position w:val="3"/>
        </w:rPr>
        <w:t>vity Assessments</w:t>
      </w:r>
    </w:p>
    <w:p>
      <w:pPr>
        <w:pStyle w:val="BodyText"/>
        <w:ind w:left="2613" w:right="34" w:firstLine="431"/>
        <w:spacing w:before="63" w:line="273" w:lineRule="auto"/>
        <w:jc w:val="both"/>
        <w:rPr>
          <w:sz w:val="19"/>
          <w:szCs w:val="19"/>
        </w:rPr>
      </w:pPr>
      <w:r>
        <w:rPr>
          <w:sz w:val="19"/>
          <w:szCs w:val="19"/>
          <w:spacing w:val="13"/>
        </w:rPr>
        <w:t>The panel did not agree on histology–based measurements, and so, these should not</w:t>
      </w:r>
      <w:r>
        <w:rPr>
          <w:sz w:val="19"/>
          <w:szCs w:val="19"/>
          <w:spacing w:val="11"/>
        </w:rPr>
        <w:t xml:space="preserve"> </w:t>
      </w:r>
      <w:r>
        <w:rPr>
          <w:sz w:val="19"/>
          <w:szCs w:val="19"/>
          <w:spacing w:val="13"/>
        </w:rPr>
        <w:t>be included in the deﬁnition of mild–to–moderate UC. There is a la</w:t>
      </w:r>
      <w:r>
        <w:rPr>
          <w:sz w:val="19"/>
          <w:szCs w:val="19"/>
          <w:spacing w:val="12"/>
        </w:rPr>
        <w:t>ck of robust evidence</w:t>
      </w:r>
      <w:r>
        <w:rPr>
          <w:sz w:val="19"/>
          <w:szCs w:val="19"/>
        </w:rPr>
        <w:t xml:space="preserve"> </w:t>
      </w:r>
      <w:r>
        <w:rPr>
          <w:sz w:val="19"/>
          <w:szCs w:val="19"/>
          <w:spacing w:val="12"/>
        </w:rPr>
        <w:t>concerning the putative association between the histological grade and disease activity.</w:t>
      </w:r>
    </w:p>
    <w:p>
      <w:pPr>
        <w:pStyle w:val="BodyText"/>
        <w:ind w:left="2620"/>
        <w:spacing w:before="204" w:line="249" w:lineRule="exact"/>
        <w:outlineLvl w:val="1"/>
        <w:rPr>
          <w:sz w:val="19"/>
          <w:szCs w:val="19"/>
        </w:rPr>
      </w:pPr>
      <w:r>
        <w:rPr>
          <w:sz w:val="19"/>
          <w:szCs w:val="19"/>
          <w:spacing w:val="17"/>
          <w:position w:val="3"/>
        </w:rPr>
        <w:t>3.5.</w:t>
      </w:r>
      <w:r>
        <w:rPr>
          <w:sz w:val="19"/>
          <w:szCs w:val="19"/>
          <w:spacing w:val="25"/>
          <w:position w:val="3"/>
        </w:rPr>
        <w:t xml:space="preserve"> </w:t>
      </w:r>
      <w:r>
        <w:rPr>
          <w:sz w:val="19"/>
          <w:szCs w:val="19"/>
          <w:position w:val="3"/>
        </w:rPr>
        <w:t>Biomarker</w:t>
      </w:r>
      <w:r>
        <w:rPr>
          <w:sz w:val="19"/>
          <w:szCs w:val="19"/>
          <w:spacing w:val="17"/>
          <w:position w:val="3"/>
        </w:rPr>
        <w:t>-</w:t>
      </w:r>
      <w:r>
        <w:rPr>
          <w:sz w:val="19"/>
          <w:szCs w:val="19"/>
          <w:position w:val="3"/>
        </w:rPr>
        <w:t>Based</w:t>
      </w:r>
      <w:r>
        <w:rPr>
          <w:sz w:val="19"/>
          <w:szCs w:val="19"/>
          <w:spacing w:val="17"/>
          <w:position w:val="3"/>
        </w:rPr>
        <w:t xml:space="preserve"> </w:t>
      </w:r>
      <w:r>
        <w:rPr>
          <w:sz w:val="19"/>
          <w:szCs w:val="19"/>
          <w:position w:val="3"/>
        </w:rPr>
        <w:t>Disease</w:t>
      </w:r>
      <w:r>
        <w:rPr>
          <w:sz w:val="19"/>
          <w:szCs w:val="19"/>
          <w:spacing w:val="17"/>
          <w:position w:val="3"/>
        </w:rPr>
        <w:t xml:space="preserve"> </w:t>
      </w:r>
      <w:r>
        <w:rPr>
          <w:sz w:val="19"/>
          <w:szCs w:val="19"/>
          <w:position w:val="3"/>
        </w:rPr>
        <w:t>Activity</w:t>
      </w:r>
      <w:r>
        <w:rPr>
          <w:sz w:val="19"/>
          <w:szCs w:val="19"/>
          <w:spacing w:val="17"/>
          <w:position w:val="3"/>
        </w:rPr>
        <w:t xml:space="preserve"> </w:t>
      </w:r>
      <w:r>
        <w:rPr>
          <w:sz w:val="19"/>
          <w:szCs w:val="19"/>
          <w:position w:val="3"/>
        </w:rPr>
        <w:t>Assessments</w:t>
      </w:r>
    </w:p>
    <w:p>
      <w:pPr>
        <w:pStyle w:val="BodyText"/>
        <w:ind w:left="2619" w:right="30" w:firstLine="425"/>
        <w:spacing w:before="60" w:line="275" w:lineRule="auto"/>
        <w:jc w:val="both"/>
        <w:rPr>
          <w:sz w:val="19"/>
          <w:szCs w:val="19"/>
        </w:rPr>
      </w:pPr>
      <w:r>
        <w:rPr>
          <w:sz w:val="19"/>
          <w:szCs w:val="19"/>
          <w:spacing w:val="12"/>
        </w:rPr>
        <w:t>The</w:t>
      </w:r>
      <w:r>
        <w:rPr>
          <w:sz w:val="19"/>
          <w:szCs w:val="19"/>
          <w:spacing w:val="-5"/>
        </w:rPr>
        <w:t xml:space="preserve"> </w:t>
      </w:r>
      <w:r>
        <w:rPr>
          <w:sz w:val="19"/>
          <w:szCs w:val="19"/>
          <w:spacing w:val="12"/>
        </w:rPr>
        <w:t>panel</w:t>
      </w:r>
      <w:r>
        <w:rPr>
          <w:sz w:val="19"/>
          <w:szCs w:val="19"/>
          <w:spacing w:val="-2"/>
        </w:rPr>
        <w:t xml:space="preserve"> </w:t>
      </w:r>
      <w:r>
        <w:rPr>
          <w:sz w:val="19"/>
          <w:szCs w:val="19"/>
          <w:spacing w:val="12"/>
        </w:rPr>
        <w:t>considered</w:t>
      </w:r>
      <w:r>
        <w:rPr>
          <w:sz w:val="19"/>
          <w:szCs w:val="19"/>
          <w:spacing w:val="-4"/>
        </w:rPr>
        <w:t xml:space="preserve"> </w:t>
      </w:r>
      <w:r>
        <w:rPr>
          <w:sz w:val="19"/>
          <w:szCs w:val="19"/>
          <w:spacing w:val="12"/>
        </w:rPr>
        <w:t>that</w:t>
      </w:r>
      <w:r>
        <w:rPr>
          <w:sz w:val="19"/>
          <w:szCs w:val="19"/>
          <w:spacing w:val="-10"/>
        </w:rPr>
        <w:t xml:space="preserve"> </w:t>
      </w:r>
      <w:r>
        <w:rPr>
          <w:sz w:val="19"/>
          <w:szCs w:val="19"/>
          <w:spacing w:val="12"/>
        </w:rPr>
        <w:t>biomarker–based</w:t>
      </w:r>
      <w:r>
        <w:rPr>
          <w:sz w:val="19"/>
          <w:szCs w:val="19"/>
          <w:spacing w:val="-4"/>
        </w:rPr>
        <w:t xml:space="preserve"> </w:t>
      </w:r>
      <w:r>
        <w:rPr>
          <w:sz w:val="19"/>
          <w:szCs w:val="19"/>
          <w:spacing w:val="12"/>
        </w:rPr>
        <w:t>measurements</w:t>
      </w:r>
      <w:r>
        <w:rPr>
          <w:sz w:val="19"/>
          <w:szCs w:val="19"/>
          <w:spacing w:val="-7"/>
        </w:rPr>
        <w:t xml:space="preserve"> </w:t>
      </w:r>
      <w:r>
        <w:rPr>
          <w:sz w:val="19"/>
          <w:szCs w:val="19"/>
          <w:spacing w:val="12"/>
        </w:rPr>
        <w:t>were</w:t>
      </w:r>
      <w:r>
        <w:rPr>
          <w:sz w:val="19"/>
          <w:szCs w:val="19"/>
          <w:spacing w:val="-3"/>
        </w:rPr>
        <w:t xml:space="preserve"> </w:t>
      </w:r>
      <w:r>
        <w:rPr>
          <w:sz w:val="19"/>
          <w:szCs w:val="19"/>
          <w:spacing w:val="12"/>
        </w:rPr>
        <w:t>important</w:t>
      </w:r>
      <w:r>
        <w:rPr>
          <w:sz w:val="19"/>
          <w:szCs w:val="19"/>
          <w:spacing w:val="-3"/>
        </w:rPr>
        <w:t xml:space="preserve"> </w:t>
      </w:r>
      <w:r>
        <w:rPr>
          <w:sz w:val="19"/>
          <w:szCs w:val="19"/>
          <w:spacing w:val="12"/>
        </w:rPr>
        <w:t>for deﬁning</w:t>
      </w:r>
      <w:r>
        <w:rPr>
          <w:sz w:val="19"/>
          <w:szCs w:val="19"/>
        </w:rPr>
        <w:t xml:space="preserve"> </w:t>
      </w:r>
      <w:r>
        <w:rPr>
          <w:sz w:val="19"/>
          <w:szCs w:val="19"/>
          <w:spacing w:val="13"/>
        </w:rPr>
        <w:t>mild–to–moderate UC. Fecal calprotectin </w:t>
      </w:r>
      <w:r>
        <w:rPr>
          <w:sz w:val="19"/>
          <w:szCs w:val="19"/>
          <w:spacing w:val="12"/>
        </w:rPr>
        <w:t>was considered to be an appropriate marker for</w:t>
      </w:r>
      <w:r>
        <w:rPr>
          <w:sz w:val="19"/>
          <w:szCs w:val="19"/>
        </w:rPr>
        <w:t xml:space="preserve"> </w:t>
      </w:r>
      <w:r>
        <w:rPr>
          <w:sz w:val="19"/>
          <w:szCs w:val="19"/>
          <w:spacing w:val="13"/>
        </w:rPr>
        <w:t>classifying disease activity </w:t>
      </w:r>
      <w:r>
        <w:rPr>
          <w:sz w:val="19"/>
          <w:szCs w:val="19"/>
          <w:spacing w:val="12"/>
        </w:rPr>
        <w:t>in mild–to–moderate UC. However, the panel could not agree</w:t>
      </w:r>
      <w:r>
        <w:rPr>
          <w:sz w:val="19"/>
          <w:szCs w:val="19"/>
        </w:rPr>
        <w:t xml:space="preserve"> </w:t>
      </w:r>
      <w:r>
        <w:rPr>
          <w:sz w:val="19"/>
          <w:szCs w:val="19"/>
          <w:spacing w:val="16"/>
        </w:rPr>
        <w:t>on whether</w:t>
      </w:r>
      <w:r>
        <w:rPr>
          <w:sz w:val="19"/>
          <w:szCs w:val="19"/>
          <w:spacing w:val="27"/>
        </w:rPr>
        <w:t xml:space="preserve"> </w:t>
      </w:r>
      <w:r>
        <w:rPr>
          <w:sz w:val="19"/>
          <w:szCs w:val="19"/>
          <w:spacing w:val="16"/>
        </w:rPr>
        <w:t>a</w:t>
      </w:r>
      <w:r>
        <w:rPr>
          <w:sz w:val="19"/>
          <w:szCs w:val="19"/>
          <w:spacing w:val="23"/>
          <w:w w:val="102"/>
        </w:rPr>
        <w:t xml:space="preserve"> </w:t>
      </w:r>
      <w:r>
        <w:rPr>
          <w:sz w:val="19"/>
          <w:szCs w:val="19"/>
          <w:spacing w:val="16"/>
        </w:rPr>
        <w:t>minimum</w:t>
      </w:r>
      <w:r>
        <w:rPr>
          <w:sz w:val="19"/>
          <w:szCs w:val="19"/>
          <w:spacing w:val="25"/>
        </w:rPr>
        <w:t xml:space="preserve"> </w:t>
      </w:r>
      <w:r>
        <w:rPr>
          <w:sz w:val="19"/>
          <w:szCs w:val="19"/>
          <w:spacing w:val="16"/>
        </w:rPr>
        <w:t>f</w:t>
      </w:r>
      <w:r>
        <w:rPr>
          <w:sz w:val="19"/>
          <w:szCs w:val="19"/>
          <w:spacing w:val="15"/>
        </w:rPr>
        <w:t>ecal</w:t>
      </w:r>
      <w:r>
        <w:rPr>
          <w:sz w:val="19"/>
          <w:szCs w:val="19"/>
          <w:spacing w:val="26"/>
        </w:rPr>
        <w:t xml:space="preserve"> </w:t>
      </w:r>
      <w:r>
        <w:rPr>
          <w:sz w:val="19"/>
          <w:szCs w:val="19"/>
          <w:spacing w:val="15"/>
        </w:rPr>
        <w:t>calprotectin</w:t>
      </w:r>
      <w:r>
        <w:rPr>
          <w:sz w:val="19"/>
          <w:szCs w:val="19"/>
          <w:spacing w:val="26"/>
        </w:rPr>
        <w:t xml:space="preserve"> </w:t>
      </w:r>
      <w:r>
        <w:rPr>
          <w:sz w:val="19"/>
          <w:szCs w:val="19"/>
          <w:spacing w:val="15"/>
        </w:rPr>
        <w:t>cut–off</w:t>
      </w:r>
      <w:r>
        <w:rPr>
          <w:sz w:val="19"/>
          <w:szCs w:val="19"/>
          <w:spacing w:val="25"/>
        </w:rPr>
        <w:t xml:space="preserve"> </w:t>
      </w:r>
      <w:r>
        <w:rPr>
          <w:sz w:val="19"/>
          <w:szCs w:val="19"/>
          <w:spacing w:val="15"/>
        </w:rPr>
        <w:t>should be</w:t>
      </w:r>
      <w:r>
        <w:rPr>
          <w:sz w:val="19"/>
          <w:szCs w:val="19"/>
          <w:spacing w:val="27"/>
        </w:rPr>
        <w:t xml:space="preserve"> </w:t>
      </w:r>
      <w:r>
        <w:rPr>
          <w:sz w:val="19"/>
          <w:szCs w:val="19"/>
          <w:spacing w:val="15"/>
        </w:rPr>
        <w:t>applied</w:t>
      </w:r>
      <w:r>
        <w:rPr>
          <w:sz w:val="19"/>
          <w:szCs w:val="19"/>
          <w:spacing w:val="25"/>
        </w:rPr>
        <w:t xml:space="preserve"> </w:t>
      </w:r>
      <w:r>
        <w:rPr>
          <w:sz w:val="19"/>
          <w:szCs w:val="19"/>
          <w:spacing w:val="15"/>
        </w:rPr>
        <w:t>to</w:t>
      </w:r>
      <w:r>
        <w:rPr>
          <w:sz w:val="19"/>
          <w:szCs w:val="19"/>
          <w:spacing w:val="25"/>
        </w:rPr>
        <w:t xml:space="preserve"> </w:t>
      </w:r>
      <w:r>
        <w:rPr>
          <w:sz w:val="19"/>
          <w:szCs w:val="19"/>
          <w:spacing w:val="15"/>
        </w:rPr>
        <w:t>inpatients with</w:t>
      </w:r>
      <w:r>
        <w:rPr>
          <w:sz w:val="19"/>
          <w:szCs w:val="19"/>
        </w:rPr>
        <w:t xml:space="preserve"> </w:t>
      </w:r>
      <w:r>
        <w:rPr>
          <w:sz w:val="19"/>
          <w:szCs w:val="19"/>
          <w:spacing w:val="14"/>
        </w:rPr>
        <w:t>mild–to–moderate disease. Furthermor</w:t>
      </w:r>
      <w:r>
        <w:rPr>
          <w:sz w:val="19"/>
          <w:szCs w:val="19"/>
          <w:spacing w:val="13"/>
        </w:rPr>
        <w:t>e, there was uncertainty as to whether CRP levels</w:t>
      </w:r>
      <w:r>
        <w:rPr>
          <w:sz w:val="19"/>
          <w:szCs w:val="19"/>
        </w:rPr>
        <w:t xml:space="preserve"> </w:t>
      </w:r>
      <w:r>
        <w:rPr>
          <w:sz w:val="19"/>
          <w:szCs w:val="19"/>
          <w:spacing w:val="11"/>
        </w:rPr>
        <w:t>are an appropriate marker for classifying disease activity in mild–to–moderate UC as CRP</w:t>
      </w:r>
      <w:r>
        <w:rPr>
          <w:sz w:val="19"/>
          <w:szCs w:val="19"/>
          <w:spacing w:val="15"/>
          <w:w w:val="101"/>
        </w:rPr>
        <w:t xml:space="preserve"> </w:t>
      </w:r>
      <w:r>
        <w:rPr>
          <w:sz w:val="19"/>
          <w:szCs w:val="19"/>
          <w:spacing w:val="11"/>
        </w:rPr>
        <w:t>can be correlated with disease severity.</w:t>
      </w:r>
    </w:p>
    <w:p>
      <w:pPr>
        <w:pStyle w:val="BodyText"/>
        <w:ind w:left="2620"/>
        <w:spacing w:before="204" w:line="249" w:lineRule="exact"/>
        <w:outlineLvl w:val="1"/>
        <w:rPr>
          <w:sz w:val="19"/>
          <w:szCs w:val="19"/>
        </w:rPr>
      </w:pPr>
      <w:r>
        <w:rPr>
          <w:sz w:val="19"/>
          <w:szCs w:val="19"/>
          <w:spacing w:val="13"/>
          <w:position w:val="3"/>
        </w:rPr>
        <w:t>3.6.</w:t>
      </w:r>
      <w:r>
        <w:rPr>
          <w:sz w:val="19"/>
          <w:szCs w:val="19"/>
          <w:spacing w:val="25"/>
          <w:position w:val="3"/>
        </w:rPr>
        <w:t xml:space="preserve"> </w:t>
      </w:r>
      <w:r>
        <w:rPr>
          <w:sz w:val="19"/>
          <w:szCs w:val="19"/>
          <w:position w:val="3"/>
        </w:rPr>
        <w:t>Composite</w:t>
      </w:r>
      <w:r>
        <w:rPr>
          <w:sz w:val="19"/>
          <w:szCs w:val="19"/>
          <w:spacing w:val="13"/>
          <w:position w:val="3"/>
        </w:rPr>
        <w:t xml:space="preserve"> </w:t>
      </w:r>
      <w:r>
        <w:rPr>
          <w:sz w:val="19"/>
          <w:szCs w:val="19"/>
          <w:position w:val="3"/>
        </w:rPr>
        <w:t>Disease</w:t>
      </w:r>
      <w:r>
        <w:rPr>
          <w:sz w:val="19"/>
          <w:szCs w:val="19"/>
          <w:spacing w:val="13"/>
          <w:position w:val="3"/>
        </w:rPr>
        <w:t xml:space="preserve"> </w:t>
      </w:r>
      <w:r>
        <w:rPr>
          <w:sz w:val="19"/>
          <w:szCs w:val="19"/>
          <w:position w:val="3"/>
        </w:rPr>
        <w:t>Activity</w:t>
      </w:r>
      <w:r>
        <w:rPr>
          <w:sz w:val="19"/>
          <w:szCs w:val="19"/>
          <w:spacing w:val="13"/>
          <w:position w:val="3"/>
        </w:rPr>
        <w:t xml:space="preserve"> </w:t>
      </w:r>
      <w:r>
        <w:rPr>
          <w:sz w:val="19"/>
          <w:szCs w:val="19"/>
          <w:position w:val="3"/>
        </w:rPr>
        <w:t>Scales</w:t>
      </w:r>
    </w:p>
    <w:p>
      <w:pPr>
        <w:pStyle w:val="BodyText"/>
        <w:ind w:left="2613" w:right="1" w:firstLine="431"/>
        <w:spacing w:before="105" w:line="262" w:lineRule="auto"/>
        <w:jc w:val="both"/>
        <w:rPr>
          <w:sz w:val="19"/>
          <w:szCs w:val="19"/>
        </w:rPr>
      </w:pPr>
      <w:r>
        <w:rPr>
          <w:sz w:val="19"/>
          <w:szCs w:val="19"/>
          <w:spacing w:val="12"/>
        </w:rPr>
        <w:t>The panel agreed that an MCS score of at least 4 (includ</w:t>
      </w:r>
      <w:r>
        <w:rPr>
          <w:sz w:val="19"/>
          <w:szCs w:val="19"/>
          <w:spacing w:val="11"/>
        </w:rPr>
        <w:t>ing an endoscopic sub–score</w:t>
      </w:r>
      <w:r>
        <w:rPr>
          <w:sz w:val="19"/>
          <w:szCs w:val="19"/>
        </w:rPr>
        <w:t xml:space="preserve">  </w:t>
      </w:r>
      <w:r>
        <w:rPr>
          <w:sz w:val="19"/>
          <w:szCs w:val="19"/>
          <w:spacing w:val="11"/>
        </w:rPr>
        <w:t>of at least 2 and a rectal bleeding sub</w:t>
      </w:r>
      <w:r>
        <w:rPr>
          <w:sz w:val="19"/>
          <w:szCs w:val="19"/>
          <w:spacing w:val="10"/>
        </w:rPr>
        <w:t>–score of at least 1) should be used to deﬁne mild–to–</w:t>
      </w:r>
      <w:r>
        <w:rPr>
          <w:sz w:val="19"/>
          <w:szCs w:val="19"/>
        </w:rPr>
        <w:t xml:space="preserve"> </w:t>
      </w:r>
      <w:r>
        <w:rPr>
          <w:sz w:val="19"/>
          <w:szCs w:val="19"/>
          <w:spacing w:val="12"/>
        </w:rPr>
        <w:t>moderate UC disease activity. The experts emphasized that an MCS score cut–off had not</w:t>
      </w:r>
      <w:r>
        <w:rPr>
          <w:sz w:val="19"/>
          <w:szCs w:val="19"/>
        </w:rPr>
        <w:t xml:space="preserve">  </w:t>
      </w:r>
      <w:r>
        <w:rPr>
          <w:sz w:val="19"/>
          <w:szCs w:val="19"/>
          <w:spacing w:val="12"/>
        </w:rPr>
        <w:t>been fully validated in the</w:t>
      </w:r>
      <w:r>
        <w:rPr>
          <w:sz w:val="19"/>
          <w:szCs w:val="19"/>
          <w:spacing w:val="11"/>
        </w:rPr>
        <w:t xml:space="preserve"> assessment of UC disease activity.</w:t>
      </w:r>
    </w:p>
    <w:p>
      <w:pPr>
        <w:pStyle w:val="BodyText"/>
        <w:ind w:left="2620"/>
        <w:spacing w:before="205" w:line="248" w:lineRule="exact"/>
        <w:outlineLvl w:val="1"/>
        <w:rPr>
          <w:sz w:val="19"/>
          <w:szCs w:val="19"/>
        </w:rPr>
      </w:pPr>
      <w:r>
        <w:rPr>
          <w:sz w:val="19"/>
          <w:szCs w:val="19"/>
          <w:spacing w:val="16"/>
          <w:position w:val="3"/>
        </w:rPr>
        <w:t>3.7.</w:t>
      </w:r>
      <w:r>
        <w:rPr>
          <w:sz w:val="19"/>
          <w:szCs w:val="19"/>
          <w:spacing w:val="28"/>
          <w:w w:val="101"/>
          <w:position w:val="3"/>
        </w:rPr>
        <w:t xml:space="preserve"> </w:t>
      </w:r>
      <w:r>
        <w:rPr>
          <w:sz w:val="19"/>
          <w:szCs w:val="19"/>
          <w:position w:val="3"/>
        </w:rPr>
        <w:t>Quality</w:t>
      </w:r>
      <w:r>
        <w:rPr>
          <w:sz w:val="19"/>
          <w:szCs w:val="19"/>
          <w:spacing w:val="16"/>
          <w:position w:val="3"/>
        </w:rPr>
        <w:t xml:space="preserve"> </w:t>
      </w:r>
      <w:r>
        <w:rPr>
          <w:sz w:val="19"/>
          <w:szCs w:val="19"/>
          <w:position w:val="3"/>
        </w:rPr>
        <w:t>of</w:t>
      </w:r>
      <w:r>
        <w:rPr>
          <w:sz w:val="19"/>
          <w:szCs w:val="19"/>
          <w:spacing w:val="16"/>
          <w:position w:val="3"/>
        </w:rPr>
        <w:t xml:space="preserve"> </w:t>
      </w:r>
      <w:r>
        <w:rPr>
          <w:sz w:val="19"/>
          <w:szCs w:val="19"/>
          <w:position w:val="3"/>
        </w:rPr>
        <w:t>Life</w:t>
      </w:r>
      <w:r>
        <w:rPr>
          <w:sz w:val="19"/>
          <w:szCs w:val="19"/>
          <w:spacing w:val="16"/>
          <w:position w:val="3"/>
        </w:rPr>
        <w:t>/</w:t>
      </w:r>
      <w:r>
        <w:rPr>
          <w:sz w:val="19"/>
          <w:szCs w:val="19"/>
          <w:position w:val="3"/>
        </w:rPr>
        <w:t>Disability</w:t>
      </w:r>
      <w:r>
        <w:rPr>
          <w:sz w:val="19"/>
          <w:szCs w:val="19"/>
          <w:spacing w:val="16"/>
          <w:position w:val="3"/>
        </w:rPr>
        <w:t>-</w:t>
      </w:r>
      <w:r>
        <w:rPr>
          <w:sz w:val="19"/>
          <w:szCs w:val="19"/>
          <w:position w:val="3"/>
        </w:rPr>
        <w:t>Based</w:t>
      </w:r>
      <w:r>
        <w:rPr>
          <w:sz w:val="19"/>
          <w:szCs w:val="19"/>
          <w:spacing w:val="16"/>
          <w:position w:val="3"/>
        </w:rPr>
        <w:t xml:space="preserve"> </w:t>
      </w:r>
      <w:r>
        <w:rPr>
          <w:sz w:val="19"/>
          <w:szCs w:val="19"/>
          <w:position w:val="3"/>
        </w:rPr>
        <w:t>De</w:t>
      </w:r>
      <w:r>
        <w:rPr>
          <w:sz w:val="19"/>
          <w:szCs w:val="19"/>
          <w:spacing w:val="16"/>
          <w:position w:val="3"/>
        </w:rPr>
        <w:t>ﬁ</w:t>
      </w:r>
      <w:r>
        <w:rPr>
          <w:sz w:val="19"/>
          <w:szCs w:val="19"/>
          <w:position w:val="3"/>
        </w:rPr>
        <w:t>nitions</w:t>
      </w:r>
      <w:r>
        <w:rPr>
          <w:sz w:val="19"/>
          <w:szCs w:val="19"/>
          <w:spacing w:val="16"/>
          <w:position w:val="3"/>
        </w:rPr>
        <w:t xml:space="preserve"> </w:t>
      </w:r>
      <w:r>
        <w:rPr>
          <w:sz w:val="19"/>
          <w:szCs w:val="19"/>
          <w:position w:val="3"/>
        </w:rPr>
        <w:t>of</w:t>
      </w:r>
      <w:r>
        <w:rPr>
          <w:sz w:val="19"/>
          <w:szCs w:val="19"/>
          <w:spacing w:val="16"/>
          <w:position w:val="3"/>
        </w:rPr>
        <w:t xml:space="preserve"> </w:t>
      </w:r>
      <w:r>
        <w:rPr>
          <w:sz w:val="19"/>
          <w:szCs w:val="19"/>
          <w:position w:val="3"/>
        </w:rPr>
        <w:t>Mild</w:t>
      </w:r>
      <w:r>
        <w:rPr>
          <w:sz w:val="19"/>
          <w:szCs w:val="19"/>
          <w:spacing w:val="16"/>
          <w:position w:val="3"/>
        </w:rPr>
        <w:t>-</w:t>
      </w:r>
      <w:r>
        <w:rPr>
          <w:sz w:val="19"/>
          <w:szCs w:val="19"/>
          <w:position w:val="3"/>
        </w:rPr>
        <w:t>to</w:t>
      </w:r>
      <w:r>
        <w:rPr>
          <w:sz w:val="19"/>
          <w:szCs w:val="19"/>
          <w:spacing w:val="16"/>
          <w:position w:val="3"/>
        </w:rPr>
        <w:t>-</w:t>
      </w:r>
      <w:r>
        <w:rPr>
          <w:sz w:val="19"/>
          <w:szCs w:val="19"/>
          <w:position w:val="3"/>
        </w:rPr>
        <w:t>Moderate</w:t>
      </w:r>
      <w:r>
        <w:rPr>
          <w:sz w:val="19"/>
          <w:szCs w:val="19"/>
          <w:spacing w:val="19"/>
          <w:w w:val="101"/>
          <w:position w:val="3"/>
        </w:rPr>
        <w:t xml:space="preserve"> </w:t>
      </w:r>
      <w:r>
        <w:rPr>
          <w:sz w:val="19"/>
          <w:szCs w:val="19"/>
          <w:position w:val="3"/>
        </w:rPr>
        <w:t>UC</w:t>
      </w:r>
    </w:p>
    <w:p>
      <w:pPr>
        <w:pStyle w:val="BodyText"/>
        <w:ind w:left="2619" w:right="1" w:firstLine="425"/>
        <w:spacing w:before="104" w:line="258" w:lineRule="auto"/>
        <w:jc w:val="both"/>
        <w:rPr>
          <w:sz w:val="19"/>
          <w:szCs w:val="19"/>
        </w:rPr>
      </w:pPr>
      <w:r>
        <w:rPr>
          <w:sz w:val="19"/>
          <w:szCs w:val="19"/>
          <w:spacing w:val="13"/>
        </w:rPr>
        <w:t>The panel agreed that quality of life, disability, fatigue and work productivity mea–</w:t>
      </w:r>
      <w:r>
        <w:rPr>
          <w:sz w:val="19"/>
          <w:szCs w:val="19"/>
          <w:spacing w:val="13"/>
          <w:w w:val="101"/>
        </w:rPr>
        <w:t xml:space="preserve"> </w:t>
      </w:r>
      <w:r>
        <w:rPr>
          <w:sz w:val="19"/>
          <w:szCs w:val="19"/>
          <w:spacing w:val="12"/>
        </w:rPr>
        <w:t>surements were important when deﬁning mild–</w:t>
      </w:r>
      <w:r>
        <w:rPr>
          <w:sz w:val="19"/>
          <w:szCs w:val="19"/>
          <w:spacing w:val="11"/>
        </w:rPr>
        <w:t>to–moderate UC; the latter should not have</w:t>
      </w:r>
      <w:r>
        <w:rPr>
          <w:sz w:val="19"/>
          <w:szCs w:val="19"/>
        </w:rPr>
        <w:t xml:space="preserve">  </w:t>
      </w:r>
      <w:r>
        <w:rPr>
          <w:sz w:val="19"/>
          <w:szCs w:val="19"/>
          <w:spacing w:val="12"/>
        </w:rPr>
        <w:t>more than a small impact</w:t>
      </w:r>
      <w:r>
        <w:rPr>
          <w:sz w:val="19"/>
          <w:szCs w:val="19"/>
          <w:spacing w:val="11"/>
        </w:rPr>
        <w:t xml:space="preserve"> on daily activities.</w:t>
      </w:r>
    </w:p>
    <w:p>
      <w:pPr>
        <w:pStyle w:val="BodyText"/>
        <w:ind w:left="2618"/>
        <w:spacing w:before="206" w:line="246" w:lineRule="exact"/>
        <w:outlineLvl w:val="0"/>
        <w:rPr>
          <w:sz w:val="19"/>
          <w:szCs w:val="19"/>
        </w:rPr>
      </w:pPr>
      <w:r>
        <w:rPr>
          <w:sz w:val="19"/>
          <w:szCs w:val="19"/>
          <w:b/>
          <w:bCs/>
          <w:spacing w:val="12"/>
          <w:position w:val="1"/>
        </w:rPr>
        <w:t>4.</w:t>
      </w:r>
      <w:r>
        <w:rPr>
          <w:sz w:val="19"/>
          <w:szCs w:val="19"/>
          <w:b/>
          <w:bCs/>
          <w:spacing w:val="25"/>
          <w:position w:val="1"/>
        </w:rPr>
        <w:t xml:space="preserve"> </w:t>
      </w:r>
      <w:r>
        <w:rPr>
          <w:sz w:val="19"/>
          <w:szCs w:val="19"/>
          <w:b/>
          <w:bCs/>
          <w:spacing w:val="12"/>
          <w:position w:val="1"/>
        </w:rPr>
        <w:t>Discussion</w:t>
      </w:r>
    </w:p>
    <w:p>
      <w:pPr>
        <w:pStyle w:val="BodyText"/>
        <w:ind w:left="2613" w:firstLine="432"/>
        <w:spacing w:before="104" w:line="268" w:lineRule="auto"/>
        <w:jc w:val="both"/>
        <w:rPr>
          <w:sz w:val="19"/>
          <w:szCs w:val="19"/>
        </w:rPr>
      </w:pPr>
      <w:r>
        <w:rPr>
          <w:sz w:val="19"/>
          <w:szCs w:val="19"/>
          <w:spacing w:val="14"/>
        </w:rPr>
        <w:t>For RCTs in patients with UC, the lack of</w:t>
      </w:r>
      <w:r>
        <w:rPr>
          <w:sz w:val="19"/>
          <w:szCs w:val="19"/>
          <w:spacing w:val="15"/>
          <w:w w:val="101"/>
        </w:rPr>
        <w:t xml:space="preserve"> </w:t>
      </w:r>
      <w:r>
        <w:rPr>
          <w:sz w:val="19"/>
          <w:szCs w:val="19"/>
          <w:spacing w:val="14"/>
        </w:rPr>
        <w:t>a</w:t>
      </w:r>
      <w:r>
        <w:rPr>
          <w:sz w:val="19"/>
          <w:szCs w:val="19"/>
          <w:spacing w:val="15"/>
          <w:w w:val="101"/>
        </w:rPr>
        <w:t xml:space="preserve"> </w:t>
      </w:r>
      <w:r>
        <w:rPr>
          <w:sz w:val="19"/>
          <w:szCs w:val="19"/>
          <w:spacing w:val="14"/>
        </w:rPr>
        <w:t>com</w:t>
      </w:r>
      <w:r>
        <w:rPr>
          <w:sz w:val="19"/>
          <w:szCs w:val="19"/>
          <w:spacing w:val="13"/>
        </w:rPr>
        <w:t>monly</w:t>
      </w:r>
      <w:r>
        <w:rPr>
          <w:sz w:val="19"/>
          <w:szCs w:val="19"/>
          <w:spacing w:val="16"/>
          <w:w w:val="101"/>
        </w:rPr>
        <w:t xml:space="preserve"> </w:t>
      </w:r>
      <w:r>
        <w:rPr>
          <w:sz w:val="19"/>
          <w:szCs w:val="19"/>
          <w:spacing w:val="13"/>
        </w:rPr>
        <w:t>accepted</w:t>
      </w:r>
      <w:r>
        <w:rPr>
          <w:sz w:val="19"/>
          <w:szCs w:val="19"/>
          <w:spacing w:val="17"/>
        </w:rPr>
        <w:t xml:space="preserve"> </w:t>
      </w:r>
      <w:r>
        <w:rPr>
          <w:sz w:val="19"/>
          <w:szCs w:val="19"/>
          <w:spacing w:val="13"/>
        </w:rPr>
        <w:t>deﬁnition</w:t>
      </w:r>
      <w:r>
        <w:rPr>
          <w:sz w:val="19"/>
          <w:szCs w:val="19"/>
          <w:spacing w:val="16"/>
          <w:w w:val="101"/>
        </w:rPr>
        <w:t xml:space="preserve"> </w:t>
      </w:r>
      <w:r>
        <w:rPr>
          <w:sz w:val="19"/>
          <w:szCs w:val="19"/>
          <w:spacing w:val="13"/>
        </w:rPr>
        <w:t>of mild–</w:t>
      </w:r>
      <w:r>
        <w:rPr>
          <w:sz w:val="19"/>
          <w:szCs w:val="19"/>
        </w:rPr>
        <w:t xml:space="preserve"> </w:t>
      </w:r>
      <w:r>
        <w:rPr>
          <w:sz w:val="19"/>
          <w:szCs w:val="19"/>
          <w:spacing w:val="13"/>
        </w:rPr>
        <w:t>to–moderate disease </w:t>
      </w:r>
      <w:r>
        <w:rPr>
          <w:sz w:val="19"/>
          <w:szCs w:val="19"/>
          <w:spacing w:val="12"/>
        </w:rPr>
        <w:t>activity means that the data are heterogeneous and poorly replicable.</w:t>
      </w:r>
      <w:r>
        <w:rPr>
          <w:sz w:val="19"/>
          <w:szCs w:val="19"/>
        </w:rPr>
        <w:t xml:space="preserve"> </w:t>
      </w:r>
      <w:r>
        <w:rPr>
          <w:sz w:val="19"/>
          <w:szCs w:val="19"/>
          <w:spacing w:val="10"/>
        </w:rPr>
        <w:t>This can have a negative impact in clinical practice via the undertreatment</w:t>
      </w:r>
      <w:r>
        <w:rPr>
          <w:sz w:val="19"/>
          <w:szCs w:val="19"/>
          <w:spacing w:val="4"/>
        </w:rPr>
        <w:t xml:space="preserve"> </w:t>
      </w:r>
      <w:r>
        <w:rPr>
          <w:sz w:val="19"/>
          <w:szCs w:val="19"/>
          <w:spacing w:val="10"/>
        </w:rPr>
        <w:t>or</w:t>
      </w:r>
      <w:r>
        <w:rPr>
          <w:sz w:val="19"/>
          <w:szCs w:val="19"/>
          <w:spacing w:val="4"/>
        </w:rPr>
        <w:t xml:space="preserve"> </w:t>
      </w:r>
      <w:r>
        <w:rPr>
          <w:sz w:val="19"/>
          <w:szCs w:val="19"/>
          <w:spacing w:val="10"/>
        </w:rPr>
        <w:t>overtr</w:t>
      </w:r>
      <w:r>
        <w:rPr>
          <w:sz w:val="19"/>
          <w:szCs w:val="19"/>
          <w:spacing w:val="9"/>
        </w:rPr>
        <w:t>eatment</w:t>
      </w:r>
      <w:r>
        <w:rPr>
          <w:sz w:val="19"/>
          <w:szCs w:val="19"/>
        </w:rPr>
        <w:t xml:space="preserve">  </w:t>
      </w:r>
      <w:r>
        <w:rPr>
          <w:sz w:val="19"/>
          <w:szCs w:val="19"/>
          <w:spacing w:val="15"/>
        </w:rPr>
        <w:t>of patients.</w:t>
      </w:r>
      <w:r>
        <w:rPr>
          <w:sz w:val="19"/>
          <w:szCs w:val="19"/>
          <w:spacing w:val="4"/>
        </w:rPr>
        <w:t xml:space="preserve">  </w:t>
      </w:r>
      <w:r>
        <w:rPr>
          <w:sz w:val="19"/>
          <w:szCs w:val="19"/>
          <w:spacing w:val="15"/>
        </w:rPr>
        <w:t>Our international panel of experts</w:t>
      </w:r>
      <w:r>
        <w:rPr>
          <w:sz w:val="19"/>
          <w:szCs w:val="19"/>
          <w:spacing w:val="22"/>
        </w:rPr>
        <w:t xml:space="preserve"> </w:t>
      </w:r>
      <w:r>
        <w:rPr>
          <w:sz w:val="19"/>
          <w:szCs w:val="19"/>
          <w:spacing w:val="15"/>
        </w:rPr>
        <w:t>suggested</w:t>
      </w:r>
      <w:r>
        <w:rPr>
          <w:sz w:val="19"/>
          <w:szCs w:val="19"/>
          <w:spacing w:val="21"/>
          <w:w w:val="101"/>
        </w:rPr>
        <w:t xml:space="preserve"> </w:t>
      </w:r>
      <w:r>
        <w:rPr>
          <w:sz w:val="19"/>
          <w:szCs w:val="19"/>
          <w:spacing w:val="15"/>
        </w:rPr>
        <w:t>a</w:t>
      </w:r>
      <w:r>
        <w:rPr>
          <w:sz w:val="19"/>
          <w:szCs w:val="19"/>
          <w:spacing w:val="20"/>
        </w:rPr>
        <w:t xml:space="preserve"> </w:t>
      </w:r>
      <w:r>
        <w:rPr>
          <w:sz w:val="19"/>
          <w:szCs w:val="19"/>
          <w:spacing w:val="15"/>
        </w:rPr>
        <w:t>consensus</w:t>
      </w:r>
      <w:r>
        <w:rPr>
          <w:sz w:val="19"/>
          <w:szCs w:val="19"/>
          <w:spacing w:val="19"/>
        </w:rPr>
        <w:t xml:space="preserve"> </w:t>
      </w:r>
      <w:r>
        <w:rPr>
          <w:sz w:val="19"/>
          <w:szCs w:val="19"/>
          <w:spacing w:val="15"/>
        </w:rPr>
        <w:t>li</w:t>
      </w:r>
      <w:r>
        <w:rPr>
          <w:sz w:val="19"/>
          <w:szCs w:val="19"/>
          <w:spacing w:val="14"/>
        </w:rPr>
        <w:t>st</w:t>
      </w:r>
      <w:r>
        <w:rPr>
          <w:sz w:val="19"/>
          <w:szCs w:val="19"/>
          <w:spacing w:val="21"/>
          <w:w w:val="101"/>
        </w:rPr>
        <w:t xml:space="preserve"> </w:t>
      </w:r>
      <w:r>
        <w:rPr>
          <w:sz w:val="19"/>
          <w:szCs w:val="19"/>
          <w:spacing w:val="14"/>
        </w:rPr>
        <w:t>of items</w:t>
      </w:r>
      <w:r>
        <w:rPr>
          <w:sz w:val="19"/>
          <w:szCs w:val="19"/>
          <w:spacing w:val="19"/>
        </w:rPr>
        <w:t xml:space="preserve"> </w:t>
      </w:r>
      <w:r>
        <w:rPr>
          <w:sz w:val="19"/>
          <w:szCs w:val="19"/>
          <w:spacing w:val="14"/>
        </w:rPr>
        <w:t>that</w:t>
      </w:r>
      <w:r>
        <w:rPr>
          <w:sz w:val="19"/>
          <w:szCs w:val="19"/>
        </w:rPr>
        <w:t xml:space="preserve">  </w:t>
      </w:r>
      <w:r>
        <w:rPr>
          <w:sz w:val="19"/>
          <w:szCs w:val="19"/>
          <w:spacing w:val="12"/>
        </w:rPr>
        <w:t>should be included in the deﬁnition of mild–to–moderate diseas</w:t>
      </w:r>
      <w:r>
        <w:rPr>
          <w:sz w:val="19"/>
          <w:szCs w:val="19"/>
          <w:spacing w:val="11"/>
        </w:rPr>
        <w:t>e activity in adult patients</w:t>
      </w:r>
      <w:r>
        <w:rPr>
          <w:sz w:val="19"/>
          <w:szCs w:val="19"/>
        </w:rPr>
        <w:t xml:space="preserve">  </w:t>
      </w:r>
      <w:r>
        <w:rPr>
          <w:sz w:val="19"/>
          <w:szCs w:val="19"/>
          <w:spacing w:val="10"/>
        </w:rPr>
        <w:t>screened for inclusion in UC clinical trials (Tab</w:t>
      </w:r>
      <w:r>
        <w:rPr>
          <w:sz w:val="19"/>
          <w:szCs w:val="19"/>
          <w:spacing w:val="9"/>
        </w:rPr>
        <w:t>le</w:t>
      </w:r>
      <w:r>
        <w:rPr>
          <w:sz w:val="19"/>
          <w:szCs w:val="19"/>
          <w:spacing w:val="-18"/>
        </w:rPr>
        <w:t xml:space="preserve"> </w:t>
      </w:r>
      <w:hyperlink w:history="true" w:anchor="bookmark11">
        <w:r>
          <w:rPr>
            <w:sz w:val="19"/>
            <w:szCs w:val="19"/>
            <w:color w:val="0875B7"/>
            <w:spacing w:val="9"/>
          </w:rPr>
          <w:t>2</w:t>
        </w:r>
      </w:hyperlink>
      <w:r>
        <w:rPr>
          <w:sz w:val="19"/>
          <w:szCs w:val="19"/>
          <w:spacing w:val="9"/>
        </w:rPr>
        <w:t>).</w:t>
      </w:r>
    </w:p>
    <w:p>
      <w:pPr>
        <w:pStyle w:val="BodyText"/>
        <w:spacing w:before="44" w:line="221" w:lineRule="auto"/>
        <w:jc w:val="right"/>
        <w:rPr>
          <w:sz w:val="19"/>
          <w:szCs w:val="19"/>
        </w:rPr>
      </w:pPr>
      <w:r>
        <w:rPr>
          <w:sz w:val="19"/>
          <w:szCs w:val="19"/>
          <w:spacing w:val="13"/>
        </w:rPr>
        <w:t>Using a modiﬁed RAND/UCLA method, a consensus was reached for 29 statements.</w:t>
      </w:r>
    </w:p>
    <w:p>
      <w:pPr>
        <w:pStyle w:val="BodyText"/>
        <w:ind w:left="2612" w:right="34" w:firstLine="1"/>
        <w:spacing w:before="50" w:line="262" w:lineRule="auto"/>
        <w:jc w:val="both"/>
        <w:rPr>
          <w:sz w:val="19"/>
          <w:szCs w:val="19"/>
        </w:rPr>
      </w:pPr>
      <w:r>
        <w:rPr>
          <w:sz w:val="19"/>
          <w:szCs w:val="19"/>
          <w:spacing w:val="13"/>
        </w:rPr>
        <w:t>The expert panel members came from different countries/continents and diverse practice</w:t>
      </w:r>
      <w:r>
        <w:rPr>
          <w:sz w:val="19"/>
          <w:szCs w:val="19"/>
          <w:spacing w:val="9"/>
        </w:rPr>
        <w:t xml:space="preserve"> </w:t>
      </w:r>
      <w:r>
        <w:rPr>
          <w:sz w:val="19"/>
          <w:szCs w:val="19"/>
          <w:spacing w:val="12"/>
        </w:rPr>
        <w:t>settings. However, not all countries with expertise in the ﬁeld of IBD were represent</w:t>
      </w:r>
      <w:r>
        <w:rPr>
          <w:sz w:val="19"/>
          <w:szCs w:val="19"/>
          <w:spacing w:val="11"/>
        </w:rPr>
        <w:t>ed in</w:t>
      </w:r>
      <w:r>
        <w:rPr>
          <w:sz w:val="19"/>
          <w:szCs w:val="19"/>
        </w:rPr>
        <w:t xml:space="preserve"> </w:t>
      </w:r>
      <w:r>
        <w:rPr>
          <w:sz w:val="19"/>
          <w:szCs w:val="19"/>
          <w:spacing w:val="12"/>
        </w:rPr>
        <w:t>this panel of experts. The consensus statements w</w:t>
      </w:r>
      <w:r>
        <w:rPr>
          <w:sz w:val="19"/>
          <w:szCs w:val="19"/>
          <w:spacing w:val="11"/>
        </w:rPr>
        <w:t>ere considered for use in future RCTs in</w:t>
      </w:r>
      <w:r>
        <w:rPr>
          <w:sz w:val="19"/>
          <w:szCs w:val="19"/>
        </w:rPr>
        <w:t xml:space="preserve"> </w:t>
      </w:r>
      <w:r>
        <w:rPr>
          <w:sz w:val="19"/>
          <w:szCs w:val="19"/>
          <w:spacing w:val="12"/>
        </w:rPr>
        <w:t>patients with UC.</w:t>
      </w:r>
    </w:p>
    <w:p>
      <w:pPr>
        <w:spacing w:line="262" w:lineRule="auto"/>
        <w:sectPr>
          <w:headerReference w:type="default" r:id="rId30"/>
          <w:pgSz w:w="11906" w:h="16838"/>
          <w:pgMar w:top="1442" w:right="685" w:bottom="0" w:left="711" w:header="1086" w:footer="0" w:gutter="0"/>
        </w:sectPr>
        <w:rPr>
          <w:sz w:val="19"/>
          <w:szCs w:val="19"/>
        </w:rPr>
      </w:pPr>
    </w:p>
    <w:p>
      <w:pPr>
        <w:spacing w:line="452" w:lineRule="auto"/>
        <w:rPr>
          <w:rFonts w:ascii="Arial"/>
          <w:sz w:val="21"/>
        </w:rPr>
      </w:pPr>
      <w:r/>
    </w:p>
    <w:p>
      <w:pPr>
        <w:pStyle w:val="BodyText"/>
        <w:ind w:left="2613"/>
        <w:spacing w:before="49" w:line="222" w:lineRule="auto"/>
        <w:rPr/>
      </w:pPr>
      <w:r>
        <w:pict>
          <v:shape id="_x0000_s20" style="position:absolute;margin-left:131.22pt;margin-top:19.229pt;mso-position-vertical-relative:text;mso-position-horizontal-relative:text;width:392.9pt;height:0.8pt;z-index:251674624;" filled="false" strokecolor="#000000" strokeweight="0.80pt" coordsize="7857,16" coordorigin="0,0" path="m0,7l7857,7e">
            <v:stroke joinstyle="miter" miterlimit="10"/>
          </v:shape>
        </w:pict>
      </w:r>
      <w:bookmarkStart w:name="bookmark11" w:id="2"/>
      <w:bookmarkEnd w:id="2"/>
      <w:r>
        <w:rPr>
          <w:b/>
          <w:bCs/>
          <w:spacing w:val="10"/>
        </w:rPr>
        <w:t>Table 2. </w:t>
      </w:r>
      <w:r>
        <w:rPr>
          <w:spacing w:val="10"/>
        </w:rPr>
        <w:t>Proposal for a deﬁnition of mild to moderate ul</w:t>
      </w:r>
      <w:r>
        <w:rPr>
          <w:spacing w:val="9"/>
        </w:rPr>
        <w:t>cerative colitis for clinical trials.</w:t>
      </w:r>
    </w:p>
    <w:p>
      <w:pPr>
        <w:pStyle w:val="BodyText"/>
        <w:ind w:left="4954"/>
        <w:spacing w:before="240" w:line="222" w:lineRule="auto"/>
        <w:rPr/>
      </w:pPr>
      <w:r>
        <w:rPr>
          <w:spacing w:val="9"/>
        </w:rPr>
        <w:t>Mayo Clinic score of at least 4 including:</w:t>
      </w:r>
    </w:p>
    <w:p>
      <w:pPr>
        <w:pStyle w:val="BodyText"/>
        <w:ind w:left="4983"/>
        <w:spacing w:before="59" w:line="230" w:lineRule="exact"/>
        <w:rPr/>
      </w:pPr>
      <w:r>
        <w:rPr>
          <w:position w:val="-3"/>
        </w:rPr>
        <w:drawing>
          <wp:inline distT="0" distB="0" distL="0" distR="0">
            <wp:extent cx="42748" cy="120993"/>
            <wp:effectExtent l="0" t="0" r="0" b="0"/>
            <wp:docPr id="28" name="IM 28"/>
            <wp:cNvGraphicFramePr/>
            <a:graphic>
              <a:graphicData uri="http://schemas.openxmlformats.org/drawingml/2006/picture">
                <pic:pic>
                  <pic:nvPicPr>
                    <pic:cNvPr id="28" name="IM 28"/>
                    <pic:cNvPicPr/>
                  </pic:nvPicPr>
                  <pic:blipFill>
                    <a:blip r:embed="rId32"/>
                    <a:stretch>
                      <a:fillRect/>
                    </a:stretch>
                  </pic:blipFill>
                  <pic:spPr>
                    <a:xfrm rot="0">
                      <a:off x="0" y="0"/>
                      <a:ext cx="42748" cy="120993"/>
                    </a:xfrm>
                    <a:prstGeom prst="rect">
                      <a:avLst/>
                    </a:prstGeom>
                  </pic:spPr>
                </pic:pic>
              </a:graphicData>
            </a:graphic>
          </wp:inline>
        </w:drawing>
      </w:r>
      <w:r>
        <w:rPr>
          <w:spacing w:val="-3"/>
          <w:position w:val="3"/>
        </w:rPr>
        <w:t xml:space="preserve"> </w:t>
      </w:r>
      <w:r>
        <w:rPr>
          <w:spacing w:val="9"/>
          <w:position w:val="3"/>
        </w:rPr>
        <w:t>Endoscopic sub–score of</w:t>
      </w:r>
      <w:r>
        <w:rPr>
          <w:spacing w:val="8"/>
          <w:position w:val="3"/>
        </w:rPr>
        <w:t xml:space="preserve"> at least 2</w:t>
      </w:r>
    </w:p>
    <w:p>
      <w:pPr>
        <w:pStyle w:val="BodyText"/>
        <w:ind w:left="4714"/>
        <w:spacing w:line="230" w:lineRule="exact"/>
        <w:outlineLvl w:val="0"/>
        <w:rPr/>
      </w:pPr>
      <w:r>
        <w:rPr>
          <w:position w:val="-3"/>
        </w:rPr>
        <w:drawing>
          <wp:inline distT="0" distB="0" distL="0" distR="0">
            <wp:extent cx="42748" cy="120992"/>
            <wp:effectExtent l="0" t="0" r="0" b="0"/>
            <wp:docPr id="30" name="IM 30"/>
            <wp:cNvGraphicFramePr/>
            <a:graphic>
              <a:graphicData uri="http://schemas.openxmlformats.org/drawingml/2006/picture">
                <pic:pic>
                  <pic:nvPicPr>
                    <pic:cNvPr id="30" name="IM 30"/>
                    <pic:cNvPicPr/>
                  </pic:nvPicPr>
                  <pic:blipFill>
                    <a:blip r:embed="rId33"/>
                    <a:stretch>
                      <a:fillRect/>
                    </a:stretch>
                  </pic:blipFill>
                  <pic:spPr>
                    <a:xfrm rot="0">
                      <a:off x="0" y="0"/>
                      <a:ext cx="42748" cy="120992"/>
                    </a:xfrm>
                    <a:prstGeom prst="rect">
                      <a:avLst/>
                    </a:prstGeom>
                  </pic:spPr>
                </pic:pic>
              </a:graphicData>
            </a:graphic>
          </wp:inline>
        </w:drawing>
      </w:r>
      <w:r>
        <w:rPr>
          <w:spacing w:val="-3"/>
          <w:position w:val="3"/>
        </w:rPr>
        <w:t xml:space="preserve"> </w:t>
      </w:r>
      <w:r>
        <w:rPr>
          <w:spacing w:val="9"/>
          <w:position w:val="3"/>
        </w:rPr>
        <w:t>Rectal bleeding sub–score</w:t>
      </w:r>
      <w:r>
        <w:rPr>
          <w:spacing w:val="8"/>
          <w:position w:val="3"/>
        </w:rPr>
        <w:t xml:space="preserve"> of at least 1</w:t>
      </w:r>
    </w:p>
    <w:p>
      <w:pPr>
        <w:pStyle w:val="BodyText"/>
        <w:ind w:left="4311"/>
        <w:spacing w:before="16" w:line="233" w:lineRule="auto"/>
        <w:rPr/>
      </w:pPr>
      <w:r>
        <w:rPr>
          <w:position w:val="-5"/>
        </w:rPr>
        <w:drawing>
          <wp:inline distT="0" distB="0" distL="0" distR="0">
            <wp:extent cx="42748" cy="126872"/>
            <wp:effectExtent l="0" t="0" r="0" b="0"/>
            <wp:docPr id="32" name="IM 32"/>
            <wp:cNvGraphicFramePr/>
            <a:graphic>
              <a:graphicData uri="http://schemas.openxmlformats.org/drawingml/2006/picture">
                <pic:pic>
                  <pic:nvPicPr>
                    <pic:cNvPr id="32" name="IM 32"/>
                    <pic:cNvPicPr/>
                  </pic:nvPicPr>
                  <pic:blipFill>
                    <a:blip r:embed="rId34"/>
                    <a:stretch>
                      <a:fillRect/>
                    </a:stretch>
                  </pic:blipFill>
                  <pic:spPr>
                    <a:xfrm rot="0">
                      <a:off x="0" y="0"/>
                      <a:ext cx="42748" cy="126872"/>
                    </a:xfrm>
                    <a:prstGeom prst="rect">
                      <a:avLst/>
                    </a:prstGeom>
                  </pic:spPr>
                </pic:pic>
              </a:graphicData>
            </a:graphic>
          </wp:inline>
        </w:drawing>
      </w:r>
      <w:r>
        <w:rPr>
          <w:spacing w:val="-5"/>
        </w:rPr>
        <w:t xml:space="preserve"> </w:t>
      </w:r>
      <w:r>
        <w:rPr>
          <w:spacing w:val="11"/>
        </w:rPr>
        <w:t>No signiﬁcant impact on the patient’s </w:t>
      </w:r>
      <w:r>
        <w:rPr>
          <w:spacing w:val="10"/>
        </w:rPr>
        <w:t>daily activities</w:t>
      </w:r>
    </w:p>
    <w:p>
      <w:pPr>
        <w:spacing w:line="354" w:lineRule="auto"/>
        <w:rPr>
          <w:rFonts w:ascii="Arial"/>
          <w:sz w:val="21"/>
        </w:rPr>
      </w:pPr>
      <w:r>
        <w:pict>
          <v:shape id="_x0000_s22" style="position:absolute;margin-left:131.22pt;margin-top:2.91174pt;mso-position-vertical-relative:text;mso-position-horizontal-relative:text;width:392.9pt;height:0.8pt;z-index:251675648;" filled="false" strokecolor="#000000" strokeweight="0.80pt" coordsize="7857,16" coordorigin="0,0" path="m0,7l7857,7e">
            <v:stroke joinstyle="miter" miterlimit="10"/>
          </v:shape>
        </w:pict>
      </w:r>
      <w:r/>
    </w:p>
    <w:p>
      <w:pPr>
        <w:pStyle w:val="BodyText"/>
        <w:ind w:left="2612" w:right="1" w:firstLine="433"/>
        <w:spacing w:before="55" w:line="270" w:lineRule="auto"/>
        <w:jc w:val="both"/>
        <w:rPr>
          <w:sz w:val="19"/>
          <w:szCs w:val="19"/>
        </w:rPr>
      </w:pPr>
      <w:r>
        <w:rPr>
          <w:sz w:val="19"/>
          <w:szCs w:val="19"/>
          <w:spacing w:val="14"/>
        </w:rPr>
        <w:t>The panel members emphasized the need to combine clinic and endoscopic evalua–</w:t>
      </w:r>
      <w:r>
        <w:rPr>
          <w:sz w:val="19"/>
          <w:szCs w:val="19"/>
          <w:spacing w:val="11"/>
        </w:rPr>
        <w:t xml:space="preserve"> </w:t>
      </w:r>
      <w:r>
        <w:rPr>
          <w:sz w:val="19"/>
          <w:szCs w:val="19"/>
          <w:spacing w:val="12"/>
        </w:rPr>
        <w:t>tions when seeking to deﬁne mild–to–moderate UC. They agreed that fecal urgency, stool</w:t>
      </w:r>
      <w:r>
        <w:rPr>
          <w:sz w:val="19"/>
          <w:szCs w:val="19"/>
        </w:rPr>
        <w:t xml:space="preserve">  </w:t>
      </w:r>
      <w:r>
        <w:rPr>
          <w:sz w:val="19"/>
          <w:szCs w:val="19"/>
          <w:spacing w:val="13"/>
        </w:rPr>
        <w:t>frequency and rectal bleeding are appropriate in the assessm</w:t>
      </w:r>
      <w:r>
        <w:rPr>
          <w:sz w:val="19"/>
          <w:szCs w:val="19"/>
          <w:spacing w:val="12"/>
        </w:rPr>
        <w:t>ent of mild–to–moderate UC</w:t>
      </w:r>
      <w:r>
        <w:rPr>
          <w:sz w:val="19"/>
          <w:szCs w:val="19"/>
        </w:rPr>
        <w:t xml:space="preserve">  </w:t>
      </w:r>
      <w:r>
        <w:rPr>
          <w:sz w:val="19"/>
          <w:szCs w:val="19"/>
          <w:spacing w:val="14"/>
        </w:rPr>
        <w:t>disease activity. Fecal urgency is one of the common and most disabling symptoms that</w:t>
      </w:r>
      <w:r>
        <w:rPr>
          <w:sz w:val="19"/>
          <w:szCs w:val="19"/>
        </w:rPr>
        <w:t xml:space="preserve">  </w:t>
      </w:r>
      <w:r>
        <w:rPr>
          <w:sz w:val="19"/>
          <w:szCs w:val="19"/>
          <w:spacing w:val="10"/>
        </w:rPr>
        <w:t>patients with UC experience [</w:t>
      </w:r>
      <w:hyperlink w:history="true" w:anchor="bookmark12">
        <w:r>
          <w:rPr>
            <w:sz w:val="19"/>
            <w:szCs w:val="19"/>
            <w:color w:val="0875B7"/>
            <w:spacing w:val="10"/>
          </w:rPr>
          <w:t>14</w:t>
        </w:r>
      </w:hyperlink>
      <w:r>
        <w:rPr>
          <w:sz w:val="19"/>
          <w:szCs w:val="19"/>
          <w:spacing w:val="10"/>
        </w:rPr>
        <w:t>–</w:t>
      </w:r>
      <w:hyperlink w:history="true" w:anchor="bookmark13">
        <w:r>
          <w:rPr>
            <w:sz w:val="19"/>
            <w:szCs w:val="19"/>
            <w:color w:val="0875B7"/>
            <w:spacing w:val="10"/>
          </w:rPr>
          <w:t>17</w:t>
        </w:r>
      </w:hyperlink>
      <w:r>
        <w:rPr>
          <w:sz w:val="19"/>
          <w:szCs w:val="19"/>
          <w:spacing w:val="10"/>
        </w:rPr>
        <w:t>]. Although fecal</w:t>
      </w:r>
      <w:r>
        <w:rPr>
          <w:sz w:val="19"/>
          <w:szCs w:val="19"/>
          <w:spacing w:val="9"/>
        </w:rPr>
        <w:t xml:space="preserve"> urgency is a key symptom for deﬁning</w:t>
      </w:r>
      <w:r>
        <w:rPr>
          <w:sz w:val="19"/>
          <w:szCs w:val="19"/>
        </w:rPr>
        <w:t xml:space="preserve">  </w:t>
      </w:r>
      <w:r>
        <w:rPr>
          <w:sz w:val="19"/>
          <w:szCs w:val="19"/>
          <w:spacing w:val="14"/>
        </w:rPr>
        <w:t>severity of disease activity in clinical practice</w:t>
      </w:r>
      <w:r>
        <w:rPr>
          <w:sz w:val="19"/>
          <w:szCs w:val="19"/>
          <w:spacing w:val="19"/>
        </w:rPr>
        <w:t xml:space="preserve"> </w:t>
      </w:r>
      <w:r>
        <w:rPr>
          <w:sz w:val="19"/>
          <w:szCs w:val="19"/>
          <w:spacing w:val="14"/>
        </w:rPr>
        <w:t>and has</w:t>
      </w:r>
      <w:r>
        <w:rPr>
          <w:sz w:val="19"/>
          <w:szCs w:val="19"/>
          <w:spacing w:val="19"/>
        </w:rPr>
        <w:t xml:space="preserve"> </w:t>
      </w:r>
      <w:r>
        <w:rPr>
          <w:sz w:val="19"/>
          <w:szCs w:val="19"/>
          <w:spacing w:val="14"/>
        </w:rPr>
        <w:t>a</w:t>
      </w:r>
      <w:r>
        <w:rPr>
          <w:sz w:val="19"/>
          <w:szCs w:val="19"/>
          <w:spacing w:val="14"/>
          <w:w w:val="101"/>
        </w:rPr>
        <w:t xml:space="preserve"> </w:t>
      </w:r>
      <w:r>
        <w:rPr>
          <w:sz w:val="19"/>
          <w:szCs w:val="19"/>
          <w:spacing w:val="14"/>
        </w:rPr>
        <w:t>particularly</w:t>
      </w:r>
      <w:r>
        <w:rPr>
          <w:sz w:val="19"/>
          <w:szCs w:val="19"/>
          <w:spacing w:val="19"/>
          <w:w w:val="101"/>
        </w:rPr>
        <w:t xml:space="preserve"> </w:t>
      </w:r>
      <w:r>
        <w:rPr>
          <w:sz w:val="19"/>
          <w:szCs w:val="19"/>
          <w:spacing w:val="14"/>
        </w:rPr>
        <w:t>distressing</w:t>
      </w:r>
      <w:r>
        <w:rPr>
          <w:sz w:val="19"/>
          <w:szCs w:val="19"/>
          <w:spacing w:val="17"/>
        </w:rPr>
        <w:t xml:space="preserve"> </w:t>
      </w:r>
      <w:r>
        <w:rPr>
          <w:sz w:val="19"/>
          <w:szCs w:val="19"/>
          <w:spacing w:val="13"/>
        </w:rPr>
        <w:t>impact</w:t>
      </w:r>
      <w:r>
        <w:rPr>
          <w:sz w:val="19"/>
          <w:szCs w:val="19"/>
        </w:rPr>
        <w:t xml:space="preserve">  </w:t>
      </w:r>
      <w:r>
        <w:rPr>
          <w:sz w:val="19"/>
          <w:szCs w:val="19"/>
          <w:spacing w:val="13"/>
        </w:rPr>
        <w:t>on patients, it is not included in the tools currently used to deﬁn</w:t>
      </w:r>
      <w:r>
        <w:rPr>
          <w:sz w:val="19"/>
          <w:szCs w:val="19"/>
          <w:spacing w:val="12"/>
        </w:rPr>
        <w:t>e IBD severity [</w:t>
      </w:r>
      <w:hyperlink w:history="true" w:anchor="bookmark14">
        <w:r>
          <w:rPr>
            <w:sz w:val="19"/>
            <w:szCs w:val="19"/>
            <w:color w:val="0875B7"/>
            <w:spacing w:val="12"/>
          </w:rPr>
          <w:t>18</w:t>
        </w:r>
      </w:hyperlink>
      <w:r>
        <w:rPr>
          <w:sz w:val="19"/>
          <w:szCs w:val="19"/>
          <w:spacing w:val="12"/>
        </w:rPr>
        <w:t>]. The</w:t>
      </w:r>
      <w:r>
        <w:rPr>
          <w:sz w:val="19"/>
          <w:szCs w:val="19"/>
        </w:rPr>
        <w:t xml:space="preserve">  </w:t>
      </w:r>
      <w:r>
        <w:rPr>
          <w:sz w:val="19"/>
          <w:szCs w:val="19"/>
          <w:spacing w:val="9"/>
        </w:rPr>
        <w:t>Urgency Numeric Rating Scale (NRS), a v</w:t>
      </w:r>
      <w:r>
        <w:rPr>
          <w:sz w:val="19"/>
          <w:szCs w:val="19"/>
          <w:spacing w:val="8"/>
        </w:rPr>
        <w:t>alidated score to evaluate severity of fecal urgency</w:t>
      </w:r>
      <w:r>
        <w:rPr>
          <w:sz w:val="19"/>
          <w:szCs w:val="19"/>
        </w:rPr>
        <w:t xml:space="preserve"> </w:t>
      </w:r>
      <w:r>
        <w:rPr>
          <w:sz w:val="19"/>
          <w:szCs w:val="19"/>
          <w:spacing w:val="13"/>
        </w:rPr>
        <w:t>in adult patients with UC, could be used for a more appropriate and extensive</w:t>
      </w:r>
      <w:r>
        <w:rPr>
          <w:sz w:val="19"/>
          <w:szCs w:val="19"/>
          <w:spacing w:val="12"/>
        </w:rPr>
        <w:t xml:space="preserve"> evaluation</w:t>
      </w:r>
      <w:r>
        <w:rPr>
          <w:sz w:val="19"/>
          <w:szCs w:val="19"/>
        </w:rPr>
        <w:t xml:space="preserve">  </w:t>
      </w:r>
      <w:r>
        <w:rPr>
          <w:sz w:val="19"/>
          <w:szCs w:val="19"/>
          <w:spacing w:val="11"/>
        </w:rPr>
        <w:t>and categorization of disease activit</w:t>
      </w:r>
      <w:r>
        <w:rPr>
          <w:sz w:val="19"/>
          <w:szCs w:val="19"/>
          <w:spacing w:val="10"/>
        </w:rPr>
        <w:t>y [</w:t>
      </w:r>
      <w:hyperlink w:history="true" w:anchor="bookmark15">
        <w:r>
          <w:rPr>
            <w:sz w:val="19"/>
            <w:szCs w:val="19"/>
            <w:color w:val="0875B7"/>
            <w:spacing w:val="10"/>
          </w:rPr>
          <w:t>19</w:t>
        </w:r>
      </w:hyperlink>
      <w:r>
        <w:rPr>
          <w:sz w:val="19"/>
          <w:szCs w:val="19"/>
          <w:spacing w:val="10"/>
        </w:rPr>
        <w:t>].</w:t>
      </w:r>
    </w:p>
    <w:p>
      <w:pPr>
        <w:pStyle w:val="BodyText"/>
        <w:ind w:left="2613" w:firstLine="431"/>
        <w:spacing w:before="9" w:line="247" w:lineRule="auto"/>
        <w:jc w:val="both"/>
        <w:rPr>
          <w:sz w:val="19"/>
          <w:szCs w:val="19"/>
        </w:rPr>
      </w:pPr>
      <w:r>
        <w:rPr>
          <w:sz w:val="19"/>
          <w:szCs w:val="19"/>
          <w:spacing w:val="11"/>
        </w:rPr>
        <w:t>The panel members agreed that it is appropriate to use the endoscopic–based items of</w:t>
      </w:r>
      <w:r>
        <w:rPr>
          <w:sz w:val="19"/>
          <w:szCs w:val="19"/>
          <w:spacing w:val="5"/>
        </w:rPr>
        <w:t xml:space="preserve">  </w:t>
      </w:r>
      <w:r>
        <w:rPr>
          <w:sz w:val="19"/>
          <w:szCs w:val="19"/>
          <w:spacing w:val="12"/>
        </w:rPr>
        <w:t>the UCEIS and the MC</w:t>
      </w:r>
      <w:r>
        <w:rPr>
          <w:sz w:val="19"/>
          <w:szCs w:val="19"/>
          <w:spacing w:val="11"/>
        </w:rPr>
        <w:t>S to assess mild–to–moderate UC disease activity: vascular pattern,</w:t>
      </w:r>
      <w:r>
        <w:rPr>
          <w:sz w:val="19"/>
          <w:szCs w:val="19"/>
        </w:rPr>
        <w:t xml:space="preserve"> </w:t>
      </w:r>
      <w:r>
        <w:rPr>
          <w:sz w:val="19"/>
          <w:szCs w:val="19"/>
          <w:spacing w:val="11"/>
        </w:rPr>
        <w:t>bleeding, erosions </w:t>
      </w:r>
      <w:r>
        <w:rPr>
          <w:sz w:val="19"/>
          <w:szCs w:val="19"/>
          <w:spacing w:val="10"/>
        </w:rPr>
        <w:t>and ulcers. Several composite disease activity scales were considered by</w:t>
      </w:r>
      <w:r>
        <w:rPr>
          <w:sz w:val="19"/>
          <w:szCs w:val="19"/>
        </w:rPr>
        <w:t xml:space="preserve"> </w:t>
      </w:r>
      <w:r>
        <w:rPr>
          <w:sz w:val="19"/>
          <w:szCs w:val="19"/>
          <w:spacing w:val="11"/>
        </w:rPr>
        <w:t>the panel. An MCS score of at least 4 (including an endoscopic sub–score of at least 2 and</w:t>
      </w:r>
      <w:r>
        <w:rPr>
          <w:sz w:val="19"/>
          <w:szCs w:val="19"/>
          <w:spacing w:val="5"/>
        </w:rPr>
        <w:t xml:space="preserve">  </w:t>
      </w:r>
      <w:r>
        <w:rPr>
          <w:sz w:val="19"/>
          <w:szCs w:val="19"/>
          <w:spacing w:val="13"/>
        </w:rPr>
        <w:t>a rectal bleeding sub–score of at least 1) was voted as being appropriate; this de</w:t>
      </w:r>
      <w:r>
        <w:rPr>
          <w:sz w:val="19"/>
          <w:szCs w:val="19"/>
          <w:spacing w:val="12"/>
        </w:rPr>
        <w:t>cision is</w:t>
      </w:r>
      <w:r>
        <w:rPr>
          <w:sz w:val="19"/>
          <w:szCs w:val="19"/>
        </w:rPr>
        <w:t xml:space="preserve">  </w:t>
      </w:r>
      <w:r>
        <w:rPr>
          <w:sz w:val="19"/>
          <w:szCs w:val="19"/>
          <w:spacing w:val="13"/>
        </w:rPr>
        <w:t>consistent with the results of a</w:t>
      </w:r>
      <w:r>
        <w:rPr>
          <w:sz w:val="19"/>
          <w:szCs w:val="19"/>
          <w:spacing w:val="12"/>
        </w:rPr>
        <w:t xml:space="preserve"> recent study [</w:t>
      </w:r>
      <w:hyperlink w:history="true" w:anchor="bookmark6">
        <w:r>
          <w:rPr>
            <w:sz w:val="19"/>
            <w:szCs w:val="19"/>
            <w:color w:val="0875B7"/>
            <w:spacing w:val="12"/>
          </w:rPr>
          <w:t>10</w:t>
        </w:r>
      </w:hyperlink>
      <w:r>
        <w:rPr>
          <w:sz w:val="19"/>
          <w:szCs w:val="19"/>
          <w:spacing w:val="12"/>
        </w:rPr>
        <w:t>]. Sedano et al. deﬁned mild–to–moderate</w:t>
      </w:r>
      <w:r>
        <w:rPr>
          <w:sz w:val="19"/>
          <w:szCs w:val="19"/>
        </w:rPr>
        <w:t xml:space="preserve">  </w:t>
      </w:r>
      <w:r>
        <w:rPr>
          <w:sz w:val="19"/>
          <w:szCs w:val="19"/>
          <w:spacing w:val="10"/>
        </w:rPr>
        <w:t>active UC on the basis </w:t>
      </w:r>
      <w:r>
        <w:rPr>
          <w:sz w:val="19"/>
          <w:szCs w:val="19"/>
          <w:spacing w:val="9"/>
        </w:rPr>
        <w:t>of a MCS of 4 to 9 and an MES</w:t>
      </w:r>
      <w:r>
        <w:rPr>
          <w:sz w:val="19"/>
          <w:szCs w:val="19"/>
          <w:spacing w:val="22"/>
        </w:rPr>
        <w:t xml:space="preserve"> </w:t>
      </w:r>
      <w:r>
        <w:rPr>
          <w:rFonts w:ascii="Microsoft YaHei" w:hAnsi="Microsoft YaHei" w:eastAsia="Microsoft YaHei" w:cs="Microsoft YaHei"/>
          <w:sz w:val="20"/>
          <w:szCs w:val="20"/>
          <w:spacing w:val="9"/>
        </w:rPr>
        <w:t>≥</w:t>
      </w:r>
      <w:r>
        <w:rPr>
          <w:sz w:val="19"/>
          <w:szCs w:val="19"/>
          <w:spacing w:val="9"/>
        </w:rPr>
        <w:t>2 combined with a Rectal Bleeding</w:t>
      </w:r>
      <w:r>
        <w:rPr>
          <w:sz w:val="19"/>
          <w:szCs w:val="19"/>
        </w:rPr>
        <w:t xml:space="preserve">  </w:t>
      </w:r>
      <w:r>
        <w:rPr>
          <w:sz w:val="19"/>
          <w:szCs w:val="19"/>
          <w:spacing w:val="8"/>
        </w:rPr>
        <w:t>Sub–score (RBS)</w:t>
      </w:r>
      <w:r>
        <w:rPr>
          <w:sz w:val="19"/>
          <w:szCs w:val="19"/>
          <w:spacing w:val="26"/>
        </w:rPr>
        <w:t xml:space="preserve"> </w:t>
      </w:r>
      <w:r>
        <w:rPr>
          <w:rFonts w:ascii="Microsoft YaHei" w:hAnsi="Microsoft YaHei" w:eastAsia="Microsoft YaHei" w:cs="Microsoft YaHei"/>
          <w:sz w:val="20"/>
          <w:szCs w:val="20"/>
          <w:spacing w:val="8"/>
        </w:rPr>
        <w:t>≥</w:t>
      </w:r>
      <w:r>
        <w:rPr>
          <w:sz w:val="19"/>
          <w:szCs w:val="19"/>
          <w:spacing w:val="8"/>
        </w:rPr>
        <w:t>1, and a Stool Frequency Sub–score</w:t>
      </w:r>
      <w:r>
        <w:rPr>
          <w:sz w:val="19"/>
          <w:szCs w:val="19"/>
          <w:spacing w:val="22"/>
        </w:rPr>
        <w:t xml:space="preserve"> </w:t>
      </w:r>
      <w:r>
        <w:rPr>
          <w:rFonts w:ascii="Microsoft YaHei" w:hAnsi="Microsoft YaHei" w:eastAsia="Microsoft YaHei" w:cs="Microsoft YaHei"/>
          <w:sz w:val="20"/>
          <w:szCs w:val="20"/>
          <w:spacing w:val="8"/>
        </w:rPr>
        <w:t>≥</w:t>
      </w:r>
      <w:r>
        <w:rPr>
          <w:sz w:val="19"/>
          <w:szCs w:val="19"/>
          <w:spacing w:val="8"/>
        </w:rPr>
        <w:t>1 or MES</w:t>
      </w:r>
      <w:r>
        <w:rPr>
          <w:sz w:val="19"/>
          <w:szCs w:val="19"/>
          <w:spacing w:val="22"/>
        </w:rPr>
        <w:t xml:space="preserve"> </w:t>
      </w:r>
      <w:r>
        <w:rPr>
          <w:rFonts w:ascii="Microsoft YaHei" w:hAnsi="Microsoft YaHei" w:eastAsia="Microsoft YaHei" w:cs="Microsoft YaHei"/>
          <w:sz w:val="20"/>
          <w:szCs w:val="20"/>
          <w:spacing w:val="8"/>
        </w:rPr>
        <w:t>≥</w:t>
      </w:r>
      <w:r>
        <w:rPr>
          <w:sz w:val="19"/>
          <w:szCs w:val="19"/>
          <w:spacing w:val="8"/>
        </w:rPr>
        <w:t>1 and a Geboes score</w:t>
      </w:r>
      <w:r>
        <w:rPr>
          <w:sz w:val="19"/>
          <w:szCs w:val="19"/>
          <w:spacing w:val="11"/>
        </w:rPr>
        <w:t xml:space="preserve"> </w:t>
      </w:r>
      <w:r>
        <w:rPr>
          <w:sz w:val="19"/>
          <w:szCs w:val="19"/>
          <w:spacing w:val="8"/>
        </w:rPr>
        <w:t>&gt;</w:t>
      </w:r>
      <w:r>
        <w:rPr>
          <w:sz w:val="19"/>
          <w:szCs w:val="19"/>
        </w:rPr>
        <w:t xml:space="preserve"> </w:t>
      </w:r>
      <w:r>
        <w:rPr>
          <w:sz w:val="19"/>
          <w:szCs w:val="19"/>
          <w:spacing w:val="12"/>
        </w:rPr>
        <w:t>2.0 or Robarts Histopathology Index (RHI)</w:t>
      </w:r>
      <w:r>
        <w:rPr>
          <w:sz w:val="19"/>
          <w:szCs w:val="19"/>
          <w:spacing w:val="22"/>
          <w:w w:val="101"/>
        </w:rPr>
        <w:t xml:space="preserve"> </w:t>
      </w:r>
      <w:r>
        <w:rPr>
          <w:rFonts w:ascii="Microsoft YaHei" w:hAnsi="Microsoft YaHei" w:eastAsia="Microsoft YaHei" w:cs="Microsoft YaHei"/>
          <w:sz w:val="20"/>
          <w:szCs w:val="20"/>
          <w:spacing w:val="12"/>
        </w:rPr>
        <w:t>≥</w:t>
      </w:r>
      <w:r>
        <w:rPr>
          <w:sz w:val="19"/>
          <w:szCs w:val="19"/>
          <w:spacing w:val="12"/>
        </w:rPr>
        <w:t>10</w:t>
      </w:r>
      <w:r>
        <w:rPr>
          <w:sz w:val="19"/>
          <w:szCs w:val="19"/>
          <w:spacing w:val="11"/>
        </w:rPr>
        <w:t xml:space="preserve"> and/or fecal calprotectin &gt; 250</w:t>
      </w:r>
      <w:r>
        <w:rPr>
          <w:sz w:val="19"/>
          <w:szCs w:val="19"/>
          <w:spacing w:val="21"/>
        </w:rPr>
        <w:t xml:space="preserve"> </w:t>
      </w:r>
      <w:r>
        <w:rPr>
          <w:rFonts w:ascii="Arial" w:hAnsi="Arial" w:eastAsia="Arial" w:cs="Arial"/>
          <w:sz w:val="19"/>
          <w:szCs w:val="19"/>
          <w:spacing w:val="11"/>
        </w:rPr>
        <w:t>μ</w:t>
      </w:r>
      <w:r>
        <w:rPr>
          <w:sz w:val="19"/>
          <w:szCs w:val="19"/>
          <w:spacing w:val="11"/>
        </w:rPr>
        <w:t>g/g [</w:t>
      </w:r>
      <w:hyperlink w:history="true" w:anchor="bookmark6">
        <w:r>
          <w:rPr>
            <w:sz w:val="19"/>
            <w:szCs w:val="19"/>
            <w:color w:val="0875B7"/>
            <w:spacing w:val="11"/>
          </w:rPr>
          <w:t>10</w:t>
        </w:r>
      </w:hyperlink>
      <w:r>
        <w:rPr>
          <w:sz w:val="19"/>
          <w:szCs w:val="19"/>
          <w:spacing w:val="11"/>
        </w:rPr>
        <w:t>].</w:t>
      </w:r>
      <w:r>
        <w:rPr>
          <w:sz w:val="19"/>
          <w:szCs w:val="19"/>
        </w:rPr>
        <w:t xml:space="preserve"> </w:t>
      </w:r>
      <w:r>
        <w:rPr>
          <w:sz w:val="19"/>
          <w:szCs w:val="19"/>
          <w:spacing w:val="16"/>
        </w:rPr>
        <w:t>In</w:t>
      </w:r>
      <w:r>
        <w:rPr>
          <w:sz w:val="19"/>
          <w:szCs w:val="19"/>
          <w:spacing w:val="27"/>
          <w:w w:val="101"/>
        </w:rPr>
        <w:t xml:space="preserve"> </w:t>
      </w:r>
      <w:r>
        <w:rPr>
          <w:sz w:val="19"/>
          <w:szCs w:val="19"/>
          <w:spacing w:val="16"/>
        </w:rPr>
        <w:t>our</w:t>
      </w:r>
      <w:r>
        <w:rPr>
          <w:sz w:val="19"/>
          <w:szCs w:val="19"/>
          <w:spacing w:val="25"/>
          <w:w w:val="101"/>
        </w:rPr>
        <w:t xml:space="preserve"> </w:t>
      </w:r>
      <w:r>
        <w:rPr>
          <w:sz w:val="19"/>
          <w:szCs w:val="19"/>
          <w:spacing w:val="16"/>
        </w:rPr>
        <w:t>consensus,</w:t>
      </w:r>
      <w:r>
        <w:rPr>
          <w:sz w:val="19"/>
          <w:szCs w:val="19"/>
          <w:spacing w:val="29"/>
        </w:rPr>
        <w:t xml:space="preserve"> </w:t>
      </w:r>
      <w:r>
        <w:rPr>
          <w:sz w:val="19"/>
          <w:szCs w:val="19"/>
          <w:spacing w:val="16"/>
        </w:rPr>
        <w:t>there was no</w:t>
      </w:r>
      <w:r>
        <w:rPr>
          <w:sz w:val="19"/>
          <w:szCs w:val="19"/>
          <w:spacing w:val="27"/>
        </w:rPr>
        <w:t xml:space="preserve"> </w:t>
      </w:r>
      <w:r>
        <w:rPr>
          <w:sz w:val="19"/>
          <w:szCs w:val="19"/>
          <w:spacing w:val="16"/>
        </w:rPr>
        <w:t>agreement</w:t>
      </w:r>
      <w:r>
        <w:rPr>
          <w:sz w:val="19"/>
          <w:szCs w:val="19"/>
          <w:spacing w:val="26"/>
          <w:w w:val="101"/>
        </w:rPr>
        <w:t xml:space="preserve"> </w:t>
      </w:r>
      <w:r>
        <w:rPr>
          <w:sz w:val="19"/>
          <w:szCs w:val="19"/>
          <w:spacing w:val="16"/>
        </w:rPr>
        <w:t>on</w:t>
      </w:r>
      <w:r>
        <w:rPr>
          <w:sz w:val="19"/>
          <w:szCs w:val="19"/>
          <w:spacing w:val="25"/>
        </w:rPr>
        <w:t xml:space="preserve"> </w:t>
      </w:r>
      <w:r>
        <w:rPr>
          <w:sz w:val="19"/>
          <w:szCs w:val="19"/>
          <w:spacing w:val="16"/>
        </w:rPr>
        <w:t>the</w:t>
      </w:r>
      <w:r>
        <w:rPr>
          <w:sz w:val="19"/>
          <w:szCs w:val="19"/>
          <w:spacing w:val="23"/>
          <w:w w:val="101"/>
        </w:rPr>
        <w:t xml:space="preserve"> </w:t>
      </w:r>
      <w:r>
        <w:rPr>
          <w:sz w:val="19"/>
          <w:szCs w:val="19"/>
          <w:spacing w:val="16"/>
        </w:rPr>
        <w:t>use</w:t>
      </w:r>
      <w:r>
        <w:rPr>
          <w:sz w:val="19"/>
          <w:szCs w:val="19"/>
          <w:spacing w:val="27"/>
        </w:rPr>
        <w:t xml:space="preserve"> </w:t>
      </w:r>
      <w:r>
        <w:rPr>
          <w:sz w:val="19"/>
          <w:szCs w:val="19"/>
          <w:spacing w:val="16"/>
        </w:rPr>
        <w:t>of </w:t>
      </w:r>
      <w:r>
        <w:rPr>
          <w:sz w:val="19"/>
          <w:szCs w:val="19"/>
          <w:spacing w:val="15"/>
        </w:rPr>
        <w:t>histological</w:t>
      </w:r>
      <w:r>
        <w:rPr>
          <w:sz w:val="19"/>
          <w:szCs w:val="19"/>
          <w:spacing w:val="23"/>
          <w:w w:val="101"/>
        </w:rPr>
        <w:t xml:space="preserve"> </w:t>
      </w:r>
      <w:r>
        <w:rPr>
          <w:sz w:val="19"/>
          <w:szCs w:val="19"/>
          <w:spacing w:val="15"/>
        </w:rPr>
        <w:t>measurements</w:t>
      </w:r>
      <w:r>
        <w:rPr>
          <w:sz w:val="19"/>
          <w:szCs w:val="19"/>
          <w:spacing w:val="24"/>
          <w:w w:val="101"/>
        </w:rPr>
        <w:t xml:space="preserve"> </w:t>
      </w:r>
      <w:r>
        <w:rPr>
          <w:sz w:val="19"/>
          <w:szCs w:val="19"/>
          <w:spacing w:val="15"/>
        </w:rPr>
        <w:t>to</w:t>
      </w:r>
      <w:r>
        <w:rPr>
          <w:sz w:val="19"/>
          <w:szCs w:val="19"/>
        </w:rPr>
        <w:t xml:space="preserve">  </w:t>
      </w:r>
      <w:r>
        <w:rPr>
          <w:sz w:val="19"/>
          <w:szCs w:val="19"/>
          <w:spacing w:val="13"/>
        </w:rPr>
        <w:t>deﬁne mild–to–moderate UC. The pa</w:t>
      </w:r>
      <w:r>
        <w:rPr>
          <w:sz w:val="19"/>
          <w:szCs w:val="19"/>
          <w:spacing w:val="12"/>
        </w:rPr>
        <w:t>nel members determined that fecal calprotectin is an</w:t>
      </w:r>
      <w:r>
        <w:rPr>
          <w:sz w:val="19"/>
          <w:szCs w:val="19"/>
        </w:rPr>
        <w:t xml:space="preserve">  </w:t>
      </w:r>
      <w:r>
        <w:rPr>
          <w:sz w:val="19"/>
          <w:szCs w:val="19"/>
          <w:spacing w:val="12"/>
        </w:rPr>
        <w:t>appropriate marker for classifying disease activity in mild–to–moderate UC. However, </w:t>
      </w:r>
      <w:r>
        <w:rPr>
          <w:sz w:val="19"/>
          <w:szCs w:val="19"/>
          <w:spacing w:val="11"/>
        </w:rPr>
        <w:t>an</w:t>
      </w:r>
      <w:r>
        <w:rPr>
          <w:sz w:val="19"/>
          <w:szCs w:val="19"/>
        </w:rPr>
        <w:t xml:space="preserve">  </w:t>
      </w:r>
      <w:r>
        <w:rPr>
          <w:sz w:val="19"/>
          <w:szCs w:val="19"/>
          <w:spacing w:val="11"/>
        </w:rPr>
        <w:t>optimal fecal calprotectin cut–off has not yet been de</w:t>
      </w:r>
      <w:r>
        <w:rPr>
          <w:sz w:val="19"/>
          <w:szCs w:val="19"/>
          <w:spacing w:val="10"/>
        </w:rPr>
        <w:t>termined [</w:t>
      </w:r>
      <w:hyperlink w:history="true" w:anchor="bookmark16">
        <w:r>
          <w:rPr>
            <w:sz w:val="19"/>
            <w:szCs w:val="19"/>
            <w:color w:val="0875B7"/>
            <w:spacing w:val="10"/>
          </w:rPr>
          <w:t>20</w:t>
        </w:r>
      </w:hyperlink>
      <w:r>
        <w:rPr>
          <w:sz w:val="19"/>
          <w:szCs w:val="19"/>
          <w:spacing w:val="10"/>
        </w:rPr>
        <w:t>]. Calprotectin levels are</w:t>
      </w:r>
      <w:r>
        <w:rPr>
          <w:sz w:val="19"/>
          <w:szCs w:val="19"/>
        </w:rPr>
        <w:t xml:space="preserve">  </w:t>
      </w:r>
      <w:r>
        <w:rPr>
          <w:sz w:val="19"/>
          <w:szCs w:val="19"/>
          <w:spacing w:val="12"/>
        </w:rPr>
        <w:t>not correlated with disease activity and can be affected by disease extension and blood in</w:t>
      </w:r>
      <w:r>
        <w:rPr>
          <w:sz w:val="19"/>
          <w:szCs w:val="19"/>
          <w:spacing w:val="2"/>
        </w:rPr>
        <w:t xml:space="preserve">  </w:t>
      </w:r>
      <w:r>
        <w:rPr>
          <w:sz w:val="19"/>
          <w:szCs w:val="19"/>
          <w:spacing w:val="12"/>
        </w:rPr>
        <w:t>the stool samples. Signiﬁcant intraindividual variations are seen.</w:t>
      </w:r>
    </w:p>
    <w:p>
      <w:pPr>
        <w:pStyle w:val="BodyText"/>
        <w:ind w:left="2609" w:right="34" w:firstLine="436"/>
        <w:spacing w:before="6" w:line="274" w:lineRule="auto"/>
        <w:jc w:val="both"/>
        <w:rPr>
          <w:sz w:val="19"/>
          <w:szCs w:val="19"/>
        </w:rPr>
      </w:pPr>
      <w:r>
        <w:rPr>
          <w:sz w:val="19"/>
          <w:szCs w:val="19"/>
          <w:spacing w:val="12"/>
        </w:rPr>
        <w:t>In line with the guidelines issued by regulatory authoritie</w:t>
      </w:r>
      <w:r>
        <w:rPr>
          <w:sz w:val="19"/>
          <w:szCs w:val="19"/>
          <w:spacing w:val="11"/>
        </w:rPr>
        <w:t>s, the panel considered that</w:t>
      </w:r>
      <w:r>
        <w:rPr>
          <w:sz w:val="19"/>
          <w:szCs w:val="19"/>
        </w:rPr>
        <w:t xml:space="preserve"> </w:t>
      </w:r>
      <w:r>
        <w:rPr>
          <w:sz w:val="19"/>
          <w:szCs w:val="19"/>
          <w:spacing w:val="9"/>
        </w:rPr>
        <w:t>it was inappropriate to use the subjective PGA sub–score to assess disease activity [</w:t>
      </w:r>
      <w:hyperlink w:history="true" w:anchor="bookmark7">
        <w:r>
          <w:rPr>
            <w:sz w:val="19"/>
            <w:szCs w:val="19"/>
            <w:color w:val="0875B7"/>
            <w:spacing w:val="9"/>
          </w:rPr>
          <w:t>11</w:t>
        </w:r>
      </w:hyperlink>
      <w:r>
        <w:rPr>
          <w:sz w:val="19"/>
          <w:szCs w:val="19"/>
          <w:spacing w:val="9"/>
        </w:rPr>
        <w:t>]. The</w:t>
      </w:r>
      <w:r>
        <w:rPr>
          <w:sz w:val="19"/>
          <w:szCs w:val="19"/>
          <w:spacing w:val="14"/>
        </w:rPr>
        <w:t xml:space="preserve"> </w:t>
      </w:r>
      <w:r>
        <w:rPr>
          <w:sz w:val="19"/>
          <w:szCs w:val="19"/>
          <w:spacing w:val="14"/>
        </w:rPr>
        <w:t>PGA sub–score is not derived direc</w:t>
      </w:r>
      <w:r>
        <w:rPr>
          <w:sz w:val="19"/>
          <w:szCs w:val="19"/>
          <w:spacing w:val="13"/>
        </w:rPr>
        <w:t>tly from the patient and cannot adequately determine</w:t>
      </w:r>
      <w:r>
        <w:rPr>
          <w:sz w:val="19"/>
          <w:szCs w:val="19"/>
        </w:rPr>
        <w:t xml:space="preserve"> </w:t>
      </w:r>
      <w:r>
        <w:rPr>
          <w:sz w:val="19"/>
          <w:szCs w:val="19"/>
          <w:spacing w:val="12"/>
        </w:rPr>
        <w:t>whether or not major symptoms are relieved [</w:t>
      </w:r>
      <w:hyperlink w:history="true" w:anchor="bookmark7">
        <w:r>
          <w:rPr>
            <w:sz w:val="19"/>
            <w:szCs w:val="19"/>
            <w:color w:val="0875B7"/>
            <w:spacing w:val="12"/>
          </w:rPr>
          <w:t>11</w:t>
        </w:r>
      </w:hyperlink>
      <w:r>
        <w:rPr>
          <w:sz w:val="19"/>
          <w:szCs w:val="19"/>
          <w:spacing w:val="12"/>
        </w:rPr>
        <w:t>].</w:t>
      </w:r>
    </w:p>
    <w:p>
      <w:pPr>
        <w:pStyle w:val="BodyText"/>
        <w:ind w:left="2619" w:right="1" w:firstLine="424"/>
        <w:spacing w:before="8" w:line="273" w:lineRule="auto"/>
        <w:jc w:val="both"/>
        <w:rPr>
          <w:sz w:val="19"/>
          <w:szCs w:val="19"/>
        </w:rPr>
      </w:pPr>
      <w:r>
        <w:rPr>
          <w:sz w:val="19"/>
          <w:szCs w:val="19"/>
          <w:spacing w:val="13"/>
        </w:rPr>
        <w:t>UC can have a major impact on a patient’s</w:t>
      </w:r>
      <w:r>
        <w:rPr>
          <w:sz w:val="19"/>
          <w:szCs w:val="19"/>
          <w:spacing w:val="14"/>
        </w:rPr>
        <w:t xml:space="preserve"> </w:t>
      </w:r>
      <w:r>
        <w:rPr>
          <w:sz w:val="19"/>
          <w:szCs w:val="19"/>
          <w:spacing w:val="13"/>
        </w:rPr>
        <w:t>life</w:t>
      </w:r>
      <w:r>
        <w:rPr>
          <w:sz w:val="19"/>
          <w:szCs w:val="19"/>
          <w:spacing w:val="24"/>
          <w:w w:val="101"/>
        </w:rPr>
        <w:t xml:space="preserve"> </w:t>
      </w:r>
      <w:r>
        <w:rPr>
          <w:sz w:val="19"/>
          <w:szCs w:val="19"/>
          <w:spacing w:val="13"/>
        </w:rPr>
        <w:t>[</w:t>
      </w:r>
      <w:hyperlink w:history="true" w:anchor="bookmark17">
        <w:r>
          <w:rPr>
            <w:sz w:val="19"/>
            <w:szCs w:val="19"/>
            <w:color w:val="0875B7"/>
            <w:spacing w:val="13"/>
          </w:rPr>
          <w:t>2</w:t>
        </w:r>
        <w:r>
          <w:rPr>
            <w:sz w:val="19"/>
            <w:szCs w:val="19"/>
            <w:color w:val="0875B7"/>
            <w:spacing w:val="12"/>
          </w:rPr>
          <w:t>1</w:t>
        </w:r>
      </w:hyperlink>
      <w:r>
        <w:rPr>
          <w:sz w:val="19"/>
          <w:szCs w:val="19"/>
          <w:spacing w:val="12"/>
        </w:rPr>
        <w:t>].</w:t>
      </w:r>
      <w:r>
        <w:rPr>
          <w:sz w:val="19"/>
          <w:szCs w:val="19"/>
          <w:spacing w:val="38"/>
        </w:rPr>
        <w:t xml:space="preserve"> </w:t>
      </w:r>
      <w:r>
        <w:rPr>
          <w:sz w:val="19"/>
          <w:szCs w:val="19"/>
          <w:spacing w:val="12"/>
        </w:rPr>
        <w:t>The panel</w:t>
      </w:r>
      <w:r>
        <w:rPr>
          <w:sz w:val="19"/>
          <w:szCs w:val="19"/>
          <w:spacing w:val="15"/>
          <w:w w:val="101"/>
        </w:rPr>
        <w:t xml:space="preserve"> </w:t>
      </w:r>
      <w:r>
        <w:rPr>
          <w:sz w:val="19"/>
          <w:szCs w:val="19"/>
          <w:spacing w:val="12"/>
        </w:rPr>
        <w:t>agreed</w:t>
      </w:r>
      <w:r>
        <w:rPr>
          <w:sz w:val="19"/>
          <w:szCs w:val="19"/>
          <w:spacing w:val="13"/>
          <w:w w:val="101"/>
        </w:rPr>
        <w:t xml:space="preserve"> </w:t>
      </w:r>
      <w:r>
        <w:rPr>
          <w:sz w:val="19"/>
          <w:szCs w:val="19"/>
          <w:spacing w:val="12"/>
        </w:rPr>
        <w:t>that mild–to–</w:t>
      </w:r>
      <w:r>
        <w:rPr>
          <w:sz w:val="19"/>
          <w:szCs w:val="19"/>
        </w:rPr>
        <w:t xml:space="preserve"> </w:t>
      </w:r>
      <w:r>
        <w:rPr>
          <w:sz w:val="19"/>
          <w:szCs w:val="19"/>
          <w:spacing w:val="12"/>
        </w:rPr>
        <w:t>moderate UC should be deﬁned as disease that does not have more than </w:t>
      </w:r>
      <w:r>
        <w:rPr>
          <w:sz w:val="19"/>
          <w:szCs w:val="19"/>
          <w:spacing w:val="11"/>
        </w:rPr>
        <w:t>a small impact on</w:t>
      </w:r>
      <w:r>
        <w:rPr>
          <w:sz w:val="19"/>
          <w:szCs w:val="19"/>
        </w:rPr>
        <w:t xml:space="preserve">  </w:t>
      </w:r>
      <w:r>
        <w:rPr>
          <w:sz w:val="19"/>
          <w:szCs w:val="19"/>
          <w:spacing w:val="10"/>
        </w:rPr>
        <w:t>the patient’s daily activities.</w:t>
      </w:r>
    </w:p>
    <w:p>
      <w:pPr>
        <w:pStyle w:val="BodyText"/>
        <w:ind w:left="2608" w:firstLine="437"/>
        <w:spacing w:before="4" w:line="283" w:lineRule="auto"/>
        <w:jc w:val="both"/>
        <w:rPr>
          <w:sz w:val="19"/>
          <w:szCs w:val="19"/>
        </w:rPr>
      </w:pPr>
      <w:r>
        <w:rPr>
          <w:sz w:val="19"/>
          <w:szCs w:val="19"/>
          <w:spacing w:val="10"/>
        </w:rPr>
        <w:t>The</w:t>
      </w:r>
      <w:r>
        <w:rPr>
          <w:sz w:val="19"/>
          <w:szCs w:val="19"/>
          <w:spacing w:val="-7"/>
        </w:rPr>
        <w:t xml:space="preserve"> </w:t>
      </w:r>
      <w:r>
        <w:rPr>
          <w:sz w:val="19"/>
          <w:szCs w:val="19"/>
          <w:spacing w:val="10"/>
        </w:rPr>
        <w:t>present study</w:t>
      </w:r>
      <w:r>
        <w:rPr>
          <w:sz w:val="19"/>
          <w:szCs w:val="19"/>
          <w:spacing w:val="-6"/>
        </w:rPr>
        <w:t xml:space="preserve"> </w:t>
      </w:r>
      <w:r>
        <w:rPr>
          <w:sz w:val="19"/>
          <w:szCs w:val="19"/>
          <w:spacing w:val="10"/>
        </w:rPr>
        <w:t>provided a</w:t>
      </w:r>
      <w:r>
        <w:rPr>
          <w:sz w:val="19"/>
          <w:szCs w:val="19"/>
          <w:spacing w:val="-3"/>
        </w:rPr>
        <w:t xml:space="preserve"> </w:t>
      </w:r>
      <w:r>
        <w:rPr>
          <w:sz w:val="19"/>
          <w:szCs w:val="19"/>
          <w:spacing w:val="10"/>
        </w:rPr>
        <w:t>consensus deﬁnition of</w:t>
      </w:r>
      <w:r>
        <w:rPr>
          <w:sz w:val="19"/>
          <w:szCs w:val="19"/>
          <w:spacing w:val="-7"/>
        </w:rPr>
        <w:t xml:space="preserve"> </w:t>
      </w:r>
      <w:r>
        <w:rPr>
          <w:sz w:val="19"/>
          <w:szCs w:val="19"/>
          <w:spacing w:val="10"/>
        </w:rPr>
        <w:t>mild–to–moderate disea</w:t>
      </w:r>
      <w:r>
        <w:rPr>
          <w:sz w:val="19"/>
          <w:szCs w:val="19"/>
          <w:spacing w:val="9"/>
        </w:rPr>
        <w:t>se activity</w:t>
      </w:r>
      <w:r>
        <w:rPr>
          <w:sz w:val="19"/>
          <w:szCs w:val="19"/>
        </w:rPr>
        <w:t xml:space="preserve"> </w:t>
      </w:r>
      <w:r>
        <w:rPr>
          <w:sz w:val="19"/>
          <w:szCs w:val="19"/>
          <w:spacing w:val="14"/>
        </w:rPr>
        <w:t>in UC. The deﬁnition could be used as an inclusion criterion in</w:t>
      </w:r>
      <w:r>
        <w:rPr>
          <w:sz w:val="19"/>
          <w:szCs w:val="19"/>
          <w:spacing w:val="13"/>
          <w:w w:val="101"/>
        </w:rPr>
        <w:t xml:space="preserve"> </w:t>
      </w:r>
      <w:r>
        <w:rPr>
          <w:sz w:val="19"/>
          <w:szCs w:val="19"/>
          <w:spacing w:val="14"/>
        </w:rPr>
        <w:t>RCTs</w:t>
      </w:r>
      <w:r>
        <w:rPr>
          <w:sz w:val="19"/>
          <w:szCs w:val="19"/>
          <w:spacing w:val="13"/>
        </w:rPr>
        <w:t xml:space="preserve"> </w:t>
      </w:r>
      <w:r>
        <w:rPr>
          <w:sz w:val="19"/>
          <w:szCs w:val="19"/>
          <w:spacing w:val="14"/>
        </w:rPr>
        <w:t>i</w:t>
      </w:r>
      <w:r>
        <w:rPr>
          <w:sz w:val="19"/>
          <w:szCs w:val="19"/>
          <w:spacing w:val="13"/>
        </w:rPr>
        <w:t>n</w:t>
      </w:r>
      <w:r>
        <w:rPr>
          <w:sz w:val="19"/>
          <w:szCs w:val="19"/>
          <w:spacing w:val="13"/>
          <w:w w:val="101"/>
        </w:rPr>
        <w:t xml:space="preserve"> </w:t>
      </w:r>
      <w:r>
        <w:rPr>
          <w:sz w:val="19"/>
          <w:szCs w:val="19"/>
          <w:spacing w:val="13"/>
        </w:rPr>
        <w:t>the</w:t>
      </w:r>
      <w:r>
        <w:rPr>
          <w:sz w:val="19"/>
          <w:szCs w:val="19"/>
          <w:spacing w:val="13"/>
          <w:w w:val="101"/>
        </w:rPr>
        <w:t xml:space="preserve"> </w:t>
      </w:r>
      <w:r>
        <w:rPr>
          <w:sz w:val="19"/>
          <w:szCs w:val="19"/>
          <w:spacing w:val="13"/>
        </w:rPr>
        <w:t>ﬁeld</w:t>
      </w:r>
      <w:r>
        <w:rPr>
          <w:sz w:val="19"/>
          <w:szCs w:val="19"/>
          <w:spacing w:val="15"/>
          <w:w w:val="101"/>
        </w:rPr>
        <w:t xml:space="preserve"> </w:t>
      </w:r>
      <w:r>
        <w:rPr>
          <w:sz w:val="19"/>
          <w:szCs w:val="19"/>
          <w:spacing w:val="13"/>
        </w:rPr>
        <w:t>of UC.</w:t>
      </w:r>
      <w:r>
        <w:rPr>
          <w:sz w:val="19"/>
          <w:szCs w:val="19"/>
        </w:rPr>
        <w:t xml:space="preserve"> </w:t>
      </w:r>
      <w:r>
        <w:rPr>
          <w:sz w:val="19"/>
          <w:szCs w:val="19"/>
          <w:spacing w:val="10"/>
        </w:rPr>
        <w:t>With the ultimate goal of improving patient care and quality of life, </w:t>
      </w:r>
      <w:r>
        <w:rPr>
          <w:sz w:val="19"/>
          <w:szCs w:val="19"/>
          <w:spacing w:val="9"/>
        </w:rPr>
        <w:t>there is a constant need</w:t>
      </w:r>
      <w:r>
        <w:rPr>
          <w:sz w:val="19"/>
          <w:szCs w:val="19"/>
        </w:rPr>
        <w:t xml:space="preserve">  </w:t>
      </w:r>
      <w:r>
        <w:rPr>
          <w:sz w:val="19"/>
          <w:szCs w:val="19"/>
          <w:spacing w:val="9"/>
        </w:rPr>
        <w:t>for therapeutic trials in patients with mild–to–moderate UC. The results of our initiat</w:t>
      </w:r>
      <w:r>
        <w:rPr>
          <w:sz w:val="19"/>
          <w:szCs w:val="19"/>
          <w:spacing w:val="8"/>
        </w:rPr>
        <w:t>ive will</w:t>
      </w:r>
      <w:r>
        <w:rPr>
          <w:sz w:val="19"/>
          <w:szCs w:val="19"/>
        </w:rPr>
        <w:t xml:space="preserve">  </w:t>
      </w:r>
      <w:r>
        <w:rPr>
          <w:sz w:val="19"/>
          <w:szCs w:val="19"/>
          <w:spacing w:val="9"/>
        </w:rPr>
        <w:t>lead to</w:t>
      </w:r>
      <w:r>
        <w:rPr>
          <w:sz w:val="19"/>
          <w:szCs w:val="19"/>
          <w:spacing w:val="-6"/>
        </w:rPr>
        <w:t xml:space="preserve"> </w:t>
      </w:r>
      <w:r>
        <w:rPr>
          <w:sz w:val="19"/>
          <w:szCs w:val="19"/>
          <w:spacing w:val="9"/>
        </w:rPr>
        <w:t>higher–quality clinical studies in</w:t>
      </w:r>
      <w:r>
        <w:rPr>
          <w:sz w:val="19"/>
          <w:szCs w:val="19"/>
          <w:spacing w:val="-3"/>
        </w:rPr>
        <w:t xml:space="preserve"> </w:t>
      </w:r>
      <w:r>
        <w:rPr>
          <w:sz w:val="19"/>
          <w:szCs w:val="19"/>
          <w:spacing w:val="9"/>
        </w:rPr>
        <w:t>mild–to–moderate</w:t>
      </w:r>
      <w:r>
        <w:rPr>
          <w:sz w:val="19"/>
          <w:szCs w:val="19"/>
          <w:spacing w:val="-5"/>
        </w:rPr>
        <w:t xml:space="preserve"> </w:t>
      </w:r>
      <w:r>
        <w:rPr>
          <w:sz w:val="19"/>
          <w:szCs w:val="19"/>
          <w:spacing w:val="9"/>
        </w:rPr>
        <w:t>UC and</w:t>
      </w:r>
      <w:r>
        <w:rPr>
          <w:sz w:val="19"/>
          <w:szCs w:val="19"/>
          <w:spacing w:val="-6"/>
        </w:rPr>
        <w:t xml:space="preserve"> </w:t>
      </w:r>
      <w:r>
        <w:rPr>
          <w:sz w:val="19"/>
          <w:szCs w:val="19"/>
          <w:spacing w:val="9"/>
        </w:rPr>
        <w:t>wi</w:t>
      </w:r>
      <w:r>
        <w:rPr>
          <w:sz w:val="19"/>
          <w:szCs w:val="19"/>
          <w:spacing w:val="8"/>
        </w:rPr>
        <w:t>ll facilitate comparison</w:t>
      </w:r>
      <w:r>
        <w:rPr>
          <w:sz w:val="19"/>
          <w:szCs w:val="19"/>
        </w:rPr>
        <w:t xml:space="preserve">  </w:t>
      </w:r>
      <w:r>
        <w:rPr>
          <w:sz w:val="19"/>
          <w:szCs w:val="19"/>
          <w:spacing w:val="10"/>
        </w:rPr>
        <w:t>of the latter’s results.</w:t>
      </w:r>
    </w:p>
    <w:p>
      <w:pPr>
        <w:pStyle w:val="BodyText"/>
        <w:ind w:left="2619" w:right="3" w:firstLine="7"/>
        <w:spacing w:before="210" w:line="283" w:lineRule="auto"/>
        <w:rPr/>
      </w:pPr>
      <w:r>
        <w:rPr>
          <w:b/>
          <w:bCs/>
          <w:spacing w:val="9"/>
        </w:rPr>
        <w:t>Supplementary Materials: </w:t>
      </w:r>
      <w:r>
        <w:rPr>
          <w:spacing w:val="9"/>
        </w:rPr>
        <w:t>The following supporting information can</w:t>
      </w:r>
      <w:r>
        <w:rPr>
          <w:spacing w:val="11"/>
        </w:rPr>
        <w:t xml:space="preserve"> </w:t>
      </w:r>
      <w:r>
        <w:rPr>
          <w:spacing w:val="9"/>
        </w:rPr>
        <w:t>be downloaded at:</w:t>
      </w:r>
      <w:r>
        <w:rPr>
          <w:spacing w:val="-10"/>
        </w:rPr>
        <w:t xml:space="preserve"> </w:t>
      </w:r>
      <w:hyperlink w:history="true" r:id="rId35">
        <w:r>
          <w:rPr>
            <w:color w:val="0875B7"/>
            <w:spacing w:val="9"/>
          </w:rPr>
          <w:t>https://www</w:t>
        </w:r>
      </w:hyperlink>
      <w:r>
        <w:rPr>
          <w:color w:val="0875B7"/>
          <w:spacing w:val="9"/>
        </w:rPr>
        <w:t>.</w:t>
      </w:r>
      <w:r>
        <w:rPr>
          <w:color w:val="0875B7"/>
        </w:rPr>
        <w:t xml:space="preserve"> </w:t>
      </w:r>
      <w:hyperlink w:history="true" r:id="rId35">
        <w:r>
          <w:rPr>
            <w:color w:val="0875B7"/>
            <w:spacing w:val="8"/>
          </w:rPr>
          <w:t>mdpi.com/article/10.3390/medicina59010183/s1</w:t>
        </w:r>
      </w:hyperlink>
      <w:r>
        <w:rPr>
          <w:spacing w:val="8"/>
        </w:rPr>
        <w:t>, Supplementary Table S1: Statements excluded.</w:t>
      </w:r>
    </w:p>
    <w:p>
      <w:pPr>
        <w:pStyle w:val="BodyText"/>
        <w:ind w:left="2618" w:right="27" w:hanging="5"/>
        <w:spacing w:before="135" w:line="283" w:lineRule="auto"/>
        <w:jc w:val="both"/>
        <w:rPr/>
      </w:pPr>
      <w:r>
        <w:rPr>
          <w:b/>
          <w:bCs/>
          <w:spacing w:val="9"/>
        </w:rPr>
        <w:t>Author Contributions: </w:t>
      </w:r>
      <w:r>
        <w:rPr>
          <w:spacing w:val="9"/>
        </w:rPr>
        <w:t>L.P.–B., S.D. and V.J. conceived the study.</w:t>
      </w:r>
      <w:r>
        <w:rPr>
          <w:spacing w:val="18"/>
        </w:rPr>
        <w:t xml:space="preserve"> </w:t>
      </w:r>
      <w:r>
        <w:rPr>
          <w:spacing w:val="9"/>
        </w:rPr>
        <w:t>B.C. wrote the artic</w:t>
      </w:r>
      <w:r>
        <w:rPr>
          <w:spacing w:val="8"/>
        </w:rPr>
        <w:t>le and created</w:t>
      </w:r>
      <w:r>
        <w:rPr/>
        <w:t xml:space="preserve"> </w:t>
      </w:r>
      <w:r>
        <w:rPr/>
        <w:t>tables</w:t>
      </w:r>
      <w:r>
        <w:rPr>
          <w:spacing w:val="7"/>
        </w:rPr>
        <w:t>.</w:t>
      </w:r>
      <w:r>
        <w:rPr>
          <w:spacing w:val="1"/>
        </w:rPr>
        <w:t xml:space="preserve">  </w:t>
      </w:r>
      <w:r>
        <w:rPr>
          <w:spacing w:val="7"/>
        </w:rPr>
        <w:t>B.C.,</w:t>
      </w:r>
      <w:r>
        <w:rPr>
          <w:spacing w:val="17"/>
        </w:rPr>
        <w:t xml:space="preserve"> </w:t>
      </w:r>
      <w:r>
        <w:rPr>
          <w:spacing w:val="7"/>
        </w:rPr>
        <w:t>V.J.,</w:t>
      </w:r>
      <w:r>
        <w:rPr>
          <w:spacing w:val="18"/>
        </w:rPr>
        <w:t xml:space="preserve"> </w:t>
      </w:r>
      <w:r>
        <w:rPr>
          <w:spacing w:val="7"/>
        </w:rPr>
        <w:t>F.D.,</w:t>
      </w:r>
      <w:r>
        <w:rPr>
          <w:spacing w:val="18"/>
          <w:w w:val="101"/>
        </w:rPr>
        <w:t xml:space="preserve"> </w:t>
      </w:r>
      <w:r>
        <w:rPr>
          <w:spacing w:val="7"/>
        </w:rPr>
        <w:t>S.A.A.,</w:t>
      </w:r>
      <w:r>
        <w:rPr>
          <w:spacing w:val="17"/>
        </w:rPr>
        <w:t xml:space="preserve"> </w:t>
      </w:r>
      <w:r>
        <w:rPr>
          <w:spacing w:val="7"/>
        </w:rPr>
        <w:t>A.D.,</w:t>
      </w:r>
      <w:r>
        <w:rPr>
          <w:spacing w:val="16"/>
          <w:w w:val="102"/>
        </w:rPr>
        <w:t xml:space="preserve"> </w:t>
      </w:r>
      <w:r>
        <w:rPr>
          <w:spacing w:val="7"/>
        </w:rPr>
        <w:t>A.L.H.,</w:t>
      </w:r>
      <w:r>
        <w:rPr>
          <w:spacing w:val="17"/>
        </w:rPr>
        <w:t xml:space="preserve"> </w:t>
      </w:r>
      <w:r>
        <w:rPr>
          <w:spacing w:val="7"/>
        </w:rPr>
        <w:t>T.K.,</w:t>
      </w:r>
      <w:r>
        <w:rPr>
          <w:spacing w:val="18"/>
        </w:rPr>
        <w:t xml:space="preserve"> </w:t>
      </w:r>
      <w:r>
        <w:rPr>
          <w:spacing w:val="7"/>
        </w:rPr>
        <w:t>P.G.K.,</w:t>
      </w:r>
      <w:r>
        <w:rPr>
          <w:spacing w:val="18"/>
        </w:rPr>
        <w:t xml:space="preserve"> </w:t>
      </w:r>
      <w:r>
        <w:rPr>
          <w:spacing w:val="7"/>
        </w:rPr>
        <w:t>F.M</w:t>
      </w:r>
      <w:r>
        <w:rPr>
          <w:spacing w:val="6"/>
        </w:rPr>
        <w:t>.,</w:t>
      </w:r>
      <w:r>
        <w:rPr>
          <w:spacing w:val="19"/>
        </w:rPr>
        <w:t xml:space="preserve"> </w:t>
      </w:r>
      <w:r>
        <w:rPr>
          <w:spacing w:val="6"/>
        </w:rPr>
        <w:t>B.S.,</w:t>
      </w:r>
      <w:r>
        <w:rPr>
          <w:spacing w:val="18"/>
        </w:rPr>
        <w:t xml:space="preserve"> </w:t>
      </w:r>
      <w:r>
        <w:rPr>
          <w:spacing w:val="6"/>
        </w:rPr>
        <w:t>K.P.,</w:t>
      </w:r>
      <w:r>
        <w:rPr>
          <w:spacing w:val="18"/>
          <w:w w:val="101"/>
        </w:rPr>
        <w:t xml:space="preserve"> </w:t>
      </w:r>
      <w:r>
        <w:rPr>
          <w:spacing w:val="6"/>
        </w:rPr>
        <w:t>S.D.</w:t>
      </w:r>
      <w:r>
        <w:rPr>
          <w:spacing w:val="17"/>
          <w:w w:val="102"/>
        </w:rPr>
        <w:t xml:space="preserve"> </w:t>
      </w:r>
      <w:r>
        <w:rPr/>
        <w:t>and</w:t>
      </w:r>
      <w:r>
        <w:rPr>
          <w:spacing w:val="15"/>
          <w:w w:val="102"/>
        </w:rPr>
        <w:t xml:space="preserve"> </w:t>
      </w:r>
      <w:r>
        <w:rPr/>
        <w:t>L</w:t>
      </w:r>
      <w:r>
        <w:rPr>
          <w:spacing w:val="6"/>
        </w:rPr>
        <w:t>.P.–B.</w:t>
      </w:r>
      <w:r>
        <w:rPr>
          <w:spacing w:val="16"/>
          <w:w w:val="101"/>
        </w:rPr>
        <w:t xml:space="preserve"> </w:t>
      </w:r>
      <w:r>
        <w:rPr/>
        <w:t>critically </w:t>
      </w:r>
      <w:r>
        <w:rPr>
          <w:spacing w:val="15"/>
        </w:rPr>
        <w:t>reviewed the content of the</w:t>
      </w:r>
      <w:r>
        <w:rPr>
          <w:spacing w:val="17"/>
        </w:rPr>
        <w:t xml:space="preserve"> </w:t>
      </w:r>
      <w:r>
        <w:rPr>
          <w:spacing w:val="15"/>
        </w:rPr>
        <w:t>paper.  All</w:t>
      </w:r>
      <w:r>
        <w:rPr>
          <w:spacing w:val="21"/>
        </w:rPr>
        <w:t xml:space="preserve"> </w:t>
      </w:r>
      <w:r>
        <w:rPr>
          <w:spacing w:val="15"/>
        </w:rPr>
        <w:t>authors</w:t>
      </w:r>
      <w:r>
        <w:rPr>
          <w:spacing w:val="22"/>
        </w:rPr>
        <w:t xml:space="preserve"> </w:t>
      </w:r>
      <w:r>
        <w:rPr>
          <w:spacing w:val="15"/>
        </w:rPr>
        <w:t>discussed the</w:t>
      </w:r>
      <w:r>
        <w:rPr>
          <w:spacing w:val="20"/>
          <w:w w:val="102"/>
        </w:rPr>
        <w:t xml:space="preserve"> </w:t>
      </w:r>
      <w:r>
        <w:rPr>
          <w:spacing w:val="15"/>
        </w:rPr>
        <w:t>statement</w:t>
      </w:r>
      <w:r>
        <w:rPr>
          <w:spacing w:val="14"/>
        </w:rPr>
        <w:t>s</w:t>
      </w:r>
      <w:r>
        <w:rPr>
          <w:spacing w:val="21"/>
          <w:w w:val="101"/>
        </w:rPr>
        <w:t xml:space="preserve"> </w:t>
      </w:r>
      <w:r>
        <w:rPr>
          <w:spacing w:val="14"/>
        </w:rPr>
        <w:t>and</w:t>
      </w:r>
      <w:r>
        <w:rPr>
          <w:spacing w:val="21"/>
        </w:rPr>
        <w:t xml:space="preserve"> </w:t>
      </w:r>
      <w:r>
        <w:rPr>
          <w:spacing w:val="14"/>
        </w:rPr>
        <w:t>approved</w:t>
      </w:r>
      <w:r>
        <w:rPr>
          <w:spacing w:val="19"/>
          <w:w w:val="101"/>
        </w:rPr>
        <w:t xml:space="preserve"> </w:t>
      </w:r>
      <w:r>
        <w:rPr>
          <w:spacing w:val="14"/>
        </w:rPr>
        <w:t>the</w:t>
      </w:r>
      <w:r>
        <w:rPr>
          <w:spacing w:val="19"/>
          <w:w w:val="101"/>
        </w:rPr>
        <w:t xml:space="preserve"> </w:t>
      </w:r>
      <w:r>
        <w:rPr>
          <w:spacing w:val="14"/>
        </w:rPr>
        <w:t>ﬁnal</w:t>
      </w:r>
      <w:r>
        <w:rPr/>
        <w:t xml:space="preserve"> </w:t>
      </w:r>
      <w:r>
        <w:rPr>
          <w:spacing w:val="13"/>
        </w:rPr>
        <w:t>manuscript. All authors ha</w:t>
      </w:r>
      <w:r>
        <w:rPr>
          <w:spacing w:val="12"/>
        </w:rPr>
        <w:t>ve read and agreed to the published version of the manuscript.</w:t>
      </w:r>
    </w:p>
    <w:p>
      <w:pPr>
        <w:pStyle w:val="BodyText"/>
        <w:ind w:left="2621"/>
        <w:spacing w:before="173" w:line="222" w:lineRule="auto"/>
        <w:rPr/>
      </w:pPr>
      <w:r>
        <w:rPr>
          <w:b/>
          <w:bCs/>
          <w:spacing w:val="11"/>
        </w:rPr>
        <w:t>Funding: </w:t>
      </w:r>
      <w:r>
        <w:rPr>
          <w:spacing w:val="11"/>
        </w:rPr>
        <w:t>This research was funded by Ferring Pharmaceuticals.</w:t>
      </w:r>
    </w:p>
    <w:p>
      <w:pPr>
        <w:pStyle w:val="BodyText"/>
        <w:ind w:left="2623"/>
        <w:spacing w:before="173" w:line="222" w:lineRule="auto"/>
        <w:rPr/>
      </w:pPr>
      <w:r>
        <w:rPr>
          <w:b/>
          <w:bCs/>
          <w:spacing w:val="10"/>
        </w:rPr>
        <w:t>Institutional Review Board Statement: </w:t>
      </w:r>
      <w:r>
        <w:rPr>
          <w:spacing w:val="9"/>
        </w:rPr>
        <w:t>Not applicable.</w:t>
      </w:r>
    </w:p>
    <w:p>
      <w:pPr>
        <w:spacing w:line="222" w:lineRule="auto"/>
        <w:sectPr>
          <w:headerReference w:type="default" r:id="rId31"/>
          <w:pgSz w:w="11906" w:h="16838"/>
          <w:pgMar w:top="1442" w:right="685" w:bottom="0" w:left="711" w:header="1086" w:footer="0" w:gutter="0"/>
        </w:sectPr>
        <w:rPr/>
      </w:pPr>
    </w:p>
    <w:p>
      <w:pPr>
        <w:spacing w:line="472" w:lineRule="auto"/>
        <w:rPr>
          <w:rFonts w:ascii="Arial"/>
          <w:sz w:val="21"/>
        </w:rPr>
      </w:pPr>
      <w:r/>
    </w:p>
    <w:p>
      <w:pPr>
        <w:pStyle w:val="BodyText"/>
        <w:ind w:left="2623"/>
        <w:spacing w:before="49" w:line="222" w:lineRule="auto"/>
        <w:rPr/>
      </w:pPr>
      <w:r>
        <w:rPr>
          <w:b/>
          <w:bCs/>
          <w:spacing w:val="10"/>
        </w:rPr>
        <w:t>Informed Consent Statement: </w:t>
      </w:r>
      <w:r>
        <w:rPr>
          <w:spacing w:val="10"/>
        </w:rPr>
        <w:t>Not applicable.</w:t>
      </w:r>
    </w:p>
    <w:p>
      <w:pPr>
        <w:pStyle w:val="BodyText"/>
        <w:ind w:left="2622" w:right="31"/>
        <w:spacing w:before="173" w:line="269" w:lineRule="auto"/>
        <w:rPr/>
      </w:pPr>
      <w:r>
        <w:rPr>
          <w:b/>
          <w:bCs/>
          <w:spacing w:val="12"/>
        </w:rPr>
        <w:t>Data Availability Sta</w:t>
      </w:r>
      <w:r>
        <w:rPr>
          <w:b/>
          <w:bCs/>
          <w:spacing w:val="11"/>
        </w:rPr>
        <w:t>tement:</w:t>
      </w:r>
      <w:r>
        <w:rPr>
          <w:b/>
          <w:bCs/>
          <w:spacing w:val="21"/>
        </w:rPr>
        <w:t xml:space="preserve"> </w:t>
      </w:r>
      <w:r>
        <w:rPr>
          <w:spacing w:val="11"/>
        </w:rPr>
        <w:t>The data underlying this article are available in the article and in its</w:t>
      </w:r>
      <w:r>
        <w:rPr/>
        <w:t xml:space="preserve"> </w:t>
      </w:r>
      <w:r>
        <w:rPr>
          <w:spacing w:val="12"/>
        </w:rPr>
        <w:t>online Supplementary Materi</w:t>
      </w:r>
      <w:r>
        <w:rPr>
          <w:spacing w:val="11"/>
        </w:rPr>
        <w:t>als.</w:t>
      </w:r>
    </w:p>
    <w:p>
      <w:pPr>
        <w:pStyle w:val="BodyText"/>
        <w:ind w:left="2610" w:firstLine="13"/>
        <w:spacing w:before="136" w:line="287" w:lineRule="auto"/>
        <w:jc w:val="both"/>
        <w:rPr/>
      </w:pPr>
      <w:r>
        <w:rPr>
          <w:b/>
          <w:bCs/>
          <w:spacing w:val="13"/>
        </w:rPr>
        <w:t>Conﬂicts of Interest:</w:t>
      </w:r>
      <w:r>
        <w:rPr>
          <w:b/>
          <w:bCs/>
          <w:spacing w:val="35"/>
        </w:rPr>
        <w:t xml:space="preserve"> </w:t>
      </w:r>
      <w:r>
        <w:rPr>
          <w:spacing w:val="13"/>
        </w:rPr>
        <w:t>B.C. report</w:t>
      </w:r>
      <w:r>
        <w:rPr>
          <w:spacing w:val="12"/>
        </w:rPr>
        <w:t>s lecture and/or</w:t>
      </w:r>
      <w:r>
        <w:rPr>
          <w:spacing w:val="16"/>
        </w:rPr>
        <w:t xml:space="preserve"> </w:t>
      </w:r>
      <w:r>
        <w:rPr>
          <w:spacing w:val="12"/>
        </w:rPr>
        <w:t>consulting</w:t>
      </w:r>
      <w:r>
        <w:rPr>
          <w:spacing w:val="15"/>
        </w:rPr>
        <w:t xml:space="preserve"> </w:t>
      </w:r>
      <w:r>
        <w:rPr>
          <w:spacing w:val="12"/>
        </w:rPr>
        <w:t>fees</w:t>
      </w:r>
      <w:r>
        <w:rPr>
          <w:spacing w:val="15"/>
          <w:w w:val="101"/>
        </w:rPr>
        <w:t xml:space="preserve"> </w:t>
      </w:r>
      <w:r>
        <w:rPr>
          <w:spacing w:val="12"/>
        </w:rPr>
        <w:t>from</w:t>
      </w:r>
      <w:r>
        <w:rPr>
          <w:spacing w:val="13"/>
          <w:w w:val="102"/>
        </w:rPr>
        <w:t xml:space="preserve"> </w:t>
      </w:r>
      <w:r>
        <w:rPr>
          <w:spacing w:val="12"/>
        </w:rPr>
        <w:t>Abbvie,</w:t>
      </w:r>
      <w:r>
        <w:rPr>
          <w:spacing w:val="15"/>
          <w:w w:val="102"/>
        </w:rPr>
        <w:t xml:space="preserve"> </w:t>
      </w:r>
      <w:r>
        <w:rPr>
          <w:spacing w:val="12"/>
        </w:rPr>
        <w:t>Amgen,</w:t>
      </w:r>
      <w:r>
        <w:rPr>
          <w:spacing w:val="17"/>
        </w:rPr>
        <w:t xml:space="preserve"> </w:t>
      </w:r>
      <w:r>
        <w:rPr>
          <w:spacing w:val="12"/>
        </w:rPr>
        <w:t>Celltrion,</w:t>
      </w:r>
      <w:r>
        <w:rPr/>
        <w:t xml:space="preserve"> </w:t>
      </w:r>
      <w:r>
        <w:rPr>
          <w:spacing w:val="11"/>
        </w:rPr>
        <w:t>Ferring, Galapagos, Janssen, Takeda. V.J. reports consulting/advisory board</w:t>
      </w:r>
      <w:r>
        <w:rPr>
          <w:spacing w:val="10"/>
        </w:rPr>
        <w:t xml:space="preserve"> fees from AbbVie, Ali–</w:t>
      </w:r>
      <w:r>
        <w:rPr/>
        <w:t xml:space="preserve"> </w:t>
      </w:r>
      <w:r>
        <w:rPr>
          <w:spacing w:val="11"/>
        </w:rPr>
        <w:t>mentiv Inc (formerly Robarts Clinical Trials), Arena pharmaceuticals, Asahi Kasei Pharma, Asieris,</w:t>
      </w:r>
      <w:r>
        <w:rPr>
          <w:spacing w:val="4"/>
        </w:rPr>
        <w:t xml:space="preserve"> </w:t>
      </w:r>
      <w:r>
        <w:rPr>
          <w:spacing w:val="11"/>
        </w:rPr>
        <w:t>Bristol Myers Squibb, Celltrion, Eli Lilly, Ferring, Flagship Pioneering, Fresenius K</w:t>
      </w:r>
      <w:r>
        <w:rPr>
          <w:spacing w:val="10"/>
        </w:rPr>
        <w:t>abi, Galapagos,</w:t>
      </w:r>
      <w:r>
        <w:rPr/>
        <w:t xml:space="preserve"> </w:t>
      </w:r>
      <w:r>
        <w:rPr>
          <w:spacing w:val="13"/>
        </w:rPr>
        <w:t>GlaxoSmithKline, Genentech, Gilead, Janssen, Merck, Mylan,</w:t>
      </w:r>
      <w:r>
        <w:rPr>
          <w:spacing w:val="22"/>
          <w:w w:val="101"/>
        </w:rPr>
        <w:t xml:space="preserve"> </w:t>
      </w:r>
      <w:r>
        <w:rPr>
          <w:spacing w:val="13"/>
        </w:rPr>
        <w:t>Pandion,</w:t>
      </w:r>
      <w:r>
        <w:rPr>
          <w:spacing w:val="17"/>
          <w:w w:val="102"/>
        </w:rPr>
        <w:t xml:space="preserve"> </w:t>
      </w:r>
      <w:r>
        <w:rPr>
          <w:spacing w:val="13"/>
        </w:rPr>
        <w:t>Pendopharm,</w:t>
      </w:r>
      <w:r>
        <w:rPr>
          <w:spacing w:val="17"/>
          <w:w w:val="101"/>
        </w:rPr>
        <w:t xml:space="preserve"> </w:t>
      </w:r>
      <w:r>
        <w:rPr>
          <w:spacing w:val="13"/>
        </w:rPr>
        <w:t>Pﬁzer,</w:t>
      </w:r>
      <w:r>
        <w:rPr>
          <w:spacing w:val="17"/>
          <w:w w:val="101"/>
        </w:rPr>
        <w:t xml:space="preserve"> </w:t>
      </w:r>
      <w:r>
        <w:rPr>
          <w:spacing w:val="13"/>
        </w:rPr>
        <w:t>Pro–</w:t>
      </w:r>
      <w:r>
        <w:rPr/>
        <w:t xml:space="preserve"> </w:t>
      </w:r>
      <w:r>
        <w:rPr>
          <w:spacing w:val="13"/>
        </w:rPr>
        <w:t>tagonist, Reistone Bio</w:t>
      </w:r>
      <w:r>
        <w:rPr>
          <w:spacing w:val="12"/>
        </w:rPr>
        <w:t>pharma, Roche, Sandoz, Second Genome,</w:t>
      </w:r>
      <w:r>
        <w:rPr>
          <w:spacing w:val="13"/>
          <w:w w:val="101"/>
        </w:rPr>
        <w:t xml:space="preserve"> </w:t>
      </w:r>
      <w:r>
        <w:rPr>
          <w:spacing w:val="12"/>
        </w:rPr>
        <w:t>Takeda,</w:t>
      </w:r>
      <w:r>
        <w:rPr>
          <w:spacing w:val="14"/>
        </w:rPr>
        <w:t xml:space="preserve"> </w:t>
      </w:r>
      <w:r>
        <w:rPr>
          <w:spacing w:val="12"/>
        </w:rPr>
        <w:t>Teva,</w:t>
      </w:r>
      <w:r>
        <w:rPr>
          <w:spacing w:val="13"/>
          <w:w w:val="101"/>
        </w:rPr>
        <w:t xml:space="preserve"> </w:t>
      </w:r>
      <w:r>
        <w:rPr>
          <w:spacing w:val="12"/>
        </w:rPr>
        <w:t>Topivert, Vividion;</w:t>
      </w:r>
      <w:r>
        <w:rPr/>
        <w:t xml:space="preserve"> </w:t>
      </w:r>
      <w:r>
        <w:rPr>
          <w:spacing w:val="12"/>
        </w:rPr>
        <w:t>speaker’s fees from, Abbvie, Ferring,</w:t>
      </w:r>
      <w:r>
        <w:rPr>
          <w:spacing w:val="31"/>
          <w:w w:val="101"/>
        </w:rPr>
        <w:t xml:space="preserve"> </w:t>
      </w:r>
      <w:r>
        <w:rPr>
          <w:spacing w:val="12"/>
        </w:rPr>
        <w:t>Galapagos, Janssen</w:t>
      </w:r>
      <w:r>
        <w:rPr>
          <w:spacing w:val="16"/>
        </w:rPr>
        <w:t xml:space="preserve"> </w:t>
      </w:r>
      <w:r>
        <w:rPr>
          <w:spacing w:val="12"/>
        </w:rPr>
        <w:t>Pﬁzer</w:t>
      </w:r>
      <w:r>
        <w:rPr>
          <w:spacing w:val="16"/>
          <w:w w:val="101"/>
        </w:rPr>
        <w:t xml:space="preserve"> </w:t>
      </w:r>
      <w:r>
        <w:rPr>
          <w:spacing w:val="12"/>
        </w:rPr>
        <w:t>Shire,</w:t>
      </w:r>
      <w:r>
        <w:rPr>
          <w:spacing w:val="17"/>
          <w:w w:val="101"/>
        </w:rPr>
        <w:t xml:space="preserve"> </w:t>
      </w:r>
      <w:r>
        <w:rPr>
          <w:spacing w:val="12"/>
        </w:rPr>
        <w:t>Takeda,</w:t>
      </w:r>
      <w:r>
        <w:rPr>
          <w:spacing w:val="18"/>
          <w:w w:val="101"/>
        </w:rPr>
        <w:t xml:space="preserve"> </w:t>
      </w:r>
      <w:r>
        <w:rPr>
          <w:spacing w:val="12"/>
        </w:rPr>
        <w:t>Fresenius</w:t>
      </w:r>
      <w:r>
        <w:rPr>
          <w:spacing w:val="16"/>
        </w:rPr>
        <w:t xml:space="preserve"> </w:t>
      </w:r>
      <w:r>
        <w:rPr>
          <w:spacing w:val="12"/>
        </w:rPr>
        <w:t>Kabi.  F</w:t>
      </w:r>
      <w:r>
        <w:rPr/>
        <w:t xml:space="preserve">  </w:t>
      </w:r>
      <w:r>
        <w:rPr>
          <w:spacing w:val="11"/>
        </w:rPr>
        <w:t>D’Amico has served as a speaker for Janssen, Galapagos, Sandoz, and Omega Pharma. </w:t>
      </w:r>
      <w:r>
        <w:rPr>
          <w:spacing w:val="10"/>
        </w:rPr>
        <w:t>S Al Awadhi</w:t>
      </w:r>
      <w:r>
        <w:rPr/>
        <w:t xml:space="preserve">  </w:t>
      </w:r>
      <w:r>
        <w:rPr>
          <w:spacing w:val="11"/>
        </w:rPr>
        <w:t>reports no conﬂict of interest. A Dignass received fees for participation in clinical trials and review</w:t>
      </w:r>
      <w:r>
        <w:rPr>
          <w:spacing w:val="2"/>
        </w:rPr>
        <w:t xml:space="preserve">  </w:t>
      </w:r>
      <w:r>
        <w:rPr>
          <w:spacing w:val="8"/>
        </w:rPr>
        <w:t>activities (ie, data monitoring</w:t>
      </w:r>
      <w:r>
        <w:rPr>
          <w:spacing w:val="4"/>
        </w:rPr>
        <w:t xml:space="preserve"> </w:t>
      </w:r>
      <w:r>
        <w:rPr>
          <w:spacing w:val="8"/>
        </w:rPr>
        <w:t>boards, statistical analysis, and end</w:t>
      </w:r>
      <w:r>
        <w:rPr>
          <w:spacing w:val="-4"/>
        </w:rPr>
        <w:t xml:space="preserve"> </w:t>
      </w:r>
      <w:r>
        <w:rPr>
          <w:spacing w:val="8"/>
        </w:rPr>
        <w:t>point committees) from AbbVie, Cel–</w:t>
      </w:r>
      <w:r>
        <w:rPr/>
        <w:t xml:space="preserve"> </w:t>
      </w:r>
      <w:r>
        <w:rPr>
          <w:spacing w:val="11"/>
        </w:rPr>
        <w:t>gene/Bristol Myers Squibb, Falk Foundation, Gilead, Janssen, and Pﬁzer; received consultancy fees</w:t>
      </w:r>
      <w:r>
        <w:rPr>
          <w:spacing w:val="5"/>
        </w:rPr>
        <w:t xml:space="preserve">  </w:t>
      </w:r>
      <w:r>
        <w:rPr>
          <w:spacing w:val="11"/>
        </w:rPr>
        <w:t>from AbbVie, Amgen, Biogen, Boe</w:t>
      </w:r>
      <w:r>
        <w:rPr>
          <w:spacing w:val="10"/>
        </w:rPr>
        <w:t>hringer Ingelheim, Celgene/Bristol Myers Squibb, Eli Lilly, Falk,</w:t>
      </w:r>
      <w:r>
        <w:rPr/>
        <w:t xml:space="preserve"> </w:t>
      </w:r>
      <w:r>
        <w:rPr>
          <w:spacing w:val="10"/>
        </w:rPr>
        <w:t>Ferring, Fresenius Kabi, Galapagos, Gilead, Janssen, MSD, Pﬁzer, Pharmacosmos, Roche/Gene</w:t>
      </w:r>
      <w:r>
        <w:rPr>
          <w:spacing w:val="9"/>
        </w:rPr>
        <w:t>ntech,</w:t>
      </w:r>
      <w:r>
        <w:rPr/>
        <w:t xml:space="preserve"> </w:t>
      </w:r>
      <w:r>
        <w:rPr>
          <w:spacing w:val="12"/>
        </w:rPr>
        <w:t>Sandoz/Hexal, Takeda, Tillotts, and Vifor; and received payment for lec</w:t>
      </w:r>
      <w:r>
        <w:rPr>
          <w:spacing w:val="11"/>
        </w:rPr>
        <w:t>tures, including service on</w:t>
      </w:r>
      <w:r>
        <w:rPr/>
        <w:t xml:space="preserve">  </w:t>
      </w:r>
      <w:r>
        <w:rPr>
          <w:spacing w:val="10"/>
        </w:rPr>
        <w:t>speaker bureaus, from AbbVie, Eli Lilly, Falk Foundation, Ferring,</w:t>
      </w:r>
      <w:r>
        <w:rPr>
          <w:spacing w:val="9"/>
        </w:rPr>
        <w:t xml:space="preserve"> Gilead/Galapagos, Janssen, MSD,</w:t>
      </w:r>
      <w:r>
        <w:rPr/>
        <w:t xml:space="preserve"> </w:t>
      </w:r>
      <w:r>
        <w:rPr>
          <w:spacing w:val="12"/>
        </w:rPr>
        <w:t>Pﬁzer, Takeda, Tillotts, and Vifor; received payment for development of educational present</w:t>
      </w:r>
      <w:r>
        <w:rPr>
          <w:spacing w:val="11"/>
        </w:rPr>
        <w:t>ations</w:t>
      </w:r>
      <w:r>
        <w:rPr/>
        <w:t xml:space="preserve">  </w:t>
      </w:r>
      <w:r>
        <w:rPr>
          <w:spacing w:val="11"/>
        </w:rPr>
        <w:t>from Ferring and Tillotts. A L Hart has served as a speaker, consultant, and advisory board member</w:t>
      </w:r>
      <w:r>
        <w:rPr>
          <w:spacing w:val="1"/>
        </w:rPr>
        <w:t xml:space="preserve">  </w:t>
      </w:r>
      <w:r>
        <w:rPr>
          <w:spacing w:val="9"/>
        </w:rPr>
        <w:t>for AbbVie, AstraZeneca, BMS, Celltrion, Ferring, Galapagos, Genente</w:t>
      </w:r>
      <w:r>
        <w:rPr>
          <w:spacing w:val="8"/>
        </w:rPr>
        <w:t>ch, Janssen, Johnson and John–</w:t>
      </w:r>
      <w:r>
        <w:rPr/>
        <w:t xml:space="preserve"> </w:t>
      </w:r>
      <w:r>
        <w:rPr>
          <w:spacing w:val="11"/>
        </w:rPr>
        <w:t>son, Takeda, MSD, Pﬁzer, Roche, Pharmacosmo</w:t>
      </w:r>
      <w:r>
        <w:rPr>
          <w:spacing w:val="10"/>
        </w:rPr>
        <w:t>s. T Kobayashi has served as a speaker, a consultant</w:t>
      </w:r>
      <w:r>
        <w:rPr/>
        <w:t xml:space="preserve">  </w:t>
      </w:r>
      <w:r>
        <w:rPr>
          <w:spacing w:val="11"/>
        </w:rPr>
        <w:t>or an advisory board member for AbbVie, Activaid,</w:t>
      </w:r>
      <w:r>
        <w:rPr>
          <w:spacing w:val="10"/>
        </w:rPr>
        <w:t xml:space="preserve"> Astellas, Alfresa Pharma, Bristol Myers Squibb,</w:t>
      </w:r>
      <w:r>
        <w:rPr/>
        <w:t xml:space="preserve"> </w:t>
      </w:r>
      <w:r>
        <w:rPr>
          <w:spacing w:val="9"/>
        </w:rPr>
        <w:t>Celltrion, Covidien, EA Pharma, Eli Lilly, Ferring Pharmaceuticals, Gilead Science</w:t>
      </w:r>
      <w:r>
        <w:rPr>
          <w:spacing w:val="8"/>
        </w:rPr>
        <w:t>s, Janssen, JIMRO,</w:t>
      </w:r>
      <w:r>
        <w:rPr/>
        <w:t xml:space="preserve"> </w:t>
      </w:r>
      <w:r>
        <w:rPr>
          <w:spacing w:val="11"/>
        </w:rPr>
        <w:t>JMDC, Kissei, Kyorin</w:t>
      </w:r>
      <w:r>
        <w:rPr>
          <w:spacing w:val="10"/>
        </w:rPr>
        <w:t xml:space="preserve"> Pharmaceutical, Mitsubishi Tanabe Pharma, Mochida Pharmaceutical, Nippon</w:t>
      </w:r>
      <w:r>
        <w:rPr/>
        <w:t xml:space="preserve">  </w:t>
      </w:r>
      <w:r>
        <w:rPr>
          <w:spacing w:val="14"/>
        </w:rPr>
        <w:t>Kayaku,</w:t>
      </w:r>
      <w:r>
        <w:rPr>
          <w:spacing w:val="20"/>
          <w:w w:val="101"/>
        </w:rPr>
        <w:t xml:space="preserve"> </w:t>
      </w:r>
      <w:r>
        <w:rPr>
          <w:spacing w:val="14"/>
        </w:rPr>
        <w:t>Pﬁzer, Takeda Pharmac</w:t>
      </w:r>
      <w:r>
        <w:rPr>
          <w:spacing w:val="13"/>
        </w:rPr>
        <w:t>eutical, Thermo Scientiﬁc</w:t>
      </w:r>
      <w:r>
        <w:rPr>
          <w:spacing w:val="19"/>
          <w:w w:val="101"/>
        </w:rPr>
        <w:t xml:space="preserve"> </w:t>
      </w:r>
      <w:r>
        <w:rPr>
          <w:spacing w:val="13"/>
        </w:rPr>
        <w:t>and</w:t>
      </w:r>
      <w:r>
        <w:rPr>
          <w:spacing w:val="16"/>
        </w:rPr>
        <w:t xml:space="preserve"> </w:t>
      </w:r>
      <w:r>
        <w:rPr>
          <w:spacing w:val="13"/>
        </w:rPr>
        <w:t>Zeria</w:t>
      </w:r>
      <w:r>
        <w:rPr>
          <w:spacing w:val="17"/>
          <w:w w:val="101"/>
        </w:rPr>
        <w:t xml:space="preserve"> </w:t>
      </w:r>
      <w:r>
        <w:rPr>
          <w:spacing w:val="13"/>
        </w:rPr>
        <w:t>Pharmaceutical,</w:t>
      </w:r>
      <w:r>
        <w:rPr>
          <w:spacing w:val="22"/>
        </w:rPr>
        <w:t xml:space="preserve"> </w:t>
      </w:r>
      <w:r>
        <w:rPr>
          <w:spacing w:val="13"/>
        </w:rPr>
        <w:t>and</w:t>
      </w:r>
      <w:r>
        <w:rPr>
          <w:spacing w:val="14"/>
          <w:w w:val="101"/>
        </w:rPr>
        <w:t xml:space="preserve"> </w:t>
      </w:r>
      <w:r>
        <w:rPr>
          <w:spacing w:val="13"/>
        </w:rPr>
        <w:t>has</w:t>
      </w:r>
      <w:r>
        <w:rPr>
          <w:spacing w:val="17"/>
        </w:rPr>
        <w:t xml:space="preserve"> </w:t>
      </w:r>
      <w:r>
        <w:rPr>
          <w:spacing w:val="13"/>
        </w:rPr>
        <w:t>re–</w:t>
      </w:r>
      <w:r>
        <w:rPr/>
        <w:t xml:space="preserve"> </w:t>
      </w:r>
      <w:r>
        <w:rPr>
          <w:spacing w:val="10"/>
        </w:rPr>
        <w:t>ceived research funding from AbbVie, Alfresa Pharma, EA Pharma, Kyorin P</w:t>
      </w:r>
      <w:r>
        <w:rPr>
          <w:spacing w:val="9"/>
        </w:rPr>
        <w:t>harmaceutical, Mochida</w:t>
      </w:r>
      <w:r>
        <w:rPr/>
        <w:t xml:space="preserve">  </w:t>
      </w:r>
      <w:r>
        <w:rPr>
          <w:spacing w:val="13"/>
        </w:rPr>
        <w:t>Pharmaceutical, Nippon Kayaku, Otsuka Holdings, Sekisui Medical</w:t>
      </w:r>
      <w:r>
        <w:rPr>
          <w:spacing w:val="12"/>
        </w:rPr>
        <w:t>, Thermo Fisher Scientiﬁc and</w:t>
      </w:r>
      <w:r>
        <w:rPr/>
        <w:t xml:space="preserve">  </w:t>
      </w:r>
      <w:r>
        <w:rPr>
          <w:spacing w:val="12"/>
        </w:rPr>
        <w:t>Zeria Pharmaceutical. P G Kotze has se</w:t>
      </w:r>
      <w:r>
        <w:rPr>
          <w:spacing w:val="11"/>
        </w:rPr>
        <w:t>rved as a speaker and consultant for Abbvie, Janssen, Pﬁzer</w:t>
      </w:r>
      <w:r>
        <w:rPr/>
        <w:t xml:space="preserve">  </w:t>
      </w:r>
      <w:r>
        <w:rPr>
          <w:spacing w:val="13"/>
        </w:rPr>
        <w:t>and Takeda. He also received scientiﬁc grants from Pﬁzer and Takeda</w:t>
      </w:r>
      <w:r>
        <w:rPr>
          <w:spacing w:val="12"/>
        </w:rPr>
        <w:t>. F Magro severd as speaker</w:t>
      </w:r>
      <w:r>
        <w:rPr/>
        <w:t xml:space="preserve">  </w:t>
      </w:r>
      <w:r>
        <w:rPr>
          <w:spacing w:val="12"/>
        </w:rPr>
        <w:t>for:</w:t>
      </w:r>
      <w:r>
        <w:rPr>
          <w:spacing w:val="2"/>
        </w:rPr>
        <w:t xml:space="preserve">  </w:t>
      </w:r>
      <w:r>
        <w:rPr>
          <w:spacing w:val="12"/>
        </w:rPr>
        <w:t>Abbvie,</w:t>
      </w:r>
      <w:r>
        <w:rPr>
          <w:spacing w:val="26"/>
        </w:rPr>
        <w:t xml:space="preserve"> </w:t>
      </w:r>
      <w:r>
        <w:rPr>
          <w:spacing w:val="12"/>
        </w:rPr>
        <w:t>Arena,</w:t>
      </w:r>
      <w:r>
        <w:rPr>
          <w:spacing w:val="27"/>
        </w:rPr>
        <w:t xml:space="preserve"> </w:t>
      </w:r>
      <w:r>
        <w:rPr>
          <w:spacing w:val="12"/>
        </w:rPr>
        <w:t>Biogen,</w:t>
      </w:r>
      <w:r>
        <w:rPr>
          <w:spacing w:val="26"/>
          <w:w w:val="101"/>
        </w:rPr>
        <w:t xml:space="preserve"> </w:t>
      </w:r>
      <w:r>
        <w:rPr>
          <w:spacing w:val="12"/>
        </w:rPr>
        <w:t>Bristol–Mye</w:t>
      </w:r>
      <w:r>
        <w:rPr>
          <w:spacing w:val="11"/>
        </w:rPr>
        <w:t>rs</w:t>
      </w:r>
      <w:r>
        <w:rPr>
          <w:spacing w:val="23"/>
        </w:rPr>
        <w:t xml:space="preserve"> </w:t>
      </w:r>
      <w:r>
        <w:rPr>
          <w:spacing w:val="11"/>
        </w:rPr>
        <w:t>Squibb,</w:t>
      </w:r>
      <w:r>
        <w:rPr>
          <w:spacing w:val="25"/>
          <w:w w:val="102"/>
        </w:rPr>
        <w:t xml:space="preserve"> </w:t>
      </w:r>
      <w:r>
        <w:rPr>
          <w:spacing w:val="11"/>
        </w:rPr>
        <w:t>Falk,</w:t>
      </w:r>
      <w:r>
        <w:rPr>
          <w:spacing w:val="26"/>
        </w:rPr>
        <w:t xml:space="preserve"> </w:t>
      </w:r>
      <w:r>
        <w:rPr>
          <w:spacing w:val="11"/>
        </w:rPr>
        <w:t>Ferring,</w:t>
      </w:r>
      <w:r>
        <w:rPr>
          <w:spacing w:val="26"/>
        </w:rPr>
        <w:t xml:space="preserve"> </w:t>
      </w:r>
      <w:r>
        <w:rPr>
          <w:spacing w:val="11"/>
        </w:rPr>
        <w:t>Hospira,</w:t>
      </w:r>
      <w:r>
        <w:rPr>
          <w:spacing w:val="19"/>
          <w:w w:val="101"/>
        </w:rPr>
        <w:t xml:space="preserve"> </w:t>
      </w:r>
      <w:r>
        <w:rPr>
          <w:spacing w:val="11"/>
        </w:rPr>
        <w:t>Janssen,</w:t>
      </w:r>
      <w:r>
        <w:rPr>
          <w:spacing w:val="26"/>
        </w:rPr>
        <w:t xml:space="preserve"> </w:t>
      </w:r>
      <w:r>
        <w:rPr>
          <w:spacing w:val="11"/>
        </w:rPr>
        <w:t>Laborat</w:t>
      </w:r>
      <w:r>
        <w:rPr>
          <w:rFonts w:ascii="Arial" w:hAnsi="Arial" w:eastAsia="Arial" w:cs="Arial"/>
          <w:spacing w:val="11"/>
        </w:rPr>
        <w:t>6</w:t>
      </w:r>
      <w:r>
        <w:rPr>
          <w:spacing w:val="11"/>
        </w:rPr>
        <w:t>rios</w:t>
      </w:r>
      <w:r>
        <w:rPr/>
        <w:t xml:space="preserve">  </w:t>
      </w:r>
      <w:r>
        <w:rPr>
          <w:spacing w:val="11"/>
        </w:rPr>
        <w:t>Vitoria, Pﬁzer, Lilly, Merck Sharp &amp; Dohme, Sandoz, Takeda, UCB, Vifor.</w:t>
      </w:r>
      <w:r>
        <w:rPr>
          <w:spacing w:val="41"/>
          <w:w w:val="102"/>
        </w:rPr>
        <w:t xml:space="preserve"> </w:t>
      </w:r>
      <w:r>
        <w:rPr>
          <w:spacing w:val="11"/>
        </w:rPr>
        <w:t>B Siegmund has served</w:t>
      </w:r>
      <w:r>
        <w:rPr/>
        <w:t xml:space="preserve">  </w:t>
      </w:r>
      <w:r>
        <w:rPr>
          <w:spacing w:val="11"/>
        </w:rPr>
        <w:t>as consultant for Abbvie, Arena, BMS, Boehringer, Celgene, Falk, Gal</w:t>
      </w:r>
      <w:r>
        <w:rPr>
          <w:spacing w:val="10"/>
        </w:rPr>
        <w:t>apagos, Janssen, Lilly, Pﬁzer,</w:t>
      </w:r>
      <w:r>
        <w:rPr/>
        <w:t xml:space="preserve"> </w:t>
      </w:r>
      <w:r>
        <w:rPr>
          <w:spacing w:val="9"/>
        </w:rPr>
        <w:t>PredictImmune and Takeda and received speaker’s fees from Abbvie, BMS, CED</w:t>
      </w:r>
      <w:r>
        <w:rPr>
          <w:spacing w:val="8"/>
        </w:rPr>
        <w:t xml:space="preserve"> Service GmbH, Falk,</w:t>
      </w:r>
      <w:r>
        <w:rPr/>
        <w:t xml:space="preserve"> </w:t>
      </w:r>
      <w:r>
        <w:rPr>
          <w:spacing w:val="10"/>
        </w:rPr>
        <w:t>Ferring, Janssen, Novartis, Pﬁz</w:t>
      </w:r>
      <w:r>
        <w:rPr>
          <w:spacing w:val="9"/>
        </w:rPr>
        <w:t>er, Takeda, grants from Pﬁzer [served as representative of the Charit</w:t>
      </w:r>
      <w:r>
        <w:rPr>
          <w:rFonts w:ascii="Arial" w:hAnsi="Arial" w:eastAsia="Arial" w:cs="Arial"/>
          <w:spacing w:val="9"/>
        </w:rPr>
        <w:t>²</w:t>
      </w:r>
      <w:r>
        <w:rPr>
          <w:spacing w:val="9"/>
        </w:rPr>
        <w:t>].</w:t>
      </w:r>
      <w:r>
        <w:rPr/>
        <w:t xml:space="preserve"> </w:t>
      </w:r>
      <w:r>
        <w:rPr>
          <w:spacing w:val="10"/>
        </w:rPr>
        <w:t>K Paridaens is an employee of Ferring Pharmac</w:t>
      </w:r>
      <w:r>
        <w:rPr>
          <w:spacing w:val="9"/>
        </w:rPr>
        <w:t>euticals. S Danese has served as a speaker, consultant,</w:t>
      </w:r>
      <w:r>
        <w:rPr/>
        <w:t xml:space="preserve"> </w:t>
      </w:r>
      <w:r>
        <w:rPr>
          <w:spacing w:val="11"/>
        </w:rPr>
        <w:t>and advisory board member for Schering–Plough, AbbVie, Actelio</w:t>
      </w:r>
      <w:r>
        <w:rPr>
          <w:spacing w:val="10"/>
        </w:rPr>
        <w:t>n, Alphawasserman, AstraZeneca,</w:t>
      </w:r>
      <w:r>
        <w:rPr/>
        <w:t xml:space="preserve"> </w:t>
      </w:r>
      <w:r>
        <w:rPr>
          <w:spacing w:val="11"/>
        </w:rPr>
        <w:t>Cellerix, Cosmo Pharmaceuticals, Ferring, Genentech, Grunenth</w:t>
      </w:r>
      <w:r>
        <w:rPr>
          <w:spacing w:val="10"/>
        </w:rPr>
        <w:t>al, Johnson and Johnson, Millenium</w:t>
      </w:r>
      <w:r>
        <w:rPr/>
        <w:t xml:space="preserve">  </w:t>
      </w:r>
      <w:r>
        <w:rPr>
          <w:spacing w:val="10"/>
        </w:rPr>
        <w:t>Takeda, MSD, Nikkiso Europe GmbH, Novo Nordisk, Nycomed, Pﬁzer,</w:t>
      </w:r>
      <w:r>
        <w:rPr>
          <w:spacing w:val="9"/>
        </w:rPr>
        <w:t xml:space="preserve"> Pharmacosmos, UCB Pharma</w:t>
      </w:r>
      <w:r>
        <w:rPr/>
        <w:t xml:space="preserve">  </w:t>
      </w:r>
      <w:r>
        <w:rPr>
          <w:spacing w:val="12"/>
        </w:rPr>
        <w:t>and Vifor.  L Peyrin–Biroulet reports personal</w:t>
      </w:r>
      <w:r>
        <w:rPr>
          <w:spacing w:val="36"/>
          <w:w w:val="102"/>
        </w:rPr>
        <w:t xml:space="preserve"> </w:t>
      </w:r>
      <w:r>
        <w:rPr>
          <w:spacing w:val="12"/>
        </w:rPr>
        <w:t>fees</w:t>
      </w:r>
      <w:r>
        <w:rPr>
          <w:spacing w:val="19"/>
          <w:w w:val="101"/>
        </w:rPr>
        <w:t xml:space="preserve"> </w:t>
      </w:r>
      <w:r>
        <w:rPr>
          <w:spacing w:val="12"/>
        </w:rPr>
        <w:t>from</w:t>
      </w:r>
      <w:r>
        <w:rPr>
          <w:spacing w:val="19"/>
          <w:w w:val="101"/>
        </w:rPr>
        <w:t xml:space="preserve"> </w:t>
      </w:r>
      <w:r>
        <w:rPr>
          <w:spacing w:val="12"/>
        </w:rPr>
        <w:t>Galapagos,</w:t>
      </w:r>
      <w:r>
        <w:rPr>
          <w:spacing w:val="21"/>
          <w:w w:val="102"/>
        </w:rPr>
        <w:t xml:space="preserve"> </w:t>
      </w:r>
      <w:r>
        <w:rPr>
          <w:spacing w:val="12"/>
        </w:rPr>
        <w:t>AbbVie,</w:t>
      </w:r>
      <w:r>
        <w:rPr>
          <w:spacing w:val="16"/>
        </w:rPr>
        <w:t xml:space="preserve"> </w:t>
      </w:r>
      <w:r>
        <w:rPr>
          <w:spacing w:val="12"/>
        </w:rPr>
        <w:t>Janssen,</w:t>
      </w:r>
      <w:r>
        <w:rPr>
          <w:spacing w:val="22"/>
          <w:w w:val="102"/>
        </w:rPr>
        <w:t xml:space="preserve"> </w:t>
      </w:r>
      <w:r>
        <w:rPr>
          <w:spacing w:val="12"/>
        </w:rPr>
        <w:t>Genentech,</w:t>
      </w:r>
      <w:r>
        <w:rPr/>
        <w:t xml:space="preserve"> </w:t>
      </w:r>
      <w:r>
        <w:rPr>
          <w:spacing w:val="10"/>
        </w:rPr>
        <w:t>Ferring, Tillots, Celltrion, Takeda, Pﬁzer, I</w:t>
      </w:r>
      <w:r>
        <w:rPr>
          <w:spacing w:val="9"/>
        </w:rPr>
        <w:t>ndex Pharmaceuticals, Sandoz, Celgene, Biogen, Samsung</w:t>
      </w:r>
      <w:r>
        <w:rPr/>
        <w:t xml:space="preserve">  </w:t>
      </w:r>
      <w:r>
        <w:rPr>
          <w:spacing w:val="10"/>
        </w:rPr>
        <w:t>Bioepis, Inotrem, Allergan, MSD, Roche, Arena, Gilead, Amgen, BMS, Vifor, N</w:t>
      </w:r>
      <w:r>
        <w:rPr>
          <w:spacing w:val="9"/>
        </w:rPr>
        <w:t>orgine, Mylan, Lilly,</w:t>
      </w:r>
      <w:r>
        <w:rPr/>
        <w:t xml:space="preserve"> </w:t>
      </w:r>
      <w:r>
        <w:rPr>
          <w:spacing w:val="13"/>
        </w:rPr>
        <w:t>Fresenius Kabi, OSE Immunotherapeutics, Enthera, Theravance, Pandion Therapeutics, G</w:t>
      </w:r>
      <w:r>
        <w:rPr>
          <w:spacing w:val="12"/>
        </w:rPr>
        <w:t>ossamer</w:t>
      </w:r>
      <w:r>
        <w:rPr/>
        <w:t xml:space="preserve">  </w:t>
      </w:r>
      <w:r>
        <w:rPr>
          <w:spacing w:val="9"/>
        </w:rPr>
        <w:t>Bio, Viatris, Thermo Fisher; gra</w:t>
      </w:r>
      <w:r>
        <w:rPr>
          <w:spacing w:val="8"/>
        </w:rPr>
        <w:t>nts from Abbvie, MSD, Takeda, Fresenius Kabi; stock options:</w:t>
      </w:r>
      <w:r>
        <w:rPr>
          <w:spacing w:val="17"/>
        </w:rPr>
        <w:t xml:space="preserve"> </w:t>
      </w:r>
      <w:r>
        <w:rPr>
          <w:spacing w:val="8"/>
        </w:rPr>
        <w:t>CTMA.</w:t>
      </w:r>
    </w:p>
    <w:p>
      <w:pPr>
        <w:pStyle w:val="BodyText"/>
        <w:ind w:left="10"/>
        <w:spacing w:before="276" w:line="203" w:lineRule="auto"/>
        <w:rPr>
          <w:sz w:val="19"/>
          <w:szCs w:val="19"/>
        </w:rPr>
      </w:pPr>
      <w:bookmarkStart w:name="bookmark1" w:id="3"/>
      <w:bookmarkEnd w:id="3"/>
      <w:bookmarkStart w:name="bookmark2" w:id="4"/>
      <w:bookmarkEnd w:id="4"/>
      <w:r>
        <w:rPr>
          <w:sz w:val="19"/>
          <w:szCs w:val="19"/>
          <w:b/>
          <w:bCs/>
          <w:spacing w:val="10"/>
        </w:rPr>
        <w:t>References</w:t>
      </w:r>
    </w:p>
    <w:p>
      <w:pPr>
        <w:pStyle w:val="BodyText"/>
        <w:ind w:left="428" w:hanging="415"/>
        <w:spacing w:before="78" w:line="280" w:lineRule="auto"/>
        <w:rPr/>
      </w:pPr>
      <w:r>
        <w:rPr>
          <w:spacing w:val="8"/>
        </w:rPr>
        <w:t>1.      </w:t>
      </w:r>
      <w:r>
        <w:rPr/>
        <w:t>Ko</w:t>
      </w:r>
      <w:r>
        <w:rPr>
          <w:spacing w:val="8"/>
        </w:rPr>
        <w:t>, C.W.; </w:t>
      </w:r>
      <w:r>
        <w:rPr/>
        <w:t>Singh</w:t>
      </w:r>
      <w:r>
        <w:rPr>
          <w:spacing w:val="8"/>
        </w:rPr>
        <w:t>, S.; </w:t>
      </w:r>
      <w:r>
        <w:rPr/>
        <w:t>Feuerstein</w:t>
      </w:r>
      <w:r>
        <w:rPr>
          <w:spacing w:val="8"/>
        </w:rPr>
        <w:t>,</w:t>
      </w:r>
      <w:r>
        <w:rPr>
          <w:spacing w:val="-8"/>
        </w:rPr>
        <w:t xml:space="preserve"> </w:t>
      </w:r>
      <w:r>
        <w:rPr>
          <w:spacing w:val="8"/>
        </w:rPr>
        <w:t>J.D.; </w:t>
      </w:r>
      <w:r>
        <w:rPr/>
        <w:t>Falck</w:t>
      </w:r>
      <w:r>
        <w:rPr>
          <w:spacing w:val="8"/>
        </w:rPr>
        <w:t>–</w:t>
      </w:r>
      <w:r>
        <w:rPr/>
        <w:t>Ytter</w:t>
      </w:r>
      <w:r>
        <w:rPr>
          <w:spacing w:val="8"/>
        </w:rPr>
        <w:t>, C.; </w:t>
      </w:r>
      <w:r>
        <w:rPr/>
        <w:t>Falck</w:t>
      </w:r>
      <w:r>
        <w:rPr>
          <w:spacing w:val="8"/>
        </w:rPr>
        <w:t>–</w:t>
      </w:r>
      <w:r>
        <w:rPr/>
        <w:t>Ytter</w:t>
      </w:r>
      <w:r>
        <w:rPr>
          <w:spacing w:val="8"/>
        </w:rPr>
        <w:t>, Y.; </w:t>
      </w:r>
      <w:r>
        <w:rPr/>
        <w:t>Cross</w:t>
      </w:r>
      <w:r>
        <w:rPr>
          <w:spacing w:val="8"/>
        </w:rPr>
        <w:t>, R.K.; </w:t>
      </w:r>
      <w:r>
        <w:rPr/>
        <w:t>Crockett</w:t>
      </w:r>
      <w:r>
        <w:rPr>
          <w:spacing w:val="8"/>
        </w:rPr>
        <w:t>, S.; </w:t>
      </w:r>
      <w:r>
        <w:rPr/>
        <w:t>Flamm</w:t>
      </w:r>
      <w:r>
        <w:rPr>
          <w:spacing w:val="8"/>
        </w:rPr>
        <w:t>, S.; </w:t>
      </w:r>
      <w:r>
        <w:rPr/>
        <w:t>Inadomi</w:t>
      </w:r>
      <w:r>
        <w:rPr>
          <w:spacing w:val="8"/>
        </w:rPr>
        <w:t>,</w:t>
      </w:r>
      <w:r>
        <w:rPr>
          <w:spacing w:val="-8"/>
        </w:rPr>
        <w:t xml:space="preserve"> </w:t>
      </w:r>
      <w:r>
        <w:rPr>
          <w:spacing w:val="8"/>
        </w:rPr>
        <w:t>J.; </w:t>
      </w:r>
      <w:r>
        <w:rPr/>
        <w:t>Muniraj</w:t>
      </w:r>
      <w:r>
        <w:rPr>
          <w:spacing w:val="7"/>
        </w:rPr>
        <w:t>, T.; </w:t>
      </w:r>
      <w:r>
        <w:rPr/>
        <w:t>et</w:t>
      </w:r>
      <w:r>
        <w:rPr>
          <w:spacing w:val="7"/>
        </w:rPr>
        <w:t xml:space="preserve"> </w:t>
      </w:r>
      <w:r>
        <w:rPr/>
        <w:t>al</w:t>
      </w:r>
      <w:r>
        <w:rPr>
          <w:spacing w:val="7"/>
        </w:rPr>
        <w:t>.</w:t>
      </w:r>
      <w:r>
        <w:rPr/>
        <w:t xml:space="preserve"> </w:t>
      </w:r>
      <w:r>
        <w:rPr>
          <w:spacing w:val="7"/>
        </w:rPr>
        <w:t>AGA Clinical Practice Guidelines on the Management of Mild–to–Moderate Ulcerative Colitis.</w:t>
      </w:r>
      <w:r>
        <w:rPr>
          <w:spacing w:val="22"/>
          <w:w w:val="101"/>
        </w:rPr>
        <w:t xml:space="preserve"> </w:t>
      </w:r>
      <w:r>
        <w:rPr>
          <w:spacing w:val="7"/>
        </w:rPr>
        <w:t>Gastroenterology </w:t>
      </w:r>
      <w:r>
        <w:rPr>
          <w:b/>
          <w:bCs/>
          <w:spacing w:val="7"/>
        </w:rPr>
        <w:t>2019</w:t>
      </w:r>
      <w:r>
        <w:rPr>
          <w:spacing w:val="7"/>
        </w:rPr>
        <w:t>, 156, 7</w:t>
      </w:r>
      <w:r>
        <w:rPr>
          <w:spacing w:val="6"/>
        </w:rPr>
        <w:t>48–764.</w:t>
      </w:r>
      <w:r>
        <w:rPr/>
        <w:t xml:space="preserve"> </w:t>
      </w:r>
      <w:r>
        <w:rPr>
          <w:spacing w:val="10"/>
        </w:rPr>
        <w:t>[</w:t>
      </w:r>
      <w:hyperlink w:history="true" r:id="rId37">
        <w:r>
          <w:rPr>
            <w:color w:val="0875B7"/>
            <w:spacing w:val="10"/>
          </w:rPr>
          <w:t>CrossRef</w:t>
        </w:r>
      </w:hyperlink>
      <w:r>
        <w:rPr>
          <w:spacing w:val="10"/>
        </w:rPr>
        <w:t>] [</w:t>
      </w:r>
      <w:hyperlink w:history="true" r:id="rId38">
        <w:r>
          <w:rPr>
            <w:color w:val="0875B7"/>
            <w:spacing w:val="10"/>
          </w:rPr>
          <w:t>PubMed</w:t>
        </w:r>
      </w:hyperlink>
      <w:r>
        <w:rPr>
          <w:spacing w:val="10"/>
        </w:rPr>
        <w:t>]</w:t>
      </w:r>
    </w:p>
    <w:p>
      <w:pPr>
        <w:pStyle w:val="BodyText"/>
        <w:ind w:left="436" w:right="8" w:hanging="431"/>
        <w:spacing w:before="8" w:line="280" w:lineRule="auto"/>
        <w:rPr/>
      </w:pPr>
      <w:r>
        <w:rPr>
          <w:spacing w:val="6"/>
        </w:rPr>
        <w:t>2.      Walsh, A.J.; Bryant, R.V.; Travis, S.P.L. Current best practice for disease</w:t>
      </w:r>
      <w:r>
        <w:rPr>
          <w:spacing w:val="8"/>
        </w:rPr>
        <w:t xml:space="preserve"> </w:t>
      </w:r>
      <w:r>
        <w:rPr>
          <w:spacing w:val="6"/>
        </w:rPr>
        <w:t>activity assessment i</w:t>
      </w:r>
      <w:r>
        <w:rPr>
          <w:spacing w:val="5"/>
        </w:rPr>
        <w:t>n</w:t>
      </w:r>
      <w:r>
        <w:rPr>
          <w:spacing w:val="6"/>
        </w:rPr>
        <w:t xml:space="preserve"> </w:t>
      </w:r>
      <w:r>
        <w:rPr>
          <w:spacing w:val="5"/>
        </w:rPr>
        <w:t>IBD. Nat.</w:t>
      </w:r>
      <w:r>
        <w:rPr>
          <w:spacing w:val="15"/>
        </w:rPr>
        <w:t xml:space="preserve"> </w:t>
      </w:r>
      <w:r>
        <w:rPr>
          <w:spacing w:val="5"/>
        </w:rPr>
        <w:t>Rev.</w:t>
      </w:r>
      <w:r>
        <w:rPr>
          <w:spacing w:val="22"/>
        </w:rPr>
        <w:t xml:space="preserve"> </w:t>
      </w:r>
      <w:r>
        <w:rPr>
          <w:spacing w:val="5"/>
        </w:rPr>
        <w:t>Gastroenterol.</w:t>
      </w:r>
      <w:r>
        <w:rPr>
          <w:spacing w:val="12"/>
          <w:w w:val="102"/>
        </w:rPr>
        <w:t xml:space="preserve"> </w:t>
      </w:r>
      <w:r>
        <w:rPr>
          <w:spacing w:val="5"/>
        </w:rPr>
        <w:t>Hepatol.</w:t>
      </w:r>
      <w:r>
        <w:rPr/>
        <w:t xml:space="preserve"> </w:t>
      </w:r>
      <w:r>
        <w:rPr>
          <w:b/>
          <w:bCs/>
          <w:spacing w:val="10"/>
        </w:rPr>
        <w:t>2016</w:t>
      </w:r>
      <w:r>
        <w:rPr>
          <w:spacing w:val="10"/>
        </w:rPr>
        <w:t>, 13, 567–579.</w:t>
      </w:r>
      <w:r>
        <w:rPr>
          <w:spacing w:val="40"/>
        </w:rPr>
        <w:t xml:space="preserve"> </w:t>
      </w:r>
      <w:r>
        <w:rPr>
          <w:spacing w:val="10"/>
        </w:rPr>
        <w:t>[</w:t>
      </w:r>
      <w:hyperlink w:history="true" r:id="rId39">
        <w:r>
          <w:rPr>
            <w:color w:val="0875B7"/>
          </w:rPr>
          <w:t>CrossRef</w:t>
        </w:r>
      </w:hyperlink>
      <w:r>
        <w:rPr>
          <w:spacing w:val="10"/>
        </w:rPr>
        <w:t>]</w:t>
      </w:r>
      <w:r>
        <w:rPr>
          <w:spacing w:val="16"/>
          <w:w w:val="101"/>
        </w:rPr>
        <w:t xml:space="preserve"> </w:t>
      </w:r>
      <w:r>
        <w:rPr>
          <w:spacing w:val="10"/>
        </w:rPr>
        <w:t>[</w:t>
      </w:r>
      <w:hyperlink w:history="true" r:id="rId40">
        <w:r>
          <w:rPr>
            <w:color w:val="0875B7"/>
          </w:rPr>
          <w:t>PubMed</w:t>
        </w:r>
      </w:hyperlink>
      <w:r>
        <w:rPr>
          <w:spacing w:val="10"/>
        </w:rPr>
        <w:t>]</w:t>
      </w:r>
    </w:p>
    <w:p>
      <w:pPr>
        <w:pStyle w:val="BodyText"/>
        <w:ind w:left="446" w:right="31" w:hanging="441"/>
        <w:spacing w:before="4" w:line="278" w:lineRule="auto"/>
        <w:rPr/>
      </w:pPr>
      <w:r>
        <w:rPr>
          <w:spacing w:val="9"/>
        </w:rPr>
        <w:t>3.      Walmsley, R.S.; Ayres, R.C.; Pounder, R.E.; Allan, R.N. A</w:t>
      </w:r>
      <w:r>
        <w:rPr>
          <w:spacing w:val="10"/>
          <w:w w:val="101"/>
        </w:rPr>
        <w:t xml:space="preserve"> </w:t>
      </w:r>
      <w:r>
        <w:rPr>
          <w:spacing w:val="9"/>
        </w:rPr>
        <w:t>simple clinical</w:t>
      </w:r>
      <w:r>
        <w:rPr>
          <w:spacing w:val="9"/>
        </w:rPr>
        <w:t xml:space="preserve"> </w:t>
      </w:r>
      <w:r>
        <w:rPr>
          <w:spacing w:val="9"/>
        </w:rPr>
        <w:t>colitis</w:t>
      </w:r>
      <w:r>
        <w:rPr>
          <w:spacing w:val="11"/>
          <w:w w:val="101"/>
        </w:rPr>
        <w:t xml:space="preserve"> </w:t>
      </w:r>
      <w:r>
        <w:rPr>
          <w:spacing w:val="9"/>
        </w:rPr>
        <w:t>activity</w:t>
      </w:r>
      <w:r>
        <w:rPr>
          <w:spacing w:val="8"/>
        </w:rPr>
        <w:t xml:space="preserve"> </w:t>
      </w:r>
      <w:r>
        <w:rPr>
          <w:spacing w:val="9"/>
        </w:rPr>
        <w:t>inde</w:t>
      </w:r>
      <w:r>
        <w:rPr>
          <w:spacing w:val="8"/>
        </w:rPr>
        <w:t>x.</w:t>
      </w:r>
      <w:r>
        <w:rPr>
          <w:spacing w:val="30"/>
          <w:w w:val="101"/>
        </w:rPr>
        <w:t xml:space="preserve"> </w:t>
      </w:r>
      <w:r>
        <w:rPr>
          <w:spacing w:val="8"/>
        </w:rPr>
        <w:t>Gut</w:t>
      </w:r>
      <w:r>
        <w:rPr>
          <w:spacing w:val="11"/>
        </w:rPr>
        <w:t xml:space="preserve"> </w:t>
      </w:r>
      <w:r>
        <w:rPr>
          <w:b/>
          <w:bCs/>
          <w:spacing w:val="8"/>
        </w:rPr>
        <w:t>1998</w:t>
      </w:r>
      <w:r>
        <w:rPr>
          <w:spacing w:val="8"/>
        </w:rPr>
        <w:t>, 43, 29–32.</w:t>
      </w:r>
      <w:r>
        <w:rPr>
          <w:spacing w:val="35"/>
          <w:w w:val="102"/>
        </w:rPr>
        <w:t xml:space="preserve"> </w:t>
      </w:r>
      <w:r>
        <w:rPr>
          <w:spacing w:val="8"/>
        </w:rPr>
        <w:t>[</w:t>
      </w:r>
      <w:hyperlink w:history="true" r:id="rId41">
        <w:r>
          <w:rPr>
            <w:color w:val="0875B7"/>
            <w:spacing w:val="8"/>
          </w:rPr>
          <w:t>CrossRef</w:t>
        </w:r>
      </w:hyperlink>
      <w:r>
        <w:rPr>
          <w:spacing w:val="8"/>
        </w:rPr>
        <w:t>]</w:t>
      </w:r>
      <w:r>
        <w:rPr/>
        <w:t xml:space="preserve"> </w:t>
      </w:r>
      <w:r>
        <w:rPr>
          <w:spacing w:val="12"/>
        </w:rPr>
        <w:t>[</w:t>
      </w:r>
      <w:hyperlink w:history="true" r:id="rId42">
        <w:r>
          <w:rPr>
            <w:color w:val="0875B7"/>
            <w:spacing w:val="12"/>
          </w:rPr>
          <w:t>PubMed</w:t>
        </w:r>
      </w:hyperlink>
      <w:r>
        <w:rPr>
          <w:spacing w:val="12"/>
        </w:rPr>
        <w:t>]</w:t>
      </w:r>
    </w:p>
    <w:p>
      <w:pPr>
        <w:pStyle w:val="BodyText"/>
        <w:ind w:left="437" w:right="31" w:hanging="434"/>
        <w:spacing w:before="6" w:line="279" w:lineRule="auto"/>
        <w:rPr/>
      </w:pPr>
      <w:r>
        <w:rPr>
          <w:spacing w:val="8"/>
        </w:rPr>
        <w:t>4.      Schroeder, K.W.; Tremaine, W.J.; Ilstrup, D.M. Coated oral 5–amino</w:t>
      </w:r>
      <w:r>
        <w:rPr>
          <w:spacing w:val="7"/>
        </w:rPr>
        <w:t>salicylic acid therapy for mildly to moderately active ulcerative</w:t>
      </w:r>
      <w:r>
        <w:rPr/>
        <w:t xml:space="preserve"> </w:t>
      </w:r>
      <w:r>
        <w:rPr/>
        <w:t>colitis</w:t>
      </w:r>
      <w:r>
        <w:rPr>
          <w:spacing w:val="17"/>
        </w:rPr>
        <w:t>. </w:t>
      </w:r>
      <w:r>
        <w:rPr/>
        <w:t>A</w:t>
      </w:r>
      <w:r>
        <w:rPr>
          <w:spacing w:val="17"/>
        </w:rPr>
        <w:t xml:space="preserve"> </w:t>
      </w:r>
      <w:r>
        <w:rPr/>
        <w:t>randomized</w:t>
      </w:r>
      <w:r>
        <w:rPr>
          <w:spacing w:val="17"/>
        </w:rPr>
        <w:t xml:space="preserve"> </w:t>
      </w:r>
      <w:r>
        <w:rPr/>
        <w:t>study</w:t>
      </w:r>
      <w:r>
        <w:rPr>
          <w:spacing w:val="17"/>
        </w:rPr>
        <w:t>. </w:t>
      </w:r>
      <w:r>
        <w:rPr/>
        <w:t>New</w:t>
      </w:r>
      <w:r>
        <w:rPr>
          <w:spacing w:val="17"/>
        </w:rPr>
        <w:t xml:space="preserve"> </w:t>
      </w:r>
      <w:r>
        <w:rPr/>
        <w:t>Engl</w:t>
      </w:r>
      <w:r>
        <w:rPr>
          <w:spacing w:val="17"/>
        </w:rPr>
        <w:t>. J. </w:t>
      </w:r>
      <w:r>
        <w:rPr/>
        <w:t>Med</w:t>
      </w:r>
      <w:r>
        <w:rPr>
          <w:spacing w:val="17"/>
        </w:rPr>
        <w:t>.</w:t>
      </w:r>
      <w:r>
        <w:rPr>
          <w:spacing w:val="29"/>
        </w:rPr>
        <w:t xml:space="preserve"> </w:t>
      </w:r>
      <w:r>
        <w:rPr>
          <w:b/>
          <w:bCs/>
          <w:spacing w:val="17"/>
        </w:rPr>
        <w:t>1987</w:t>
      </w:r>
      <w:r>
        <w:rPr>
          <w:spacing w:val="17"/>
        </w:rPr>
        <w:t>, 317, 1625–1629.</w:t>
      </w:r>
      <w:r>
        <w:rPr>
          <w:spacing w:val="27"/>
        </w:rPr>
        <w:t xml:space="preserve"> </w:t>
      </w:r>
      <w:r>
        <w:rPr>
          <w:spacing w:val="17"/>
        </w:rPr>
        <w:t>[</w:t>
      </w:r>
      <w:hyperlink w:history="true" r:id="rId43">
        <w:r>
          <w:rPr>
            <w:color w:val="0875B7"/>
          </w:rPr>
          <w:t>CrossRef</w:t>
        </w:r>
      </w:hyperlink>
      <w:r>
        <w:rPr>
          <w:spacing w:val="17"/>
        </w:rPr>
        <w:t>]</w:t>
      </w:r>
      <w:r>
        <w:rPr>
          <w:spacing w:val="16"/>
          <w:w w:val="101"/>
        </w:rPr>
        <w:t xml:space="preserve"> </w:t>
      </w:r>
      <w:r>
        <w:rPr>
          <w:spacing w:val="17"/>
        </w:rPr>
        <w:t>[</w:t>
      </w:r>
      <w:hyperlink w:history="true" r:id="rId44">
        <w:r>
          <w:rPr>
            <w:color w:val="0875B7"/>
          </w:rPr>
          <w:t>PubMed</w:t>
        </w:r>
      </w:hyperlink>
      <w:r>
        <w:rPr>
          <w:spacing w:val="17"/>
        </w:rPr>
        <w:t>]</w:t>
      </w:r>
    </w:p>
    <w:p>
      <w:pPr>
        <w:spacing w:line="279" w:lineRule="auto"/>
        <w:sectPr>
          <w:headerReference w:type="default" r:id="rId36"/>
          <w:pgSz w:w="11906" w:h="16838"/>
          <w:pgMar w:top="1442" w:right="688" w:bottom="0" w:left="711" w:header="1086" w:footer="0" w:gutter="0"/>
        </w:sectPr>
        <w:rPr/>
      </w:pPr>
    </w:p>
    <w:p>
      <w:pPr>
        <w:spacing w:line="434" w:lineRule="auto"/>
        <w:rPr>
          <w:rFonts w:ascii="Arial"/>
          <w:sz w:val="21"/>
        </w:rPr>
      </w:pPr>
      <w:r/>
    </w:p>
    <w:p>
      <w:pPr>
        <w:pStyle w:val="BodyText"/>
        <w:ind w:left="438" w:hanging="432"/>
        <w:spacing w:before="48" w:line="281" w:lineRule="auto"/>
        <w:rPr/>
      </w:pPr>
      <w:r>
        <w:rPr>
          <w:spacing w:val="12"/>
        </w:rPr>
        <w:t>5.      </w:t>
      </w:r>
      <w:r>
        <w:rPr/>
        <w:t>Sandborn</w:t>
      </w:r>
      <w:r>
        <w:rPr>
          <w:spacing w:val="12"/>
        </w:rPr>
        <w:t>, W.J.; </w:t>
      </w:r>
      <w:r>
        <w:rPr/>
        <w:t>Sands</w:t>
      </w:r>
      <w:r>
        <w:rPr>
          <w:spacing w:val="12"/>
        </w:rPr>
        <w:t>, B.E.; </w:t>
      </w:r>
      <w:r>
        <w:rPr/>
        <w:t>Wolf</w:t>
      </w:r>
      <w:r>
        <w:rPr>
          <w:spacing w:val="12"/>
        </w:rPr>
        <w:t>, D.C.; </w:t>
      </w:r>
      <w:r>
        <w:rPr/>
        <w:t>Valentine</w:t>
      </w:r>
      <w:r>
        <w:rPr>
          <w:spacing w:val="12"/>
        </w:rPr>
        <w:t>, J.F.; </w:t>
      </w:r>
      <w:r>
        <w:rPr/>
        <w:t>Safdi</w:t>
      </w:r>
      <w:r>
        <w:rPr>
          <w:spacing w:val="12"/>
        </w:rPr>
        <w:t>, M.; </w:t>
      </w:r>
      <w:r>
        <w:rPr/>
        <w:t>Katz</w:t>
      </w:r>
      <w:r>
        <w:rPr>
          <w:spacing w:val="12"/>
        </w:rPr>
        <w:t>, S.</w:t>
      </w:r>
      <w:r>
        <w:rPr>
          <w:spacing w:val="11"/>
        </w:rPr>
        <w:t>; </w:t>
      </w:r>
      <w:r>
        <w:rPr/>
        <w:t>Isaacs</w:t>
      </w:r>
      <w:r>
        <w:rPr>
          <w:spacing w:val="11"/>
        </w:rPr>
        <w:t>, K.L.; </w:t>
      </w:r>
      <w:r>
        <w:rPr/>
        <w:t>Wruble</w:t>
      </w:r>
      <w:r>
        <w:rPr>
          <w:spacing w:val="11"/>
        </w:rPr>
        <w:t>, L.D.; </w:t>
      </w:r>
      <w:r>
        <w:rPr/>
        <w:t>Katz</w:t>
      </w:r>
      <w:r>
        <w:rPr>
          <w:spacing w:val="11"/>
        </w:rPr>
        <w:t>, J.; </w:t>
      </w:r>
      <w:r>
        <w:rPr/>
        <w:t>Present</w:t>
      </w:r>
      <w:r>
        <w:rPr>
          <w:spacing w:val="11"/>
        </w:rPr>
        <w:t>, D.H.; </w:t>
      </w:r>
      <w:r>
        <w:rPr/>
        <w:t>et</w:t>
      </w:r>
      <w:r>
        <w:rPr>
          <w:spacing w:val="8"/>
        </w:rPr>
        <w:t xml:space="preserve"> </w:t>
      </w:r>
      <w:r>
        <w:rPr/>
        <w:t>al</w:t>
      </w:r>
      <w:r>
        <w:rPr>
          <w:spacing w:val="11"/>
        </w:rPr>
        <w:t>.</w:t>
      </w:r>
      <w:r>
        <w:rPr/>
        <w:t xml:space="preserve"> </w:t>
      </w:r>
      <w:r>
        <w:rPr>
          <w:spacing w:val="12"/>
        </w:rPr>
        <w:t>Repifermin (keratinocyte growth factor–2) for the treatment </w:t>
      </w:r>
      <w:r>
        <w:rPr>
          <w:spacing w:val="11"/>
        </w:rPr>
        <w:t>of active ulcerative colitis: A randomized, double–blind, placebo–</w:t>
      </w:r>
      <w:r>
        <w:rPr/>
        <w:t xml:space="preserve"> </w:t>
      </w:r>
      <w:r>
        <w:rPr>
          <w:spacing w:val="7"/>
        </w:rPr>
        <w:t>controlled, dose–escalation trial. Aliment. Pharmacol.</w:t>
      </w:r>
      <w:r>
        <w:rPr>
          <w:spacing w:val="23"/>
        </w:rPr>
        <w:t xml:space="preserve"> </w:t>
      </w:r>
      <w:r>
        <w:rPr>
          <w:spacing w:val="7"/>
        </w:rPr>
        <w:t>Ther.</w:t>
      </w:r>
      <w:r>
        <w:rPr>
          <w:spacing w:val="17"/>
          <w:w w:val="101"/>
        </w:rPr>
        <w:t xml:space="preserve"> </w:t>
      </w:r>
      <w:r>
        <w:rPr>
          <w:b/>
          <w:bCs/>
          <w:spacing w:val="7"/>
        </w:rPr>
        <w:t>2003</w:t>
      </w:r>
      <w:r>
        <w:rPr>
          <w:spacing w:val="7"/>
        </w:rPr>
        <w:t>, 17, 1355–1364.</w:t>
      </w:r>
      <w:r>
        <w:rPr>
          <w:spacing w:val="27"/>
          <w:w w:val="101"/>
        </w:rPr>
        <w:t xml:space="preserve"> </w:t>
      </w:r>
      <w:r>
        <w:rPr>
          <w:spacing w:val="7"/>
        </w:rPr>
        <w:t>[</w:t>
      </w:r>
      <w:hyperlink w:history="true" r:id="rId46">
        <w:r>
          <w:rPr>
            <w:color w:val="0875B7"/>
            <w:spacing w:val="7"/>
          </w:rPr>
          <w:t>Cr</w:t>
        </w:r>
        <w:r>
          <w:rPr>
            <w:color w:val="0875B7"/>
            <w:spacing w:val="6"/>
          </w:rPr>
          <w:t>ossRef</w:t>
        </w:r>
      </w:hyperlink>
      <w:r>
        <w:rPr>
          <w:spacing w:val="6"/>
        </w:rPr>
        <w:t>]</w:t>
      </w:r>
      <w:r>
        <w:rPr>
          <w:spacing w:val="16"/>
          <w:w w:val="101"/>
        </w:rPr>
        <w:t xml:space="preserve"> </w:t>
      </w:r>
      <w:r>
        <w:rPr>
          <w:spacing w:val="6"/>
        </w:rPr>
        <w:t>[</w:t>
      </w:r>
      <w:hyperlink w:history="true" r:id="rId47">
        <w:r>
          <w:rPr>
            <w:color w:val="0875B7"/>
            <w:spacing w:val="6"/>
          </w:rPr>
          <w:t>PubMed</w:t>
        </w:r>
      </w:hyperlink>
      <w:r>
        <w:rPr>
          <w:spacing w:val="6"/>
        </w:rPr>
        <w:t>]</w:t>
      </w:r>
    </w:p>
    <w:p>
      <w:pPr>
        <w:pStyle w:val="BodyText"/>
        <w:ind w:left="447" w:right="31" w:hanging="438"/>
        <w:spacing w:before="3" w:line="278" w:lineRule="auto"/>
        <w:rPr/>
      </w:pPr>
      <w:r>
        <w:rPr>
          <w:spacing w:val="13"/>
        </w:rPr>
        <w:t>6.      </w:t>
      </w:r>
      <w:r>
        <w:rPr/>
        <w:t>Truelove</w:t>
      </w:r>
      <w:r>
        <w:rPr>
          <w:spacing w:val="13"/>
        </w:rPr>
        <w:t>, S.C.; </w:t>
      </w:r>
      <w:r>
        <w:rPr/>
        <w:t>Witts</w:t>
      </w:r>
      <w:r>
        <w:rPr>
          <w:spacing w:val="13"/>
        </w:rPr>
        <w:t>, L.J. </w:t>
      </w:r>
      <w:r>
        <w:rPr/>
        <w:t>Cortisone</w:t>
      </w:r>
      <w:r>
        <w:rPr>
          <w:spacing w:val="13"/>
        </w:rPr>
        <w:t xml:space="preserve"> </w:t>
      </w:r>
      <w:r>
        <w:rPr/>
        <w:t>in</w:t>
      </w:r>
      <w:r>
        <w:rPr>
          <w:spacing w:val="13"/>
        </w:rPr>
        <w:t xml:space="preserve"> </w:t>
      </w:r>
      <w:r>
        <w:rPr/>
        <w:t>ulcerative</w:t>
      </w:r>
      <w:r>
        <w:rPr>
          <w:spacing w:val="13"/>
        </w:rPr>
        <w:t xml:space="preserve"> </w:t>
      </w:r>
      <w:r>
        <w:rPr/>
        <w:t>colitis</w:t>
      </w:r>
      <w:r>
        <w:rPr>
          <w:spacing w:val="13"/>
        </w:rPr>
        <w:t>;   </w:t>
      </w:r>
      <w:r>
        <w:rPr/>
        <w:t>nal</w:t>
      </w:r>
      <w:r>
        <w:rPr>
          <w:spacing w:val="13"/>
        </w:rPr>
        <w:t xml:space="preserve"> </w:t>
      </w:r>
      <w:r>
        <w:rPr/>
        <w:t>report</w:t>
      </w:r>
      <w:r>
        <w:rPr>
          <w:spacing w:val="13"/>
        </w:rPr>
        <w:t xml:space="preserve"> </w:t>
      </w:r>
      <w:r>
        <w:rPr/>
        <w:t>on</w:t>
      </w:r>
      <w:r>
        <w:rPr>
          <w:spacing w:val="13"/>
        </w:rPr>
        <w:t xml:space="preserve"> </w:t>
      </w:r>
      <w:r>
        <w:rPr/>
        <w:t>a</w:t>
      </w:r>
      <w:r>
        <w:rPr>
          <w:spacing w:val="13"/>
        </w:rPr>
        <w:t xml:space="preserve"> </w:t>
      </w:r>
      <w:r>
        <w:rPr/>
        <w:t>therapeutic</w:t>
      </w:r>
      <w:r>
        <w:rPr>
          <w:spacing w:val="13"/>
        </w:rPr>
        <w:t xml:space="preserve"> </w:t>
      </w:r>
      <w:r>
        <w:rPr/>
        <w:t>trial</w:t>
      </w:r>
      <w:r>
        <w:rPr>
          <w:spacing w:val="13"/>
        </w:rPr>
        <w:t>.</w:t>
      </w:r>
      <w:r>
        <w:rPr>
          <w:spacing w:val="32"/>
        </w:rPr>
        <w:t xml:space="preserve"> </w:t>
      </w:r>
      <w:r>
        <w:rPr/>
        <w:t>Br</w:t>
      </w:r>
      <w:r>
        <w:rPr>
          <w:spacing w:val="13"/>
        </w:rPr>
        <w:t>. </w:t>
      </w:r>
      <w:r>
        <w:rPr/>
        <w:t>Med</w:t>
      </w:r>
      <w:r>
        <w:rPr>
          <w:spacing w:val="13"/>
        </w:rPr>
        <w:t>. J. </w:t>
      </w:r>
      <w:r>
        <w:rPr>
          <w:b/>
          <w:bCs/>
          <w:spacing w:val="13"/>
        </w:rPr>
        <w:t>1955</w:t>
      </w:r>
      <w:r>
        <w:rPr>
          <w:spacing w:val="13"/>
        </w:rPr>
        <w:t>, 2, 1041–1048.</w:t>
      </w:r>
      <w:r>
        <w:rPr>
          <w:spacing w:val="25"/>
          <w:w w:val="101"/>
        </w:rPr>
        <w:t xml:space="preserve"> </w:t>
      </w:r>
      <w:r>
        <w:rPr>
          <w:spacing w:val="13"/>
        </w:rPr>
        <w:t>[</w:t>
      </w:r>
      <w:hyperlink w:history="true" r:id="rId48">
        <w:r>
          <w:rPr>
            <w:color w:val="0875B7"/>
          </w:rPr>
          <w:t>CrossRef</w:t>
        </w:r>
      </w:hyperlink>
      <w:r>
        <w:rPr>
          <w:spacing w:val="13"/>
        </w:rPr>
        <w:t>]</w:t>
      </w:r>
      <w:r>
        <w:rPr/>
        <w:t xml:space="preserve"> </w:t>
      </w:r>
      <w:bookmarkStart w:name="bookmark3" w:id="5"/>
      <w:bookmarkEnd w:id="5"/>
      <w:r>
        <w:rPr>
          <w:spacing w:val="12"/>
        </w:rPr>
        <w:t>[</w:t>
      </w:r>
      <w:hyperlink w:history="true" r:id="rId49">
        <w:r>
          <w:rPr>
            <w:color w:val="0875B7"/>
            <w:spacing w:val="12"/>
          </w:rPr>
          <w:t>PubMed</w:t>
        </w:r>
      </w:hyperlink>
      <w:r>
        <w:rPr>
          <w:spacing w:val="12"/>
        </w:rPr>
        <w:t>]</w:t>
      </w:r>
    </w:p>
    <w:p>
      <w:pPr>
        <w:pStyle w:val="BodyText"/>
        <w:ind w:left="435" w:right="8" w:hanging="424"/>
        <w:spacing w:before="6" w:line="280" w:lineRule="auto"/>
        <w:rPr/>
      </w:pPr>
      <w:r>
        <w:rPr>
          <w:spacing w:val="10"/>
        </w:rPr>
        <w:t>7.      D'Haens,</w:t>
      </w:r>
      <w:r>
        <w:rPr>
          <w:spacing w:val="29"/>
        </w:rPr>
        <w:t xml:space="preserve"> </w:t>
      </w:r>
      <w:r>
        <w:rPr>
          <w:spacing w:val="10"/>
        </w:rPr>
        <w:t>G.;</w:t>
      </w:r>
      <w:r>
        <w:rPr>
          <w:spacing w:val="34"/>
          <w:w w:val="101"/>
        </w:rPr>
        <w:t xml:space="preserve"> </w:t>
      </w:r>
      <w:r>
        <w:rPr>
          <w:spacing w:val="10"/>
        </w:rPr>
        <w:t>Sandborn,</w:t>
      </w:r>
      <w:r>
        <w:rPr>
          <w:spacing w:val="26"/>
          <w:w w:val="101"/>
        </w:rPr>
        <w:t xml:space="preserve"> </w:t>
      </w:r>
      <w:r>
        <w:rPr>
          <w:spacing w:val="10"/>
        </w:rPr>
        <w:t>W.J.;</w:t>
      </w:r>
      <w:r>
        <w:rPr>
          <w:spacing w:val="34"/>
        </w:rPr>
        <w:t xml:space="preserve"> </w:t>
      </w:r>
      <w:r>
        <w:rPr>
          <w:spacing w:val="10"/>
        </w:rPr>
        <w:t>Feagan,</w:t>
      </w:r>
      <w:r>
        <w:rPr>
          <w:spacing w:val="29"/>
          <w:w w:val="102"/>
        </w:rPr>
        <w:t xml:space="preserve"> </w:t>
      </w:r>
      <w:r>
        <w:rPr>
          <w:spacing w:val="10"/>
        </w:rPr>
        <w:t>B.G.;</w:t>
      </w:r>
      <w:r>
        <w:rPr>
          <w:spacing w:val="33"/>
          <w:w w:val="102"/>
        </w:rPr>
        <w:t xml:space="preserve"> </w:t>
      </w:r>
      <w:r>
        <w:rPr>
          <w:spacing w:val="10"/>
        </w:rPr>
        <w:t>Geboes,</w:t>
      </w:r>
      <w:r>
        <w:rPr>
          <w:spacing w:val="29"/>
        </w:rPr>
        <w:t xml:space="preserve"> </w:t>
      </w:r>
      <w:r>
        <w:rPr>
          <w:spacing w:val="10"/>
        </w:rPr>
        <w:t>K.;</w:t>
      </w:r>
      <w:r>
        <w:rPr>
          <w:spacing w:val="34"/>
        </w:rPr>
        <w:t xml:space="preserve"> </w:t>
      </w:r>
      <w:r>
        <w:rPr>
          <w:spacing w:val="10"/>
        </w:rPr>
        <w:t>Hanauer,</w:t>
      </w:r>
      <w:r>
        <w:rPr>
          <w:spacing w:val="29"/>
          <w:w w:val="101"/>
        </w:rPr>
        <w:t xml:space="preserve"> </w:t>
      </w:r>
      <w:r>
        <w:rPr>
          <w:spacing w:val="10"/>
        </w:rPr>
        <w:t>S.B.;</w:t>
      </w:r>
      <w:r>
        <w:rPr>
          <w:spacing w:val="33"/>
          <w:w w:val="102"/>
        </w:rPr>
        <w:t xml:space="preserve"> </w:t>
      </w:r>
      <w:r>
        <w:rPr>
          <w:spacing w:val="10"/>
        </w:rPr>
        <w:t>I</w:t>
      </w:r>
      <w:r>
        <w:rPr>
          <w:spacing w:val="9"/>
        </w:rPr>
        <w:t>rvine,</w:t>
      </w:r>
      <w:r>
        <w:rPr>
          <w:spacing w:val="29"/>
        </w:rPr>
        <w:t xml:space="preserve"> </w:t>
      </w:r>
      <w:r>
        <w:rPr>
          <w:spacing w:val="9"/>
        </w:rPr>
        <w:t>E.J.;</w:t>
      </w:r>
      <w:r>
        <w:rPr>
          <w:spacing w:val="34"/>
        </w:rPr>
        <w:t xml:space="preserve"> </w:t>
      </w:r>
      <w:r>
        <w:rPr>
          <w:spacing w:val="9"/>
        </w:rPr>
        <w:t>L</w:t>
      </w:r>
      <w:r>
        <w:rPr>
          <w:rFonts w:ascii="Arial" w:hAnsi="Arial" w:eastAsia="Arial" w:cs="Arial"/>
          <w:spacing w:val="9"/>
        </w:rPr>
        <w:t>²</w:t>
      </w:r>
      <w:r>
        <w:rPr>
          <w:spacing w:val="9"/>
        </w:rPr>
        <w:t>mann,</w:t>
      </w:r>
      <w:r>
        <w:rPr>
          <w:spacing w:val="28"/>
        </w:rPr>
        <w:t xml:space="preserve"> </w:t>
      </w:r>
      <w:r>
        <w:rPr>
          <w:spacing w:val="9"/>
        </w:rPr>
        <w:t>M.;</w:t>
      </w:r>
      <w:r>
        <w:rPr>
          <w:spacing w:val="32"/>
          <w:w w:val="102"/>
        </w:rPr>
        <w:t xml:space="preserve"> </w:t>
      </w:r>
      <w:r>
        <w:rPr>
          <w:spacing w:val="9"/>
        </w:rPr>
        <w:t>Marteau,</w:t>
      </w:r>
      <w:r>
        <w:rPr>
          <w:spacing w:val="29"/>
        </w:rPr>
        <w:t xml:space="preserve"> </w:t>
      </w:r>
      <w:r>
        <w:rPr>
          <w:spacing w:val="9"/>
        </w:rPr>
        <w:t>P.;</w:t>
      </w:r>
      <w:r>
        <w:rPr>
          <w:spacing w:val="33"/>
          <w:w w:val="102"/>
        </w:rPr>
        <w:t xml:space="preserve"> </w:t>
      </w:r>
      <w:r>
        <w:rPr>
          <w:spacing w:val="9"/>
        </w:rPr>
        <w:t>Rutgeerts,</w:t>
      </w:r>
      <w:r>
        <w:rPr>
          <w:spacing w:val="29"/>
        </w:rPr>
        <w:t xml:space="preserve"> </w:t>
      </w:r>
      <w:r>
        <w:rPr>
          <w:spacing w:val="9"/>
        </w:rPr>
        <w:t>P.;</w:t>
      </w:r>
      <w:r>
        <w:rPr/>
        <w:t xml:space="preserve"> </w:t>
      </w:r>
      <w:r>
        <w:rPr>
          <w:spacing w:val="9"/>
        </w:rPr>
        <w:t>Schölmerich, J.; et al. A Review of Activity Indices and Ef  cacy End Points for Clinical Trials of Medical Therapy in Adults with</w:t>
      </w:r>
      <w:r>
        <w:rPr>
          <w:spacing w:val="10"/>
          <w:w w:val="102"/>
        </w:rPr>
        <w:t xml:space="preserve"> </w:t>
      </w:r>
      <w:bookmarkStart w:name="bookmark4" w:id="6"/>
      <w:bookmarkEnd w:id="6"/>
      <w:r>
        <w:rPr/>
        <w:t>Ulcerative</w:t>
      </w:r>
      <w:r>
        <w:rPr>
          <w:spacing w:val="18"/>
        </w:rPr>
        <w:t xml:space="preserve"> </w:t>
      </w:r>
      <w:r>
        <w:rPr/>
        <w:t>Colitis</w:t>
      </w:r>
      <w:r>
        <w:rPr>
          <w:spacing w:val="18"/>
        </w:rPr>
        <w:t>.</w:t>
      </w:r>
      <w:r>
        <w:rPr>
          <w:spacing w:val="22"/>
          <w:w w:val="101"/>
        </w:rPr>
        <w:t xml:space="preserve"> </w:t>
      </w:r>
      <w:r>
        <w:rPr/>
        <w:t>Gastroenterology</w:t>
      </w:r>
      <w:r>
        <w:rPr>
          <w:spacing w:val="18"/>
        </w:rPr>
        <w:t xml:space="preserve"> </w:t>
      </w:r>
      <w:r>
        <w:rPr>
          <w:b/>
          <w:bCs/>
          <w:spacing w:val="18"/>
        </w:rPr>
        <w:t>2007</w:t>
      </w:r>
      <w:r>
        <w:rPr>
          <w:spacing w:val="18"/>
        </w:rPr>
        <w:t>, 132, 763–786.</w:t>
      </w:r>
      <w:r>
        <w:rPr>
          <w:spacing w:val="27"/>
          <w:w w:val="101"/>
        </w:rPr>
        <w:t xml:space="preserve"> </w:t>
      </w:r>
      <w:r>
        <w:rPr>
          <w:spacing w:val="18"/>
        </w:rPr>
        <w:t>[</w:t>
      </w:r>
      <w:hyperlink w:history="true" r:id="rId50">
        <w:r>
          <w:rPr>
            <w:color w:val="0875B7"/>
          </w:rPr>
          <w:t>CrossRef</w:t>
        </w:r>
      </w:hyperlink>
      <w:r>
        <w:rPr>
          <w:spacing w:val="18"/>
        </w:rPr>
        <w:t>]</w:t>
      </w:r>
      <w:r>
        <w:rPr>
          <w:spacing w:val="16"/>
          <w:w w:val="101"/>
        </w:rPr>
        <w:t xml:space="preserve"> </w:t>
      </w:r>
      <w:r>
        <w:rPr>
          <w:spacing w:val="17"/>
        </w:rPr>
        <w:t>[</w:t>
      </w:r>
      <w:hyperlink w:history="true" r:id="rId51">
        <w:r>
          <w:rPr>
            <w:color w:val="0875B7"/>
          </w:rPr>
          <w:t>PubMed</w:t>
        </w:r>
      </w:hyperlink>
      <w:r>
        <w:rPr>
          <w:spacing w:val="17"/>
        </w:rPr>
        <w:t>]</w:t>
      </w:r>
    </w:p>
    <w:p>
      <w:pPr>
        <w:pStyle w:val="BodyText"/>
        <w:ind w:left="436" w:right="8" w:hanging="427"/>
        <w:spacing w:before="5" w:line="280" w:lineRule="auto"/>
        <w:rPr/>
      </w:pPr>
      <w:r>
        <w:rPr>
          <w:spacing w:val="10"/>
        </w:rPr>
        <w:t>8.      Raine,</w:t>
      </w:r>
      <w:r>
        <w:rPr>
          <w:spacing w:val="31"/>
        </w:rPr>
        <w:t xml:space="preserve"> </w:t>
      </w:r>
      <w:r>
        <w:rPr>
          <w:spacing w:val="10"/>
        </w:rPr>
        <w:t>T.;</w:t>
      </w:r>
      <w:r>
        <w:rPr>
          <w:spacing w:val="31"/>
        </w:rPr>
        <w:t xml:space="preserve"> </w:t>
      </w:r>
      <w:r>
        <w:rPr>
          <w:spacing w:val="10"/>
        </w:rPr>
        <w:t>Bonovas,</w:t>
      </w:r>
      <w:r>
        <w:rPr>
          <w:spacing w:val="27"/>
        </w:rPr>
        <w:t xml:space="preserve"> </w:t>
      </w:r>
      <w:r>
        <w:rPr>
          <w:spacing w:val="10"/>
        </w:rPr>
        <w:t>S.;</w:t>
      </w:r>
      <w:r>
        <w:rPr>
          <w:spacing w:val="30"/>
          <w:w w:val="102"/>
        </w:rPr>
        <w:t xml:space="preserve"> </w:t>
      </w:r>
      <w:r>
        <w:rPr>
          <w:spacing w:val="10"/>
        </w:rPr>
        <w:t>Burisch,</w:t>
      </w:r>
      <w:r>
        <w:rPr>
          <w:spacing w:val="19"/>
          <w:w w:val="101"/>
        </w:rPr>
        <w:t xml:space="preserve"> </w:t>
      </w:r>
      <w:r>
        <w:rPr>
          <w:spacing w:val="10"/>
        </w:rPr>
        <w:t>J.;</w:t>
      </w:r>
      <w:r>
        <w:rPr>
          <w:spacing w:val="30"/>
          <w:w w:val="101"/>
        </w:rPr>
        <w:t xml:space="preserve"> </w:t>
      </w:r>
      <w:r>
        <w:rPr>
          <w:spacing w:val="10"/>
        </w:rPr>
        <w:t>Kucharzik,</w:t>
      </w:r>
      <w:r>
        <w:rPr>
          <w:spacing w:val="25"/>
          <w:w w:val="101"/>
        </w:rPr>
        <w:t xml:space="preserve"> </w:t>
      </w:r>
      <w:r>
        <w:rPr>
          <w:spacing w:val="10"/>
        </w:rPr>
        <w:t>T.;</w:t>
      </w:r>
      <w:r>
        <w:rPr>
          <w:spacing w:val="29"/>
        </w:rPr>
        <w:t xml:space="preserve"> </w:t>
      </w:r>
      <w:r>
        <w:rPr>
          <w:spacing w:val="10"/>
        </w:rPr>
        <w:t>Adamina,</w:t>
      </w:r>
      <w:r>
        <w:rPr>
          <w:spacing w:val="25"/>
          <w:w w:val="101"/>
        </w:rPr>
        <w:t xml:space="preserve"> </w:t>
      </w:r>
      <w:r>
        <w:rPr>
          <w:spacing w:val="10"/>
        </w:rPr>
        <w:t>M.;</w:t>
      </w:r>
      <w:r>
        <w:rPr>
          <w:spacing w:val="28"/>
          <w:w w:val="102"/>
        </w:rPr>
        <w:t xml:space="preserve"> </w:t>
      </w:r>
      <w:r>
        <w:rPr>
          <w:spacing w:val="10"/>
        </w:rPr>
        <w:t>Annese,</w:t>
      </w:r>
      <w:r>
        <w:rPr>
          <w:spacing w:val="23"/>
          <w:w w:val="101"/>
        </w:rPr>
        <w:t xml:space="preserve"> </w:t>
      </w:r>
      <w:r>
        <w:rPr>
          <w:spacing w:val="10"/>
        </w:rPr>
        <w:t>V.;</w:t>
      </w:r>
      <w:r>
        <w:rPr>
          <w:spacing w:val="31"/>
        </w:rPr>
        <w:t xml:space="preserve"> </w:t>
      </w:r>
      <w:r>
        <w:rPr>
          <w:spacing w:val="10"/>
        </w:rPr>
        <w:t>Bachmann,</w:t>
      </w:r>
      <w:r>
        <w:rPr>
          <w:spacing w:val="26"/>
          <w:w w:val="101"/>
        </w:rPr>
        <w:t xml:space="preserve"> </w:t>
      </w:r>
      <w:r>
        <w:rPr>
          <w:spacing w:val="10"/>
        </w:rPr>
        <w:t>O.;</w:t>
      </w:r>
      <w:r>
        <w:rPr>
          <w:spacing w:val="31"/>
        </w:rPr>
        <w:t xml:space="preserve"> </w:t>
      </w:r>
      <w:r>
        <w:rPr>
          <w:spacing w:val="10"/>
        </w:rPr>
        <w:t>Bettenworth,</w:t>
      </w:r>
      <w:r>
        <w:rPr>
          <w:spacing w:val="26"/>
        </w:rPr>
        <w:t xml:space="preserve"> </w:t>
      </w:r>
      <w:r>
        <w:rPr>
          <w:spacing w:val="10"/>
        </w:rPr>
        <w:t>D.;</w:t>
      </w:r>
      <w:r>
        <w:rPr>
          <w:spacing w:val="30"/>
          <w:w w:val="101"/>
        </w:rPr>
        <w:t xml:space="preserve"> </w:t>
      </w:r>
      <w:r>
        <w:rPr>
          <w:spacing w:val="10"/>
        </w:rPr>
        <w:t>Chaparro,</w:t>
      </w:r>
      <w:r>
        <w:rPr>
          <w:spacing w:val="25"/>
        </w:rPr>
        <w:t xml:space="preserve"> </w:t>
      </w:r>
      <w:r>
        <w:rPr>
          <w:spacing w:val="10"/>
        </w:rPr>
        <w:t>M.;</w:t>
      </w:r>
      <w:r>
        <w:rPr/>
        <w:t xml:space="preserve"> </w:t>
      </w:r>
      <w:r>
        <w:rPr>
          <w:spacing w:val="9"/>
        </w:rPr>
        <w:t>Czuber–Dochan, W.; et al. ECCO Guidelines on Therapeutics in Ulcerative Colitis: Medical Treatment. J. Cro</w:t>
      </w:r>
      <w:r>
        <w:rPr>
          <w:spacing w:val="8"/>
        </w:rPr>
        <w:t>hns Colitis </w:t>
      </w:r>
      <w:r>
        <w:rPr>
          <w:b/>
          <w:bCs/>
          <w:spacing w:val="8"/>
        </w:rPr>
        <w:t>2022</w:t>
      </w:r>
      <w:r>
        <w:rPr>
          <w:spacing w:val="8"/>
        </w:rPr>
        <w:t>,</w:t>
      </w:r>
      <w:r>
        <w:rPr>
          <w:spacing w:val="12"/>
          <w:w w:val="102"/>
        </w:rPr>
        <w:t xml:space="preserve"> </w:t>
      </w:r>
      <w:r>
        <w:rPr>
          <w:spacing w:val="8"/>
        </w:rPr>
        <w:t>16,</w:t>
      </w:r>
      <w:r>
        <w:rPr/>
        <w:t xml:space="preserve"> </w:t>
      </w:r>
      <w:bookmarkStart w:name="bookmark5" w:id="7"/>
      <w:bookmarkEnd w:id="7"/>
      <w:r>
        <w:rPr>
          <w:spacing w:val="8"/>
        </w:rPr>
        <w:t>2–17.</w:t>
      </w:r>
      <w:r>
        <w:rPr>
          <w:spacing w:val="27"/>
        </w:rPr>
        <w:t xml:space="preserve"> </w:t>
      </w:r>
      <w:r>
        <w:rPr>
          <w:spacing w:val="8"/>
        </w:rPr>
        <w:t>[</w:t>
      </w:r>
      <w:hyperlink w:history="true" r:id="rId52">
        <w:r>
          <w:rPr>
            <w:color w:val="0875B7"/>
            <w:spacing w:val="8"/>
          </w:rPr>
          <w:t>CrossRef</w:t>
        </w:r>
      </w:hyperlink>
      <w:r>
        <w:rPr>
          <w:spacing w:val="8"/>
        </w:rPr>
        <w:t>]</w:t>
      </w:r>
      <w:r>
        <w:rPr>
          <w:spacing w:val="16"/>
          <w:w w:val="101"/>
        </w:rPr>
        <w:t xml:space="preserve"> </w:t>
      </w:r>
      <w:r>
        <w:rPr>
          <w:spacing w:val="8"/>
        </w:rPr>
        <w:t>[</w:t>
      </w:r>
      <w:hyperlink w:history="true" r:id="rId53">
        <w:r>
          <w:rPr>
            <w:color w:val="0875B7"/>
            <w:spacing w:val="8"/>
          </w:rPr>
          <w:t>PubMed</w:t>
        </w:r>
      </w:hyperlink>
      <w:r>
        <w:rPr>
          <w:spacing w:val="8"/>
        </w:rPr>
        <w:t>]</w:t>
      </w:r>
    </w:p>
    <w:p>
      <w:pPr>
        <w:pStyle w:val="BodyText"/>
        <w:ind w:left="438" w:hanging="431"/>
        <w:spacing w:before="7" w:line="281" w:lineRule="auto"/>
        <w:rPr/>
      </w:pPr>
      <w:r>
        <w:rPr>
          <w:spacing w:val="9"/>
        </w:rPr>
        <w:t>9.      </w:t>
      </w:r>
      <w:r>
        <w:rPr/>
        <w:t>Lamb</w:t>
      </w:r>
      <w:r>
        <w:rPr>
          <w:spacing w:val="9"/>
        </w:rPr>
        <w:t>, C.A.; </w:t>
      </w:r>
      <w:r>
        <w:rPr/>
        <w:t>Kennedy</w:t>
      </w:r>
      <w:r>
        <w:rPr>
          <w:spacing w:val="9"/>
        </w:rPr>
        <w:t>, N.A.; </w:t>
      </w:r>
      <w:r>
        <w:rPr/>
        <w:t>Raine</w:t>
      </w:r>
      <w:r>
        <w:rPr>
          <w:spacing w:val="9"/>
        </w:rPr>
        <w:t>, T</w:t>
      </w:r>
      <w:r>
        <w:rPr>
          <w:spacing w:val="8"/>
        </w:rPr>
        <w:t>.; </w:t>
      </w:r>
      <w:r>
        <w:rPr/>
        <w:t>Hendy</w:t>
      </w:r>
      <w:r>
        <w:rPr>
          <w:spacing w:val="8"/>
        </w:rPr>
        <w:t>, P.A.; </w:t>
      </w:r>
      <w:r>
        <w:rPr/>
        <w:t>Smith</w:t>
      </w:r>
      <w:r>
        <w:rPr>
          <w:spacing w:val="8"/>
        </w:rPr>
        <w:t>, P.J.; </w:t>
      </w:r>
      <w:r>
        <w:rPr/>
        <w:t>Limdi</w:t>
      </w:r>
      <w:r>
        <w:rPr>
          <w:spacing w:val="8"/>
        </w:rPr>
        <w:t>,</w:t>
      </w:r>
      <w:r>
        <w:rPr>
          <w:spacing w:val="-7"/>
        </w:rPr>
        <w:t xml:space="preserve"> </w:t>
      </w:r>
      <w:r>
        <w:rPr>
          <w:spacing w:val="8"/>
        </w:rPr>
        <w:t>J.K.; </w:t>
      </w:r>
      <w:r>
        <w:rPr/>
        <w:t>Hayee</w:t>
      </w:r>
      <w:r>
        <w:rPr>
          <w:spacing w:val="8"/>
        </w:rPr>
        <w:t>, B.; </w:t>
      </w:r>
      <w:r>
        <w:rPr/>
        <w:t>Lomer</w:t>
      </w:r>
      <w:r>
        <w:rPr>
          <w:spacing w:val="8"/>
        </w:rPr>
        <w:t>, M.C.E.; </w:t>
      </w:r>
      <w:r>
        <w:rPr/>
        <w:t>Parkes</w:t>
      </w:r>
      <w:r>
        <w:rPr>
          <w:spacing w:val="8"/>
        </w:rPr>
        <w:t>, G.C.; </w:t>
      </w:r>
      <w:r>
        <w:rPr/>
        <w:t>Selinger</w:t>
      </w:r>
      <w:r>
        <w:rPr>
          <w:spacing w:val="8"/>
        </w:rPr>
        <w:t>, C.; </w:t>
      </w:r>
      <w:r>
        <w:rPr/>
        <w:t>et</w:t>
      </w:r>
      <w:r>
        <w:rPr>
          <w:spacing w:val="8"/>
        </w:rPr>
        <w:t xml:space="preserve"> </w:t>
      </w:r>
      <w:r>
        <w:rPr/>
        <w:t>al</w:t>
      </w:r>
      <w:r>
        <w:rPr>
          <w:spacing w:val="8"/>
        </w:rPr>
        <w:t>.</w:t>
      </w:r>
      <w:r>
        <w:rPr/>
        <w:t xml:space="preserve"> </w:t>
      </w:r>
      <w:r>
        <w:rPr>
          <w:spacing w:val="10"/>
        </w:rPr>
        <w:t>British Society of Gastroenterology consensus guidelines on the management of in  ammatory bowel disease in adults.</w:t>
      </w:r>
      <w:r>
        <w:rPr>
          <w:spacing w:val="36"/>
        </w:rPr>
        <w:t xml:space="preserve"> </w:t>
      </w:r>
      <w:r>
        <w:rPr>
          <w:spacing w:val="10"/>
        </w:rPr>
        <w:t>Gut </w:t>
      </w:r>
      <w:r>
        <w:rPr>
          <w:b/>
          <w:bCs/>
          <w:spacing w:val="10"/>
        </w:rPr>
        <w:t>2019</w:t>
      </w:r>
      <w:r>
        <w:rPr>
          <w:spacing w:val="10"/>
        </w:rPr>
        <w:t>,</w:t>
      </w:r>
      <w:r>
        <w:rPr/>
        <w:t xml:space="preserve"> </w:t>
      </w:r>
      <w:bookmarkStart w:name="bookmark6" w:id="8"/>
      <w:bookmarkEnd w:id="8"/>
      <w:r>
        <w:rPr>
          <w:spacing w:val="13"/>
        </w:rPr>
        <w:t>68, s1–s106.</w:t>
      </w:r>
      <w:r>
        <w:rPr>
          <w:spacing w:val="39"/>
        </w:rPr>
        <w:t xml:space="preserve"> </w:t>
      </w:r>
      <w:r>
        <w:rPr>
          <w:spacing w:val="13"/>
        </w:rPr>
        <w:t>[</w:t>
      </w:r>
      <w:hyperlink w:history="true" r:id="rId54">
        <w:r>
          <w:rPr>
            <w:color w:val="0875B7"/>
          </w:rPr>
          <w:t>CrossRef</w:t>
        </w:r>
      </w:hyperlink>
      <w:r>
        <w:rPr>
          <w:spacing w:val="13"/>
        </w:rPr>
        <w:t>]</w:t>
      </w:r>
      <w:r>
        <w:rPr>
          <w:spacing w:val="16"/>
          <w:w w:val="101"/>
        </w:rPr>
        <w:t xml:space="preserve"> </w:t>
      </w:r>
      <w:r>
        <w:rPr>
          <w:spacing w:val="13"/>
        </w:rPr>
        <w:t>[</w:t>
      </w:r>
      <w:hyperlink w:history="true" r:id="rId55">
        <w:r>
          <w:rPr>
            <w:color w:val="0875B7"/>
          </w:rPr>
          <w:t>PubMed</w:t>
        </w:r>
      </w:hyperlink>
      <w:r>
        <w:rPr>
          <w:spacing w:val="13"/>
        </w:rPr>
        <w:t>]</w:t>
      </w:r>
    </w:p>
    <w:p>
      <w:pPr>
        <w:pStyle w:val="BodyText"/>
        <w:ind w:left="437" w:right="29" w:hanging="423"/>
        <w:spacing w:before="3" w:line="279" w:lineRule="auto"/>
        <w:rPr/>
      </w:pPr>
      <w:r>
        <w:rPr>
          <w:spacing w:val="14"/>
        </w:rPr>
        <w:t>10.    </w:t>
      </w:r>
      <w:r>
        <w:rPr/>
        <w:t>Sedano</w:t>
      </w:r>
      <w:r>
        <w:rPr>
          <w:spacing w:val="14"/>
        </w:rPr>
        <w:t>, R.; </w:t>
      </w:r>
      <w:r>
        <w:rPr/>
        <w:t>Jairath</w:t>
      </w:r>
      <w:r>
        <w:rPr>
          <w:spacing w:val="14"/>
        </w:rPr>
        <w:t>, V.; </w:t>
      </w:r>
      <w:r>
        <w:rPr/>
        <w:t>Ma</w:t>
      </w:r>
      <w:r>
        <w:rPr>
          <w:spacing w:val="14"/>
        </w:rPr>
        <w:t>, C.; </w:t>
      </w:r>
      <w:r>
        <w:rPr/>
        <w:t>Hanzel</w:t>
      </w:r>
      <w:r>
        <w:rPr>
          <w:spacing w:val="14"/>
        </w:rPr>
        <w:t>, J.; </w:t>
      </w:r>
      <w:r>
        <w:rPr/>
        <w:t>Shackelton</w:t>
      </w:r>
      <w:r>
        <w:rPr>
          <w:spacing w:val="14"/>
        </w:rPr>
        <w:t>, L.M.; </w:t>
      </w:r>
      <w:r>
        <w:rPr/>
        <w:t>McFarlane</w:t>
      </w:r>
      <w:r>
        <w:rPr>
          <w:spacing w:val="14"/>
        </w:rPr>
        <w:t>, S.; D'</w:t>
      </w:r>
      <w:r>
        <w:rPr/>
        <w:t>Haens</w:t>
      </w:r>
      <w:r>
        <w:rPr>
          <w:spacing w:val="14"/>
        </w:rPr>
        <w:t>, G.R.; </w:t>
      </w:r>
      <w:r>
        <w:rPr/>
        <w:t>Sandborn</w:t>
      </w:r>
      <w:r>
        <w:rPr>
          <w:spacing w:val="14"/>
        </w:rPr>
        <w:t>, W.J.; </w:t>
      </w:r>
      <w:r>
        <w:rPr/>
        <w:t>Feagan</w:t>
      </w:r>
      <w:r>
        <w:rPr>
          <w:spacing w:val="14"/>
        </w:rPr>
        <w:t>, B.G. </w:t>
      </w:r>
      <w:r>
        <w:rPr/>
        <w:t>Design</w:t>
      </w:r>
      <w:r>
        <w:rPr>
          <w:spacing w:val="14"/>
        </w:rPr>
        <w:t xml:space="preserve"> </w:t>
      </w:r>
      <w:r>
        <w:rPr/>
        <w:t>of</w:t>
      </w:r>
      <w:r>
        <w:rPr>
          <w:spacing w:val="2"/>
        </w:rPr>
        <w:t xml:space="preserve"> </w:t>
      </w:r>
      <w:bookmarkStart w:name="bookmark7" w:id="9"/>
      <w:bookmarkEnd w:id="9"/>
      <w:r>
        <w:rPr>
          <w:spacing w:val="8"/>
        </w:rPr>
        <w:t>Clinical Trials for Mild to Moderate </w:t>
      </w:r>
      <w:r>
        <w:rPr>
          <w:spacing w:val="7"/>
        </w:rPr>
        <w:t>Ulcerative Colitis.</w:t>
      </w:r>
      <w:r>
        <w:rPr>
          <w:spacing w:val="22"/>
        </w:rPr>
        <w:t xml:space="preserve"> </w:t>
      </w:r>
      <w:r>
        <w:rPr>
          <w:spacing w:val="7"/>
        </w:rPr>
        <w:t>Gastroenterology </w:t>
      </w:r>
      <w:r>
        <w:rPr>
          <w:b/>
          <w:bCs/>
          <w:spacing w:val="7"/>
        </w:rPr>
        <w:t>2022</w:t>
      </w:r>
      <w:r>
        <w:rPr>
          <w:spacing w:val="7"/>
        </w:rPr>
        <w:t>, 162, 1005–1018.</w:t>
      </w:r>
      <w:r>
        <w:rPr>
          <w:spacing w:val="27"/>
          <w:w w:val="101"/>
        </w:rPr>
        <w:t xml:space="preserve"> </w:t>
      </w:r>
      <w:r>
        <w:rPr>
          <w:spacing w:val="7"/>
        </w:rPr>
        <w:t>[</w:t>
      </w:r>
      <w:hyperlink w:history="true" r:id="rId56">
        <w:r>
          <w:rPr>
            <w:color w:val="0875B7"/>
            <w:spacing w:val="7"/>
          </w:rPr>
          <w:t>CrossRef</w:t>
        </w:r>
      </w:hyperlink>
      <w:r>
        <w:rPr>
          <w:spacing w:val="7"/>
        </w:rPr>
        <w:t>]</w:t>
      </w:r>
      <w:r>
        <w:rPr>
          <w:spacing w:val="16"/>
          <w:w w:val="101"/>
        </w:rPr>
        <w:t xml:space="preserve"> </w:t>
      </w:r>
      <w:r>
        <w:rPr>
          <w:spacing w:val="7"/>
        </w:rPr>
        <w:t>[</w:t>
      </w:r>
      <w:hyperlink w:history="true" r:id="rId57">
        <w:r>
          <w:rPr>
            <w:color w:val="0875B7"/>
            <w:spacing w:val="7"/>
          </w:rPr>
          <w:t>PubMed</w:t>
        </w:r>
      </w:hyperlink>
      <w:r>
        <w:rPr>
          <w:spacing w:val="7"/>
        </w:rPr>
        <w:t>]</w:t>
      </w:r>
    </w:p>
    <w:p>
      <w:pPr>
        <w:pStyle w:val="BodyText"/>
        <w:ind w:left="437" w:right="1" w:hanging="423"/>
        <w:spacing w:before="7" w:line="278" w:lineRule="auto"/>
        <w:rPr/>
      </w:pPr>
      <w:r>
        <w:rPr>
          <w:spacing w:val="12"/>
        </w:rPr>
        <w:t>11.    Ulcerative Colitis:</w:t>
      </w:r>
      <w:r>
        <w:rPr>
          <w:spacing w:val="33"/>
          <w:w w:val="101"/>
        </w:rPr>
        <w:t xml:space="preserve"> </w:t>
      </w:r>
      <w:r>
        <w:rPr>
          <w:spacing w:val="12"/>
        </w:rPr>
        <w:t>Clinical Trial Endpoints Guidance for</w:t>
      </w:r>
      <w:r>
        <w:rPr>
          <w:spacing w:val="14"/>
          <w:w w:val="101"/>
        </w:rPr>
        <w:t xml:space="preserve"> </w:t>
      </w:r>
      <w:r>
        <w:rPr>
          <w:spacing w:val="12"/>
        </w:rPr>
        <w:t>Industry.</w:t>
      </w:r>
      <w:r>
        <w:rPr>
          <w:spacing w:val="39"/>
        </w:rPr>
        <w:t xml:space="preserve"> </w:t>
      </w:r>
      <w:r>
        <w:rPr>
          <w:spacing w:val="12"/>
        </w:rPr>
        <w:t>U.S.</w:t>
      </w:r>
      <w:r>
        <w:rPr>
          <w:spacing w:val="14"/>
          <w:w w:val="101"/>
        </w:rPr>
        <w:t xml:space="preserve"> </w:t>
      </w:r>
      <w:r>
        <w:rPr>
          <w:spacing w:val="12"/>
        </w:rPr>
        <w:t>Fo</w:t>
      </w:r>
      <w:r>
        <w:rPr>
          <w:spacing w:val="11"/>
        </w:rPr>
        <w:t>od</w:t>
      </w:r>
      <w:r>
        <w:rPr>
          <w:spacing w:val="16"/>
        </w:rPr>
        <w:t xml:space="preserve"> </w:t>
      </w:r>
      <w:r>
        <w:rPr>
          <w:spacing w:val="11"/>
        </w:rPr>
        <w:t>and</w:t>
      </w:r>
      <w:r>
        <w:rPr>
          <w:spacing w:val="14"/>
        </w:rPr>
        <w:t xml:space="preserve"> </w:t>
      </w:r>
      <w:r>
        <w:rPr>
          <w:spacing w:val="11"/>
        </w:rPr>
        <w:t>Drug</w:t>
      </w:r>
      <w:r>
        <w:rPr>
          <w:spacing w:val="13"/>
        </w:rPr>
        <w:t xml:space="preserve"> </w:t>
      </w:r>
      <w:r>
        <w:rPr>
          <w:spacing w:val="11"/>
        </w:rPr>
        <w:t>Administration.</w:t>
      </w:r>
      <w:r>
        <w:rPr>
          <w:spacing w:val="40"/>
        </w:rPr>
        <w:t xml:space="preserve"> </w:t>
      </w:r>
      <w:r>
        <w:rPr>
          <w:spacing w:val="11"/>
        </w:rPr>
        <w:t>2020.</w:t>
      </w:r>
      <w:r>
        <w:rPr>
          <w:spacing w:val="39"/>
          <w:w w:val="101"/>
        </w:rPr>
        <w:t xml:space="preserve"> </w:t>
      </w:r>
      <w:r>
        <w:rPr>
          <w:spacing w:val="11"/>
        </w:rPr>
        <w:t>Available</w:t>
      </w:r>
      <w:r>
        <w:rPr>
          <w:spacing w:val="16"/>
        </w:rPr>
        <w:t xml:space="preserve"> </w:t>
      </w:r>
      <w:r>
        <w:rPr>
          <w:spacing w:val="11"/>
        </w:rPr>
        <w:t>on–</w:t>
      </w:r>
      <w:r>
        <w:rPr/>
        <w:t xml:space="preserve"> </w:t>
      </w:r>
      <w:r>
        <w:rPr>
          <w:spacing w:val="12"/>
        </w:rPr>
        <w:t>line:</w:t>
      </w:r>
      <w:r>
        <w:rPr>
          <w:spacing w:val="-11"/>
        </w:rPr>
        <w:t xml:space="preserve"> </w:t>
      </w:r>
      <w:hyperlink w:history="true" r:id="rId58">
        <w:r>
          <w:rPr>
            <w:color w:val="0875B7"/>
            <w:spacing w:val="12"/>
          </w:rPr>
          <w:t>https://www.fda.gov/regulatory–information/sear</w:t>
        </w:r>
        <w:r>
          <w:rPr>
            <w:color w:val="0875B7"/>
            <w:spacing w:val="11"/>
          </w:rPr>
          <w:t>ch–fda–guidance–documents/ulcerative–colitis–clinical–trial–endpoints–</w:t>
        </w:r>
      </w:hyperlink>
      <w:r>
        <w:rPr>
          <w:color w:val="0875B7"/>
        </w:rPr>
        <w:t xml:space="preserve"> </w:t>
      </w:r>
      <w:bookmarkStart w:name="bookmark8" w:id="10"/>
      <w:bookmarkEnd w:id="10"/>
      <w:hyperlink w:history="true" r:id="rId58">
        <w:r>
          <w:rPr>
            <w:color w:val="0875B7"/>
            <w:spacing w:val="12"/>
          </w:rPr>
          <w:t>guidance–industry</w:t>
        </w:r>
      </w:hyperlink>
      <w:r>
        <w:rPr>
          <w:spacing w:val="12"/>
        </w:rPr>
        <w:t>(access</w:t>
      </w:r>
      <w:r>
        <w:rPr>
          <w:spacing w:val="11"/>
        </w:rPr>
        <w:t>ed on 1 September 2022).</w:t>
      </w:r>
    </w:p>
    <w:p>
      <w:pPr>
        <w:pStyle w:val="BodyText"/>
        <w:ind w:left="438" w:right="31" w:hanging="424"/>
        <w:spacing w:before="10" w:line="279" w:lineRule="auto"/>
        <w:rPr/>
      </w:pPr>
      <w:r>
        <w:rPr>
          <w:spacing w:val="16"/>
        </w:rPr>
        <w:t>12.    </w:t>
      </w:r>
      <w:r>
        <w:rPr/>
        <w:t>Caron</w:t>
      </w:r>
      <w:r>
        <w:rPr>
          <w:spacing w:val="16"/>
        </w:rPr>
        <w:t>, B.;</w:t>
      </w:r>
      <w:r>
        <w:rPr>
          <w:spacing w:val="-4"/>
        </w:rPr>
        <w:t xml:space="preserve"> </w:t>
      </w:r>
      <w:r>
        <w:rPr/>
        <w:t>Jairath</w:t>
      </w:r>
      <w:r>
        <w:rPr>
          <w:spacing w:val="16"/>
        </w:rPr>
        <w:t>, V.; D'</w:t>
      </w:r>
      <w:r>
        <w:rPr/>
        <w:t>Amico</w:t>
      </w:r>
      <w:r>
        <w:rPr>
          <w:spacing w:val="16"/>
        </w:rPr>
        <w:t>, F.; </w:t>
      </w:r>
      <w:r>
        <w:rPr/>
        <w:t>Paridaens</w:t>
      </w:r>
      <w:r>
        <w:rPr>
          <w:spacing w:val="16"/>
        </w:rPr>
        <w:t>, K.; </w:t>
      </w:r>
      <w:r>
        <w:rPr/>
        <w:t>Magro</w:t>
      </w:r>
      <w:r>
        <w:rPr>
          <w:spacing w:val="16"/>
        </w:rPr>
        <w:t>, F.; </w:t>
      </w:r>
      <w:r>
        <w:rPr/>
        <w:t>Danese</w:t>
      </w:r>
      <w:r>
        <w:rPr>
          <w:spacing w:val="16"/>
        </w:rPr>
        <w:t>, </w:t>
      </w:r>
      <w:r>
        <w:rPr>
          <w:spacing w:val="15"/>
        </w:rPr>
        <w:t>S.; </w:t>
      </w:r>
      <w:r>
        <w:rPr/>
        <w:t>Peyrin</w:t>
      </w:r>
      <w:r>
        <w:rPr>
          <w:spacing w:val="15"/>
        </w:rPr>
        <w:t>–</w:t>
      </w:r>
      <w:r>
        <w:rPr/>
        <w:t>Biroulet</w:t>
      </w:r>
      <w:r>
        <w:rPr>
          <w:spacing w:val="15"/>
        </w:rPr>
        <w:t>, L. </w:t>
      </w:r>
      <w:r>
        <w:rPr/>
        <w:t>De</w:t>
      </w:r>
      <w:r>
        <w:rPr>
          <w:spacing w:val="15"/>
        </w:rPr>
        <w:t xml:space="preserve">  </w:t>
      </w:r>
      <w:r>
        <w:rPr/>
        <w:t>nition</w:t>
      </w:r>
      <w:r>
        <w:rPr>
          <w:spacing w:val="15"/>
        </w:rPr>
        <w:t xml:space="preserve"> </w:t>
      </w:r>
      <w:r>
        <w:rPr/>
        <w:t>of</w:t>
      </w:r>
      <w:r>
        <w:rPr>
          <w:spacing w:val="15"/>
        </w:rPr>
        <w:t xml:space="preserve"> </w:t>
      </w:r>
      <w:r>
        <w:rPr/>
        <w:t>mild</w:t>
      </w:r>
      <w:r>
        <w:rPr>
          <w:spacing w:val="15"/>
        </w:rPr>
        <w:t xml:space="preserve"> </w:t>
      </w:r>
      <w:r>
        <w:rPr/>
        <w:t>to</w:t>
      </w:r>
      <w:r>
        <w:rPr>
          <w:spacing w:val="15"/>
        </w:rPr>
        <w:t xml:space="preserve"> </w:t>
      </w:r>
      <w:r>
        <w:rPr/>
        <w:t>moderate</w:t>
      </w:r>
      <w:r>
        <w:rPr>
          <w:spacing w:val="15"/>
        </w:rPr>
        <w:t xml:space="preserve"> </w:t>
      </w:r>
      <w:r>
        <w:rPr/>
        <w:t>ulcerative </w:t>
      </w:r>
      <w:bookmarkStart w:name="bookmark9" w:id="11"/>
      <w:bookmarkEnd w:id="11"/>
      <w:r>
        <w:rPr>
          <w:spacing w:val="7"/>
        </w:rPr>
        <w:t>colitis in clinical trials: A systematic literature review.</w:t>
      </w:r>
      <w:r>
        <w:rPr>
          <w:spacing w:val="45"/>
          <w:w w:val="101"/>
        </w:rPr>
        <w:t xml:space="preserve"> </w:t>
      </w:r>
      <w:r>
        <w:rPr>
          <w:spacing w:val="7"/>
        </w:rPr>
        <w:t>United Eur.</w:t>
      </w:r>
      <w:r>
        <w:rPr>
          <w:spacing w:val="22"/>
        </w:rPr>
        <w:t xml:space="preserve"> </w:t>
      </w:r>
      <w:r>
        <w:rPr>
          <w:spacing w:val="7"/>
        </w:rPr>
        <w:t>Gastroenterol. J. </w:t>
      </w:r>
      <w:r>
        <w:rPr>
          <w:b/>
          <w:bCs/>
          <w:spacing w:val="7"/>
        </w:rPr>
        <w:t>2022</w:t>
      </w:r>
      <w:r>
        <w:rPr>
          <w:spacing w:val="7"/>
        </w:rPr>
        <w:t>, 10, 854–867.</w:t>
      </w:r>
      <w:r>
        <w:rPr>
          <w:spacing w:val="27"/>
          <w:w w:val="101"/>
        </w:rPr>
        <w:t xml:space="preserve"> </w:t>
      </w:r>
      <w:r>
        <w:rPr>
          <w:spacing w:val="7"/>
        </w:rPr>
        <w:t>[</w:t>
      </w:r>
      <w:hyperlink w:history="true" r:id="rId59">
        <w:r>
          <w:rPr>
            <w:color w:val="0875B7"/>
            <w:spacing w:val="7"/>
          </w:rPr>
          <w:t>CrossRef</w:t>
        </w:r>
      </w:hyperlink>
      <w:r>
        <w:rPr>
          <w:spacing w:val="7"/>
        </w:rPr>
        <w:t>]</w:t>
      </w:r>
      <w:r>
        <w:rPr>
          <w:spacing w:val="16"/>
          <w:w w:val="101"/>
        </w:rPr>
        <w:t xml:space="preserve"> </w:t>
      </w:r>
      <w:r>
        <w:rPr>
          <w:spacing w:val="7"/>
        </w:rPr>
        <w:t>[</w:t>
      </w:r>
      <w:hyperlink w:history="true" r:id="rId60">
        <w:r>
          <w:rPr>
            <w:color w:val="0875B7"/>
            <w:spacing w:val="7"/>
          </w:rPr>
          <w:t>PubMed</w:t>
        </w:r>
      </w:hyperlink>
      <w:r>
        <w:rPr>
          <w:spacing w:val="7"/>
        </w:rPr>
        <w:t>]</w:t>
      </w:r>
    </w:p>
    <w:p>
      <w:pPr>
        <w:pStyle w:val="BodyText"/>
        <w:ind w:left="431" w:hanging="417"/>
        <w:spacing w:before="7" w:line="278" w:lineRule="auto"/>
        <w:rPr/>
      </w:pPr>
      <w:r>
        <w:rPr>
          <w:spacing w:val="11"/>
        </w:rPr>
        <w:t>13.    </w:t>
      </w:r>
      <w:r>
        <w:rPr/>
        <w:t>Fitch</w:t>
      </w:r>
      <w:r>
        <w:rPr>
          <w:spacing w:val="11"/>
        </w:rPr>
        <w:t>, K.; </w:t>
      </w:r>
      <w:r>
        <w:rPr/>
        <w:t>Bernstein</w:t>
      </w:r>
      <w:r>
        <w:rPr>
          <w:spacing w:val="11"/>
        </w:rPr>
        <w:t>, S.J.; </w:t>
      </w:r>
      <w:r>
        <w:rPr/>
        <w:t>Aguilar</w:t>
      </w:r>
      <w:r>
        <w:rPr>
          <w:spacing w:val="11"/>
        </w:rPr>
        <w:t>, M.D.; </w:t>
      </w:r>
      <w:r>
        <w:rPr/>
        <w:t>Burnand</w:t>
      </w:r>
      <w:r>
        <w:rPr>
          <w:spacing w:val="11"/>
        </w:rPr>
        <w:t>,</w:t>
      </w:r>
      <w:r>
        <w:rPr>
          <w:spacing w:val="7"/>
        </w:rPr>
        <w:t xml:space="preserve"> </w:t>
      </w:r>
      <w:r>
        <w:rPr>
          <w:spacing w:val="11"/>
        </w:rPr>
        <w:t>B.;</w:t>
      </w:r>
      <w:r>
        <w:rPr>
          <w:spacing w:val="6"/>
        </w:rPr>
        <w:t xml:space="preserve"> </w:t>
      </w:r>
      <w:r>
        <w:rPr/>
        <w:t>LaCalleet</w:t>
      </w:r>
      <w:r>
        <w:rPr>
          <w:spacing w:val="11"/>
        </w:rPr>
        <w:t>, J.R.; </w:t>
      </w:r>
      <w:r>
        <w:rPr/>
        <w:t>Lazaro</w:t>
      </w:r>
      <w:r>
        <w:rPr>
          <w:spacing w:val="11"/>
        </w:rPr>
        <w:t>,</w:t>
      </w:r>
      <w:r>
        <w:rPr>
          <w:spacing w:val="6"/>
        </w:rPr>
        <w:t xml:space="preserve"> </w:t>
      </w:r>
      <w:r>
        <w:rPr>
          <w:spacing w:val="11"/>
        </w:rPr>
        <w:t>P.; </w:t>
      </w:r>
      <w:r>
        <w:rPr/>
        <w:t>van</w:t>
      </w:r>
      <w:r>
        <w:rPr>
          <w:spacing w:val="11"/>
        </w:rPr>
        <w:t xml:space="preserve"> </w:t>
      </w:r>
      <w:r>
        <w:rPr/>
        <w:t>het</w:t>
      </w:r>
      <w:r>
        <w:rPr>
          <w:spacing w:val="6"/>
        </w:rPr>
        <w:t xml:space="preserve"> </w:t>
      </w:r>
      <w:r>
        <w:rPr/>
        <w:t>Loo</w:t>
      </w:r>
      <w:r>
        <w:rPr>
          <w:spacing w:val="11"/>
        </w:rPr>
        <w:t>,</w:t>
      </w:r>
      <w:r>
        <w:rPr>
          <w:spacing w:val="6"/>
        </w:rPr>
        <w:t xml:space="preserve"> </w:t>
      </w:r>
      <w:r>
        <w:rPr>
          <w:spacing w:val="11"/>
        </w:rPr>
        <w:t>M.;</w:t>
      </w:r>
      <w:r>
        <w:rPr>
          <w:spacing w:val="5"/>
        </w:rPr>
        <w:t xml:space="preserve"> </w:t>
      </w:r>
      <w:r>
        <w:rPr/>
        <w:t>McDonnell</w:t>
      </w:r>
      <w:r>
        <w:rPr>
          <w:spacing w:val="11"/>
        </w:rPr>
        <w:t>, J.; </w:t>
      </w:r>
      <w:r>
        <w:rPr/>
        <w:t>Vader</w:t>
      </w:r>
      <w:r>
        <w:rPr>
          <w:spacing w:val="10"/>
        </w:rPr>
        <w:t>, J.; </w:t>
      </w:r>
      <w:r>
        <w:rPr/>
        <w:t>Kahan</w:t>
      </w:r>
      <w:r>
        <w:rPr>
          <w:spacing w:val="10"/>
        </w:rPr>
        <w:t>, J.P.</w:t>
      </w:r>
      <w:r>
        <w:rPr/>
        <w:t xml:space="preserve"> </w:t>
      </w:r>
      <w:r>
        <w:rPr>
          <w:spacing w:val="14"/>
        </w:rPr>
        <w:t>The RAND/UCLA Appropriateness Method User's Manual. 2021. Available online:</w:t>
      </w:r>
      <w:r>
        <w:rPr>
          <w:spacing w:val="-6"/>
        </w:rPr>
        <w:t xml:space="preserve"> </w:t>
      </w:r>
      <w:hyperlink w:history="true" r:id="rId61">
        <w:r>
          <w:rPr>
            <w:color w:val="0875B7"/>
            <w:spacing w:val="14"/>
          </w:rPr>
          <w:t>https://www.rand.org/pubs/monogra</w:t>
        </w:r>
        <w:r>
          <w:rPr>
            <w:color w:val="0875B7"/>
            <w:spacing w:val="13"/>
          </w:rPr>
          <w:t>ph_</w:t>
        </w:r>
      </w:hyperlink>
      <w:r>
        <w:rPr>
          <w:color w:val="0875B7"/>
        </w:rPr>
        <w:t xml:space="preserve"> </w:t>
      </w:r>
      <w:bookmarkStart w:name="bookmark12" w:id="12"/>
      <w:bookmarkEnd w:id="12"/>
      <w:hyperlink w:history="true" r:id="rId61">
        <w:r>
          <w:rPr>
            <w:color w:val="0875B7"/>
            <w:spacing w:val="12"/>
          </w:rPr>
          <w:t>reports/MR1269.html</w:t>
        </w:r>
      </w:hyperlink>
      <w:r>
        <w:rPr>
          <w:spacing w:val="12"/>
        </w:rPr>
        <w:t>(accessed on 1 September 2022</w:t>
      </w:r>
      <w:r>
        <w:rPr>
          <w:spacing w:val="11"/>
        </w:rPr>
        <w:t>).</w:t>
      </w:r>
    </w:p>
    <w:p>
      <w:pPr>
        <w:pStyle w:val="BodyText"/>
        <w:ind w:left="431" w:right="24" w:hanging="417"/>
        <w:spacing w:before="10" w:line="279" w:lineRule="auto"/>
        <w:rPr/>
      </w:pPr>
      <w:r>
        <w:rPr>
          <w:spacing w:val="13"/>
        </w:rPr>
        <w:t>14.    Petryszyn, P.W.; Paradowski, L. Stool patterns an</w:t>
      </w:r>
      <w:r>
        <w:rPr>
          <w:spacing w:val="12"/>
        </w:rPr>
        <w:t>d symptoms of disordered anorectal function in patients with in  ammatory</w:t>
      </w:r>
      <w:r>
        <w:rPr/>
        <w:t xml:space="preserve"> </w:t>
      </w:r>
      <w:r>
        <w:rPr/>
        <w:t>bowel</w:t>
      </w:r>
      <w:r>
        <w:rPr>
          <w:spacing w:val="16"/>
        </w:rPr>
        <w:t xml:space="preserve"> </w:t>
      </w:r>
      <w:r>
        <w:rPr/>
        <w:t>diseases</w:t>
      </w:r>
      <w:r>
        <w:rPr>
          <w:spacing w:val="16"/>
        </w:rPr>
        <w:t>. </w:t>
      </w:r>
      <w:r>
        <w:rPr/>
        <w:t>Adv</w:t>
      </w:r>
      <w:r>
        <w:rPr>
          <w:spacing w:val="16"/>
        </w:rPr>
        <w:t>.</w:t>
      </w:r>
      <w:r>
        <w:rPr>
          <w:spacing w:val="31"/>
        </w:rPr>
        <w:t xml:space="preserve"> </w:t>
      </w:r>
      <w:r>
        <w:rPr/>
        <w:t>Clin</w:t>
      </w:r>
      <w:r>
        <w:rPr>
          <w:spacing w:val="16"/>
        </w:rPr>
        <w:t>.</w:t>
      </w:r>
      <w:r>
        <w:rPr>
          <w:spacing w:val="18"/>
          <w:w w:val="101"/>
        </w:rPr>
        <w:t xml:space="preserve"> </w:t>
      </w:r>
      <w:r>
        <w:rPr/>
        <w:t>Exp</w:t>
      </w:r>
      <w:r>
        <w:rPr>
          <w:spacing w:val="16"/>
        </w:rPr>
        <w:t>. </w:t>
      </w:r>
      <w:r>
        <w:rPr/>
        <w:t>Med</w:t>
      </w:r>
      <w:r>
        <w:rPr>
          <w:spacing w:val="16"/>
        </w:rPr>
        <w:t>.</w:t>
      </w:r>
      <w:r>
        <w:rPr>
          <w:spacing w:val="17"/>
          <w:w w:val="101"/>
        </w:rPr>
        <w:t xml:space="preserve"> </w:t>
      </w:r>
      <w:r>
        <w:rPr>
          <w:b/>
          <w:bCs/>
          <w:spacing w:val="16"/>
        </w:rPr>
        <w:t>2018</w:t>
      </w:r>
      <w:r>
        <w:rPr>
          <w:spacing w:val="16"/>
        </w:rPr>
        <w:t>, 27, 813–818.</w:t>
      </w:r>
      <w:r>
        <w:rPr>
          <w:spacing w:val="27"/>
          <w:w w:val="101"/>
        </w:rPr>
        <w:t xml:space="preserve"> </w:t>
      </w:r>
      <w:r>
        <w:rPr>
          <w:spacing w:val="16"/>
        </w:rPr>
        <w:t>[</w:t>
      </w:r>
      <w:hyperlink w:history="true" r:id="rId62">
        <w:r>
          <w:rPr>
            <w:color w:val="0875B7"/>
          </w:rPr>
          <w:t>CrossRef</w:t>
        </w:r>
      </w:hyperlink>
      <w:r>
        <w:rPr>
          <w:spacing w:val="16"/>
        </w:rPr>
        <w:t>]</w:t>
      </w:r>
      <w:r>
        <w:rPr>
          <w:spacing w:val="16"/>
          <w:w w:val="101"/>
        </w:rPr>
        <w:t xml:space="preserve"> </w:t>
      </w:r>
      <w:r>
        <w:rPr>
          <w:spacing w:val="16"/>
        </w:rPr>
        <w:t>[</w:t>
      </w:r>
      <w:hyperlink w:history="true" r:id="rId63">
        <w:r>
          <w:rPr>
            <w:color w:val="0875B7"/>
          </w:rPr>
          <w:t>PubMed</w:t>
        </w:r>
      </w:hyperlink>
      <w:r>
        <w:rPr>
          <w:spacing w:val="16"/>
        </w:rPr>
        <w:t>]</w:t>
      </w:r>
    </w:p>
    <w:p>
      <w:pPr>
        <w:pStyle w:val="BodyText"/>
        <w:ind w:left="437" w:right="9" w:hanging="423"/>
        <w:spacing w:before="6" w:line="280" w:lineRule="auto"/>
        <w:rPr/>
      </w:pPr>
      <w:r>
        <w:rPr>
          <w:spacing w:val="17"/>
        </w:rPr>
        <w:t>15.    </w:t>
      </w:r>
      <w:r>
        <w:rPr/>
        <w:t>Newton</w:t>
      </w:r>
      <w:r>
        <w:rPr>
          <w:spacing w:val="17"/>
        </w:rPr>
        <w:t>,  L.;  </w:t>
      </w:r>
      <w:r>
        <w:rPr/>
        <w:t>Randall</w:t>
      </w:r>
      <w:r>
        <w:rPr>
          <w:spacing w:val="17"/>
        </w:rPr>
        <w:t>,</w:t>
      </w:r>
      <w:r>
        <w:rPr>
          <w:spacing w:val="33"/>
          <w:w w:val="101"/>
        </w:rPr>
        <w:t xml:space="preserve"> </w:t>
      </w:r>
      <w:r>
        <w:rPr>
          <w:spacing w:val="17"/>
        </w:rPr>
        <w:t>J.A.;</w:t>
      </w:r>
      <w:r>
        <w:rPr>
          <w:spacing w:val="2"/>
        </w:rPr>
        <w:t xml:space="preserve">  </w:t>
      </w:r>
      <w:r>
        <w:rPr/>
        <w:t>Hunter</w:t>
      </w:r>
      <w:r>
        <w:rPr>
          <w:spacing w:val="17"/>
        </w:rPr>
        <w:t>,</w:t>
      </w:r>
      <w:r>
        <w:rPr>
          <w:spacing w:val="39"/>
        </w:rPr>
        <w:t xml:space="preserve"> </w:t>
      </w:r>
      <w:r>
        <w:rPr>
          <w:spacing w:val="17"/>
        </w:rPr>
        <w:t>T.;</w:t>
      </w:r>
      <w:r>
        <w:rPr>
          <w:spacing w:val="2"/>
        </w:rPr>
        <w:t xml:space="preserve">  </w:t>
      </w:r>
      <w:r>
        <w:rPr/>
        <w:t>Keith</w:t>
      </w:r>
      <w:r>
        <w:rPr>
          <w:spacing w:val="17"/>
        </w:rPr>
        <w:t>,</w:t>
      </w:r>
      <w:r>
        <w:rPr>
          <w:spacing w:val="40"/>
          <w:w w:val="101"/>
        </w:rPr>
        <w:t xml:space="preserve"> </w:t>
      </w:r>
      <w:r>
        <w:rPr>
          <w:spacing w:val="17"/>
        </w:rPr>
        <w:t>S.;</w:t>
      </w:r>
      <w:r>
        <w:rPr>
          <w:spacing w:val="2"/>
        </w:rPr>
        <w:t xml:space="preserve">  </w:t>
      </w:r>
      <w:r>
        <w:rPr/>
        <w:t>Symonds</w:t>
      </w:r>
      <w:r>
        <w:rPr>
          <w:spacing w:val="17"/>
        </w:rPr>
        <w:t>,</w:t>
      </w:r>
      <w:r>
        <w:rPr>
          <w:spacing w:val="39"/>
          <w:w w:val="101"/>
        </w:rPr>
        <w:t xml:space="preserve"> </w:t>
      </w:r>
      <w:r>
        <w:rPr>
          <w:spacing w:val="17"/>
        </w:rPr>
        <w:t>T.;</w:t>
      </w:r>
      <w:r>
        <w:rPr>
          <w:spacing w:val="2"/>
        </w:rPr>
        <w:t xml:space="preserve">  </w:t>
      </w:r>
      <w:r>
        <w:rPr/>
        <w:t>Secrest</w:t>
      </w:r>
      <w:r>
        <w:rPr>
          <w:spacing w:val="17"/>
        </w:rPr>
        <w:t>,</w:t>
      </w:r>
      <w:r>
        <w:rPr>
          <w:spacing w:val="40"/>
          <w:w w:val="101"/>
        </w:rPr>
        <w:t xml:space="preserve"> </w:t>
      </w:r>
      <w:r>
        <w:rPr>
          <w:spacing w:val="17"/>
        </w:rPr>
        <w:t>R.J.;</w:t>
      </w:r>
      <w:r>
        <w:rPr>
          <w:spacing w:val="2"/>
        </w:rPr>
        <w:t xml:space="preserve">  </w:t>
      </w:r>
      <w:r>
        <w:rPr/>
        <w:t>Komocsar</w:t>
      </w:r>
      <w:r>
        <w:rPr>
          <w:spacing w:val="17"/>
        </w:rPr>
        <w:t>,</w:t>
      </w:r>
      <w:r>
        <w:rPr>
          <w:spacing w:val="37"/>
          <w:w w:val="101"/>
        </w:rPr>
        <w:t xml:space="preserve"> </w:t>
      </w:r>
      <w:r>
        <w:rPr>
          <w:spacing w:val="17"/>
        </w:rPr>
        <w:t>W.J.;</w:t>
      </w:r>
      <w:r>
        <w:rPr>
          <w:spacing w:val="2"/>
        </w:rPr>
        <w:t xml:space="preserve">  </w:t>
      </w:r>
      <w:r>
        <w:rPr/>
        <w:t>Curtis</w:t>
      </w:r>
      <w:r>
        <w:rPr>
          <w:spacing w:val="17"/>
        </w:rPr>
        <w:t>,</w:t>
      </w:r>
      <w:r>
        <w:rPr>
          <w:spacing w:val="40"/>
        </w:rPr>
        <w:t xml:space="preserve"> </w:t>
      </w:r>
      <w:r>
        <w:rPr>
          <w:spacing w:val="16"/>
        </w:rPr>
        <w:t>S.E.;</w:t>
      </w:r>
      <w:r>
        <w:rPr>
          <w:spacing w:val="1"/>
        </w:rPr>
        <w:t xml:space="preserve">  </w:t>
      </w:r>
      <w:r>
        <w:rPr/>
        <w:t>Abetz</w:t>
      </w:r>
      <w:r>
        <w:rPr>
          <w:spacing w:val="16"/>
        </w:rPr>
        <w:t>–</w:t>
      </w:r>
      <w:r>
        <w:rPr/>
        <w:t>Webb</w:t>
      </w:r>
      <w:r>
        <w:rPr>
          <w:spacing w:val="16"/>
        </w:rPr>
        <w:t>,</w:t>
      </w:r>
      <w:r>
        <w:rPr>
          <w:spacing w:val="40"/>
          <w:w w:val="102"/>
        </w:rPr>
        <w:t xml:space="preserve"> </w:t>
      </w:r>
      <w:r>
        <w:rPr>
          <w:spacing w:val="16"/>
        </w:rPr>
        <w:t>L.;</w:t>
      </w:r>
      <w:r>
        <w:rPr/>
        <w:t xml:space="preserve"> </w:t>
      </w:r>
      <w:r>
        <w:rPr>
          <w:spacing w:val="11"/>
        </w:rPr>
        <w:t>Kappelman, M.; et al. A qualitative study exp</w:t>
      </w:r>
      <w:r>
        <w:rPr>
          <w:spacing w:val="10"/>
        </w:rPr>
        <w:t>loring the health–related quality of life and symptomatic experiences of adults and</w:t>
      </w:r>
      <w:r>
        <w:rPr/>
        <w:t xml:space="preserve"> </w:t>
      </w:r>
      <w:r>
        <w:rPr>
          <w:spacing w:val="8"/>
        </w:rPr>
        <w:t>adolescents with ulcerative colitis. J. Patient Re</w:t>
      </w:r>
      <w:r>
        <w:rPr>
          <w:spacing w:val="7"/>
        </w:rPr>
        <w:t>p.</w:t>
      </w:r>
      <w:r>
        <w:rPr>
          <w:spacing w:val="22"/>
          <w:w w:val="101"/>
        </w:rPr>
        <w:t xml:space="preserve"> </w:t>
      </w:r>
      <w:r>
        <w:rPr>
          <w:spacing w:val="7"/>
        </w:rPr>
        <w:t>Outcomes </w:t>
      </w:r>
      <w:r>
        <w:rPr>
          <w:b/>
          <w:bCs/>
          <w:spacing w:val="7"/>
        </w:rPr>
        <w:t>2019</w:t>
      </w:r>
      <w:r>
        <w:rPr>
          <w:spacing w:val="7"/>
        </w:rPr>
        <w:t>, 3, 66.</w:t>
      </w:r>
      <w:r>
        <w:rPr>
          <w:spacing w:val="27"/>
          <w:w w:val="101"/>
        </w:rPr>
        <w:t xml:space="preserve"> </w:t>
      </w:r>
      <w:r>
        <w:rPr>
          <w:spacing w:val="7"/>
        </w:rPr>
        <w:t>[</w:t>
      </w:r>
      <w:hyperlink w:history="true" r:id="rId64">
        <w:r>
          <w:rPr>
            <w:color w:val="0875B7"/>
            <w:spacing w:val="7"/>
          </w:rPr>
          <w:t>CrossRef</w:t>
        </w:r>
      </w:hyperlink>
      <w:r>
        <w:rPr>
          <w:spacing w:val="7"/>
        </w:rPr>
        <w:t>]</w:t>
      </w:r>
      <w:r>
        <w:rPr>
          <w:spacing w:val="16"/>
          <w:w w:val="101"/>
        </w:rPr>
        <w:t xml:space="preserve"> </w:t>
      </w:r>
      <w:r>
        <w:rPr>
          <w:spacing w:val="7"/>
        </w:rPr>
        <w:t>[</w:t>
      </w:r>
      <w:hyperlink w:history="true" r:id="rId65">
        <w:r>
          <w:rPr>
            <w:color w:val="0875B7"/>
            <w:spacing w:val="7"/>
          </w:rPr>
          <w:t>PubMed</w:t>
        </w:r>
      </w:hyperlink>
      <w:r>
        <w:rPr>
          <w:spacing w:val="7"/>
        </w:rPr>
        <w:t>]</w:t>
      </w:r>
    </w:p>
    <w:p>
      <w:pPr>
        <w:pStyle w:val="BodyText"/>
        <w:ind w:left="437" w:hanging="423"/>
        <w:spacing w:before="7" w:line="281" w:lineRule="auto"/>
        <w:rPr/>
      </w:pPr>
      <w:r>
        <w:rPr>
          <w:spacing w:val="17"/>
        </w:rPr>
        <w:t>16.    </w:t>
      </w:r>
      <w:r>
        <w:rPr/>
        <w:t>Dulai</w:t>
      </w:r>
      <w:r>
        <w:rPr>
          <w:spacing w:val="17"/>
        </w:rPr>
        <w:t>, P.S.; </w:t>
      </w:r>
      <w:r>
        <w:rPr/>
        <w:t>Jairath</w:t>
      </w:r>
      <w:r>
        <w:rPr>
          <w:spacing w:val="17"/>
        </w:rPr>
        <w:t>, V.; </w:t>
      </w:r>
      <w:r>
        <w:rPr/>
        <w:t>Khanna</w:t>
      </w:r>
      <w:r>
        <w:rPr>
          <w:spacing w:val="17"/>
        </w:rPr>
        <w:t>, R.;</w:t>
      </w:r>
      <w:r>
        <w:rPr>
          <w:spacing w:val="11"/>
          <w:w w:val="101"/>
        </w:rPr>
        <w:t xml:space="preserve"> </w:t>
      </w:r>
      <w:r>
        <w:rPr/>
        <w:t>Ma</w:t>
      </w:r>
      <w:r>
        <w:rPr>
          <w:spacing w:val="17"/>
        </w:rPr>
        <w:t>,</w:t>
      </w:r>
      <w:r>
        <w:rPr>
          <w:spacing w:val="10"/>
          <w:w w:val="101"/>
        </w:rPr>
        <w:t xml:space="preserve"> </w:t>
      </w:r>
      <w:r>
        <w:rPr>
          <w:spacing w:val="17"/>
        </w:rPr>
        <w:t>C.; </w:t>
      </w:r>
      <w:r>
        <w:rPr/>
        <w:t>McCarrier</w:t>
      </w:r>
      <w:r>
        <w:rPr>
          <w:spacing w:val="17"/>
        </w:rPr>
        <w:t>,</w:t>
      </w:r>
      <w:r>
        <w:rPr>
          <w:spacing w:val="11"/>
        </w:rPr>
        <w:t xml:space="preserve"> </w:t>
      </w:r>
      <w:r>
        <w:rPr>
          <w:spacing w:val="17"/>
        </w:rPr>
        <w:t>K.P.;</w:t>
      </w:r>
      <w:r>
        <w:rPr>
          <w:spacing w:val="10"/>
        </w:rPr>
        <w:t xml:space="preserve"> </w:t>
      </w:r>
      <w:r>
        <w:rPr/>
        <w:t>Martin</w:t>
      </w:r>
      <w:r>
        <w:rPr>
          <w:spacing w:val="17"/>
        </w:rPr>
        <w:t>,</w:t>
      </w:r>
      <w:r>
        <w:rPr>
          <w:spacing w:val="10"/>
        </w:rPr>
        <w:t xml:space="preserve"> </w:t>
      </w:r>
      <w:r>
        <w:rPr>
          <w:spacing w:val="16"/>
        </w:rPr>
        <w:t>M.L.;</w:t>
      </w:r>
      <w:r>
        <w:rPr>
          <w:spacing w:val="12"/>
        </w:rPr>
        <w:t xml:space="preserve"> </w:t>
      </w:r>
      <w:r>
        <w:rPr/>
        <w:t>Parker</w:t>
      </w:r>
      <w:r>
        <w:rPr>
          <w:spacing w:val="16"/>
        </w:rPr>
        <w:t>,</w:t>
      </w:r>
      <w:r>
        <w:rPr>
          <w:spacing w:val="10"/>
          <w:w w:val="101"/>
        </w:rPr>
        <w:t xml:space="preserve"> </w:t>
      </w:r>
      <w:r>
        <w:rPr>
          <w:spacing w:val="16"/>
        </w:rPr>
        <w:t>C.E.;</w:t>
      </w:r>
      <w:r>
        <w:rPr>
          <w:spacing w:val="10"/>
          <w:w w:val="102"/>
        </w:rPr>
        <w:t xml:space="preserve"> </w:t>
      </w:r>
      <w:r>
        <w:rPr/>
        <w:t>Morris</w:t>
      </w:r>
      <w:r>
        <w:rPr>
          <w:spacing w:val="16"/>
        </w:rPr>
        <w:t>, J.;</w:t>
      </w:r>
      <w:r>
        <w:rPr>
          <w:spacing w:val="11"/>
          <w:w w:val="101"/>
        </w:rPr>
        <w:t xml:space="preserve"> </w:t>
      </w:r>
      <w:r>
        <w:rPr/>
        <w:t>Feagan</w:t>
      </w:r>
      <w:r>
        <w:rPr>
          <w:spacing w:val="16"/>
        </w:rPr>
        <w:t>,</w:t>
      </w:r>
      <w:r>
        <w:rPr>
          <w:spacing w:val="11"/>
          <w:w w:val="102"/>
        </w:rPr>
        <w:t xml:space="preserve"> </w:t>
      </w:r>
      <w:r>
        <w:rPr>
          <w:spacing w:val="16"/>
        </w:rPr>
        <w:t>B.G.;</w:t>
      </w:r>
      <w:r>
        <w:rPr>
          <w:spacing w:val="12"/>
        </w:rPr>
        <w:t xml:space="preserve"> </w:t>
      </w:r>
      <w:r>
        <w:rPr/>
        <w:t>Sandborn</w:t>
      </w:r>
      <w:r>
        <w:rPr>
          <w:spacing w:val="16"/>
        </w:rPr>
        <w:t>,</w:t>
      </w:r>
      <w:r>
        <w:rPr>
          <w:spacing w:val="8"/>
        </w:rPr>
        <w:t xml:space="preserve"> </w:t>
      </w:r>
      <w:r>
        <w:rPr>
          <w:spacing w:val="16"/>
        </w:rPr>
        <w:t>W.J.</w:t>
      </w:r>
      <w:r>
        <w:rPr/>
        <w:t xml:space="preserve"> </w:t>
      </w:r>
      <w:r>
        <w:rPr>
          <w:spacing w:val="12"/>
        </w:rPr>
        <w:t>Development of the symptoms and impacts questionnaire for Crohn's disease and ulcerative colitis. Aliment. Pharmaco</w:t>
      </w:r>
      <w:r>
        <w:rPr>
          <w:spacing w:val="11"/>
        </w:rPr>
        <w:t>l.</w:t>
      </w:r>
      <w:r>
        <w:rPr>
          <w:spacing w:val="23"/>
          <w:w w:val="101"/>
        </w:rPr>
        <w:t xml:space="preserve"> </w:t>
      </w:r>
      <w:r>
        <w:rPr>
          <w:spacing w:val="11"/>
        </w:rPr>
        <w:t>Ther</w:t>
      </w:r>
      <w:r>
        <w:rPr/>
        <w:t xml:space="preserve">  </w:t>
      </w:r>
      <w:bookmarkStart w:name="bookmark13" w:id="13"/>
      <w:bookmarkEnd w:id="13"/>
      <w:r>
        <w:rPr>
          <w:b/>
          <w:bCs/>
          <w:spacing w:val="10"/>
        </w:rPr>
        <w:t>2020</w:t>
      </w:r>
      <w:r>
        <w:rPr>
          <w:spacing w:val="10"/>
        </w:rPr>
        <w:t>, 51, 1047–1066.</w:t>
      </w:r>
      <w:r>
        <w:rPr>
          <w:spacing w:val="29"/>
          <w:w w:val="102"/>
        </w:rPr>
        <w:t xml:space="preserve"> </w:t>
      </w:r>
      <w:r>
        <w:rPr>
          <w:spacing w:val="10"/>
        </w:rPr>
        <w:t>[</w:t>
      </w:r>
      <w:hyperlink w:history="true" r:id="rId66">
        <w:r>
          <w:rPr>
            <w:color w:val="0875B7"/>
          </w:rPr>
          <w:t>CrossRef</w:t>
        </w:r>
      </w:hyperlink>
      <w:r>
        <w:rPr>
          <w:spacing w:val="10"/>
        </w:rPr>
        <w:t>]</w:t>
      </w:r>
      <w:r>
        <w:rPr>
          <w:spacing w:val="16"/>
          <w:w w:val="101"/>
        </w:rPr>
        <w:t xml:space="preserve"> </w:t>
      </w:r>
      <w:r>
        <w:rPr>
          <w:spacing w:val="10"/>
        </w:rPr>
        <w:t>[</w:t>
      </w:r>
      <w:hyperlink w:history="true" r:id="rId67">
        <w:r>
          <w:rPr>
            <w:color w:val="0875B7"/>
          </w:rPr>
          <w:t>PubMed</w:t>
        </w:r>
      </w:hyperlink>
      <w:r>
        <w:rPr>
          <w:spacing w:val="10"/>
        </w:rPr>
        <w:t>]</w:t>
      </w:r>
    </w:p>
    <w:p>
      <w:pPr>
        <w:pStyle w:val="BodyText"/>
        <w:ind w:left="436" w:right="31" w:hanging="422"/>
        <w:spacing w:before="3" w:line="279" w:lineRule="auto"/>
        <w:rPr/>
      </w:pPr>
      <w:r>
        <w:rPr>
          <w:spacing w:val="11"/>
        </w:rPr>
        <w:t>17.    Sninsky, J.A.;</w:t>
      </w:r>
      <w:r>
        <w:rPr>
          <w:spacing w:val="29"/>
        </w:rPr>
        <w:t xml:space="preserve"> </w:t>
      </w:r>
      <w:r>
        <w:rPr>
          <w:spacing w:val="11"/>
        </w:rPr>
        <w:t>Barnes,</w:t>
      </w:r>
      <w:r>
        <w:rPr>
          <w:spacing w:val="24"/>
          <w:w w:val="101"/>
        </w:rPr>
        <w:t xml:space="preserve"> </w:t>
      </w:r>
      <w:r>
        <w:rPr>
          <w:spacing w:val="11"/>
        </w:rPr>
        <w:t>E.L.;</w:t>
      </w:r>
      <w:r>
        <w:rPr>
          <w:spacing w:val="26"/>
        </w:rPr>
        <w:t xml:space="preserve"> </w:t>
      </w:r>
      <w:r>
        <w:rPr>
          <w:spacing w:val="11"/>
        </w:rPr>
        <w:t>Zhang,</w:t>
      </w:r>
      <w:r>
        <w:rPr>
          <w:spacing w:val="23"/>
        </w:rPr>
        <w:t xml:space="preserve"> </w:t>
      </w:r>
      <w:r>
        <w:rPr>
          <w:spacing w:val="11"/>
        </w:rPr>
        <w:t>X.;</w:t>
      </w:r>
      <w:r>
        <w:rPr>
          <w:spacing w:val="27"/>
          <w:w w:val="102"/>
        </w:rPr>
        <w:t xml:space="preserve"> </w:t>
      </w:r>
      <w:r>
        <w:rPr>
          <w:spacing w:val="11"/>
        </w:rPr>
        <w:t>Long,</w:t>
      </w:r>
      <w:r>
        <w:rPr>
          <w:spacing w:val="23"/>
        </w:rPr>
        <w:t xml:space="preserve"> </w:t>
      </w:r>
      <w:r>
        <w:rPr>
          <w:spacing w:val="11"/>
        </w:rPr>
        <w:t>M.D. Urgency</w:t>
      </w:r>
      <w:r>
        <w:rPr>
          <w:spacing w:val="22"/>
          <w:w w:val="101"/>
        </w:rPr>
        <w:t xml:space="preserve"> </w:t>
      </w:r>
      <w:r>
        <w:rPr>
          <w:spacing w:val="11"/>
        </w:rPr>
        <w:t>and</w:t>
      </w:r>
      <w:r>
        <w:rPr>
          <w:spacing w:val="20"/>
          <w:w w:val="101"/>
        </w:rPr>
        <w:t xml:space="preserve"> </w:t>
      </w:r>
      <w:r>
        <w:rPr>
          <w:spacing w:val="11"/>
        </w:rPr>
        <w:t>its</w:t>
      </w:r>
      <w:r>
        <w:rPr>
          <w:spacing w:val="22"/>
          <w:w w:val="101"/>
        </w:rPr>
        <w:t xml:space="preserve"> </w:t>
      </w:r>
      <w:r>
        <w:rPr>
          <w:spacing w:val="11"/>
        </w:rPr>
        <w:t>association</w:t>
      </w:r>
      <w:r>
        <w:rPr>
          <w:spacing w:val="17"/>
          <w:w w:val="101"/>
        </w:rPr>
        <w:t xml:space="preserve"> </w:t>
      </w:r>
      <w:r>
        <w:rPr>
          <w:spacing w:val="11"/>
        </w:rPr>
        <w:t>with</w:t>
      </w:r>
      <w:r>
        <w:rPr>
          <w:spacing w:val="23"/>
        </w:rPr>
        <w:t xml:space="preserve"> </w:t>
      </w:r>
      <w:r>
        <w:rPr>
          <w:spacing w:val="11"/>
        </w:rPr>
        <w:t>quality</w:t>
      </w:r>
      <w:r>
        <w:rPr>
          <w:spacing w:val="22"/>
          <w:w w:val="101"/>
        </w:rPr>
        <w:t xml:space="preserve"> </w:t>
      </w:r>
      <w:r>
        <w:rPr>
          <w:spacing w:val="11"/>
        </w:rPr>
        <w:t>of</w:t>
      </w:r>
      <w:r>
        <w:rPr>
          <w:spacing w:val="19"/>
        </w:rPr>
        <w:t xml:space="preserve"> </w:t>
      </w:r>
      <w:r>
        <w:rPr>
          <w:spacing w:val="11"/>
        </w:rPr>
        <w:t>life</w:t>
      </w:r>
      <w:r>
        <w:rPr>
          <w:spacing w:val="22"/>
          <w:w w:val="101"/>
        </w:rPr>
        <w:t xml:space="preserve"> </w:t>
      </w:r>
      <w:r>
        <w:rPr>
          <w:spacing w:val="11"/>
        </w:rPr>
        <w:t>and</w:t>
      </w:r>
      <w:r>
        <w:rPr>
          <w:spacing w:val="21"/>
        </w:rPr>
        <w:t xml:space="preserve"> </w:t>
      </w:r>
      <w:r>
        <w:rPr>
          <w:spacing w:val="11"/>
        </w:rPr>
        <w:t>clinical</w:t>
      </w:r>
      <w:r>
        <w:rPr>
          <w:spacing w:val="22"/>
          <w:w w:val="101"/>
        </w:rPr>
        <w:t xml:space="preserve"> </w:t>
      </w:r>
      <w:r>
        <w:rPr>
          <w:spacing w:val="11"/>
        </w:rPr>
        <w:t>outc</w:t>
      </w:r>
      <w:r>
        <w:rPr>
          <w:spacing w:val="10"/>
        </w:rPr>
        <w:t>omes</w:t>
      </w:r>
      <w:r>
        <w:rPr>
          <w:spacing w:val="20"/>
          <w:w w:val="101"/>
        </w:rPr>
        <w:t xml:space="preserve"> </w:t>
      </w:r>
      <w:r>
        <w:rPr>
          <w:spacing w:val="10"/>
        </w:rPr>
        <w:t>in</w:t>
      </w:r>
      <w:r>
        <w:rPr/>
        <w:t xml:space="preserve"> </w:t>
      </w:r>
      <w:bookmarkStart w:name="bookmark14" w:id="14"/>
      <w:bookmarkEnd w:id="14"/>
      <w:r>
        <w:rPr/>
        <w:t>ulcerative</w:t>
      </w:r>
      <w:r>
        <w:rPr>
          <w:spacing w:val="18"/>
        </w:rPr>
        <w:t xml:space="preserve"> </w:t>
      </w:r>
      <w:r>
        <w:rPr/>
        <w:t>colitis</w:t>
      </w:r>
      <w:r>
        <w:rPr>
          <w:spacing w:val="18"/>
        </w:rPr>
        <w:t xml:space="preserve"> </w:t>
      </w:r>
      <w:r>
        <w:rPr/>
        <w:t>patients</w:t>
      </w:r>
      <w:r>
        <w:rPr>
          <w:spacing w:val="18"/>
        </w:rPr>
        <w:t>. </w:t>
      </w:r>
      <w:r>
        <w:rPr/>
        <w:t>Am</w:t>
      </w:r>
      <w:r>
        <w:rPr>
          <w:spacing w:val="18"/>
        </w:rPr>
        <w:t>. J. </w:t>
      </w:r>
      <w:r>
        <w:rPr/>
        <w:t>Gastroenterol</w:t>
      </w:r>
      <w:r>
        <w:rPr>
          <w:spacing w:val="18"/>
        </w:rPr>
        <w:t>.</w:t>
      </w:r>
      <w:r>
        <w:rPr>
          <w:spacing w:val="33"/>
          <w:w w:val="101"/>
        </w:rPr>
        <w:t xml:space="preserve"> </w:t>
      </w:r>
      <w:r>
        <w:rPr>
          <w:b/>
          <w:bCs/>
          <w:spacing w:val="18"/>
        </w:rPr>
        <w:t>2022</w:t>
      </w:r>
      <w:r>
        <w:rPr>
          <w:spacing w:val="18"/>
        </w:rPr>
        <w:t>, 117, 769–776.</w:t>
      </w:r>
      <w:r>
        <w:rPr>
          <w:spacing w:val="27"/>
        </w:rPr>
        <w:t xml:space="preserve"> </w:t>
      </w:r>
      <w:r>
        <w:rPr>
          <w:spacing w:val="18"/>
        </w:rPr>
        <w:t>[</w:t>
      </w:r>
      <w:hyperlink w:history="true" r:id="rId68">
        <w:r>
          <w:rPr>
            <w:color w:val="0875B7"/>
          </w:rPr>
          <w:t>CrossRef</w:t>
        </w:r>
      </w:hyperlink>
      <w:r>
        <w:rPr>
          <w:spacing w:val="18"/>
        </w:rPr>
        <w:t>]</w:t>
      </w:r>
      <w:r>
        <w:rPr>
          <w:spacing w:val="16"/>
          <w:w w:val="101"/>
        </w:rPr>
        <w:t xml:space="preserve"> </w:t>
      </w:r>
      <w:r>
        <w:rPr>
          <w:spacing w:val="18"/>
        </w:rPr>
        <w:t>[</w:t>
      </w:r>
      <w:hyperlink w:history="true" r:id="rId69">
        <w:r>
          <w:rPr>
            <w:color w:val="0875B7"/>
          </w:rPr>
          <w:t>PubMed</w:t>
        </w:r>
      </w:hyperlink>
      <w:r>
        <w:rPr>
          <w:spacing w:val="18"/>
        </w:rPr>
        <w:t>]</w:t>
      </w:r>
    </w:p>
    <w:p>
      <w:pPr>
        <w:pStyle w:val="BodyText"/>
        <w:ind w:left="436" w:right="29" w:hanging="422"/>
        <w:spacing w:before="6" w:line="280" w:lineRule="auto"/>
        <w:rPr/>
      </w:pPr>
      <w:r>
        <w:rPr>
          <w:spacing w:val="10"/>
        </w:rPr>
        <w:t>18.    Joyce, J.C.;</w:t>
      </w:r>
      <w:r>
        <w:rPr>
          <w:spacing w:val="18"/>
        </w:rPr>
        <w:t xml:space="preserve"> </w:t>
      </w:r>
      <w:r>
        <w:rPr>
          <w:spacing w:val="10"/>
        </w:rPr>
        <w:t>Waljee, A.K.;</w:t>
      </w:r>
      <w:r>
        <w:rPr>
          <w:spacing w:val="21"/>
        </w:rPr>
        <w:t xml:space="preserve"> </w:t>
      </w:r>
      <w:r>
        <w:rPr>
          <w:spacing w:val="10"/>
        </w:rPr>
        <w:t>Khan,</w:t>
      </w:r>
      <w:r>
        <w:rPr>
          <w:spacing w:val="17"/>
          <w:w w:val="101"/>
        </w:rPr>
        <w:t xml:space="preserve"> </w:t>
      </w:r>
      <w:r>
        <w:rPr>
          <w:spacing w:val="10"/>
        </w:rPr>
        <w:t>T.;</w:t>
      </w:r>
      <w:r>
        <w:rPr>
          <w:spacing w:val="19"/>
        </w:rPr>
        <w:t xml:space="preserve"> </w:t>
      </w:r>
      <w:r>
        <w:rPr>
          <w:spacing w:val="10"/>
        </w:rPr>
        <w:t>A </w:t>
      </w:r>
      <w:r>
        <w:rPr>
          <w:spacing w:val="9"/>
        </w:rPr>
        <w:t>Wren,</w:t>
      </w:r>
      <w:r>
        <w:rPr>
          <w:spacing w:val="18"/>
          <w:w w:val="101"/>
        </w:rPr>
        <w:t xml:space="preserve"> </w:t>
      </w:r>
      <w:r>
        <w:rPr>
          <w:spacing w:val="9"/>
        </w:rPr>
        <w:t>P.;</w:t>
      </w:r>
      <w:r>
        <w:rPr>
          <w:spacing w:val="20"/>
          <w:w w:val="101"/>
        </w:rPr>
        <w:t xml:space="preserve"> </w:t>
      </w:r>
      <w:r>
        <w:rPr>
          <w:spacing w:val="9"/>
        </w:rPr>
        <w:t>Dave,</w:t>
      </w:r>
      <w:r>
        <w:rPr>
          <w:spacing w:val="17"/>
          <w:w w:val="101"/>
        </w:rPr>
        <w:t xml:space="preserve"> </w:t>
      </w:r>
      <w:r>
        <w:rPr>
          <w:spacing w:val="9"/>
        </w:rPr>
        <w:t>M.;</w:t>
      </w:r>
      <w:r>
        <w:rPr>
          <w:spacing w:val="19"/>
        </w:rPr>
        <w:t xml:space="preserve"> </w:t>
      </w:r>
      <w:r>
        <w:rPr>
          <w:spacing w:val="9"/>
        </w:rPr>
        <w:t>Zimmermann,</w:t>
      </w:r>
      <w:r>
        <w:rPr>
          <w:spacing w:val="18"/>
          <w:w w:val="101"/>
        </w:rPr>
        <w:t xml:space="preserve"> </w:t>
      </w:r>
      <w:r>
        <w:rPr>
          <w:spacing w:val="9"/>
        </w:rPr>
        <w:t>E.M.;</w:t>
      </w:r>
      <w:r>
        <w:rPr>
          <w:spacing w:val="18"/>
        </w:rPr>
        <w:t xml:space="preserve"> </w:t>
      </w:r>
      <w:r>
        <w:rPr>
          <w:spacing w:val="9"/>
        </w:rPr>
        <w:t>Wang,</w:t>
      </w:r>
      <w:r>
        <w:rPr>
          <w:spacing w:val="18"/>
          <w:w w:val="101"/>
        </w:rPr>
        <w:t xml:space="preserve"> </w:t>
      </w:r>
      <w:r>
        <w:rPr>
          <w:spacing w:val="9"/>
        </w:rPr>
        <w:t>S.;</w:t>
      </w:r>
      <w:r>
        <w:rPr>
          <w:spacing w:val="19"/>
          <w:w w:val="101"/>
        </w:rPr>
        <w:t xml:space="preserve"> </w:t>
      </w:r>
      <w:r>
        <w:rPr>
          <w:spacing w:val="9"/>
        </w:rPr>
        <w:t>Zhu, J.;</w:t>
      </w:r>
      <w:r>
        <w:rPr>
          <w:spacing w:val="20"/>
          <w:w w:val="101"/>
        </w:rPr>
        <w:t xml:space="preserve"> </w:t>
      </w:r>
      <w:r>
        <w:rPr>
          <w:spacing w:val="9"/>
        </w:rPr>
        <w:t>Higgins,</w:t>
      </w:r>
      <w:r>
        <w:rPr>
          <w:spacing w:val="18"/>
        </w:rPr>
        <w:t xml:space="preserve"> </w:t>
      </w:r>
      <w:r>
        <w:rPr>
          <w:spacing w:val="9"/>
        </w:rPr>
        <w:t>P.</w:t>
      </w:r>
      <w:r>
        <w:rPr>
          <w:spacing w:val="16"/>
        </w:rPr>
        <w:t xml:space="preserve"> </w:t>
      </w:r>
      <w:r>
        <w:rPr>
          <w:spacing w:val="9"/>
        </w:rPr>
        <w:t>Identi</w:t>
      </w:r>
      <w:r>
        <w:rPr>
          <w:spacing w:val="15"/>
        </w:rPr>
        <w:t xml:space="preserve">  </w:t>
      </w:r>
      <w:r>
        <w:rPr>
          <w:spacing w:val="9"/>
        </w:rPr>
        <w:t>cation</w:t>
      </w:r>
      <w:r>
        <w:rPr>
          <w:spacing w:val="18"/>
        </w:rPr>
        <w:t xml:space="preserve"> </w:t>
      </w:r>
      <w:r>
        <w:rPr>
          <w:spacing w:val="9"/>
        </w:rPr>
        <w:t>of</w:t>
      </w:r>
      <w:r>
        <w:rPr/>
        <w:t xml:space="preserve"> </w:t>
      </w:r>
      <w:r>
        <w:rPr>
          <w:spacing w:val="10"/>
        </w:rPr>
        <w:t>symptom domains in ulcerative colitis that o</w:t>
      </w:r>
      <w:r>
        <w:rPr>
          <w:spacing w:val="9"/>
        </w:rPr>
        <w:t>ccur frequently during   ares and are responsive to changes in disease activity. Health</w:t>
      </w:r>
      <w:r>
        <w:rPr/>
        <w:t xml:space="preserve"> </w:t>
      </w:r>
      <w:bookmarkStart w:name="bookmark15" w:id="15"/>
      <w:bookmarkEnd w:id="15"/>
      <w:r>
        <w:rPr/>
        <w:t>Qual</w:t>
      </w:r>
      <w:r>
        <w:rPr>
          <w:spacing w:val="14"/>
        </w:rPr>
        <w:t xml:space="preserve"> </w:t>
      </w:r>
      <w:r>
        <w:rPr/>
        <w:t>Life</w:t>
      </w:r>
      <w:r>
        <w:rPr>
          <w:spacing w:val="14"/>
        </w:rPr>
        <w:t xml:space="preserve"> </w:t>
      </w:r>
      <w:r>
        <w:rPr/>
        <w:t>Outcomes</w:t>
      </w:r>
      <w:r>
        <w:rPr>
          <w:spacing w:val="14"/>
        </w:rPr>
        <w:t xml:space="preserve"> </w:t>
      </w:r>
      <w:r>
        <w:rPr>
          <w:b/>
          <w:bCs/>
          <w:spacing w:val="14"/>
        </w:rPr>
        <w:t>2008</w:t>
      </w:r>
      <w:r>
        <w:rPr>
          <w:spacing w:val="14"/>
        </w:rPr>
        <w:t>, 6, 69.</w:t>
      </w:r>
      <w:r>
        <w:rPr>
          <w:spacing w:val="33"/>
          <w:w w:val="101"/>
        </w:rPr>
        <w:t xml:space="preserve"> </w:t>
      </w:r>
      <w:r>
        <w:rPr>
          <w:spacing w:val="14"/>
        </w:rPr>
        <w:t>[</w:t>
      </w:r>
      <w:hyperlink w:history="true" r:id="rId70">
        <w:r>
          <w:rPr>
            <w:color w:val="0875B7"/>
          </w:rPr>
          <w:t>CrossRef</w:t>
        </w:r>
      </w:hyperlink>
      <w:r>
        <w:rPr>
          <w:spacing w:val="14"/>
        </w:rPr>
        <w:t>]</w:t>
      </w:r>
      <w:r>
        <w:rPr>
          <w:spacing w:val="16"/>
          <w:w w:val="101"/>
        </w:rPr>
        <w:t xml:space="preserve"> </w:t>
      </w:r>
      <w:r>
        <w:rPr>
          <w:spacing w:val="14"/>
        </w:rPr>
        <w:t>[</w:t>
      </w:r>
      <w:hyperlink w:history="true" r:id="rId71">
        <w:r>
          <w:rPr>
            <w:color w:val="0875B7"/>
          </w:rPr>
          <w:t>PubMed</w:t>
        </w:r>
      </w:hyperlink>
      <w:r>
        <w:rPr>
          <w:spacing w:val="14"/>
        </w:rPr>
        <w:t>]</w:t>
      </w:r>
    </w:p>
    <w:p>
      <w:pPr>
        <w:pStyle w:val="BodyText"/>
        <w:ind w:left="429" w:right="1" w:hanging="415"/>
        <w:spacing w:before="6" w:line="280" w:lineRule="auto"/>
        <w:rPr/>
      </w:pPr>
      <w:r>
        <w:rPr>
          <w:spacing w:val="10"/>
        </w:rPr>
        <w:t>19.    Dubinsky, M.C.; Irving, P.M.; Panaccione, R.; Naegeli,</w:t>
      </w:r>
      <w:r>
        <w:rPr>
          <w:spacing w:val="9"/>
        </w:rPr>
        <w:t xml:space="preserve"> </w:t>
      </w:r>
      <w:r>
        <w:rPr>
          <w:spacing w:val="10"/>
        </w:rPr>
        <w:t>A.N.;</w:t>
      </w:r>
      <w:r>
        <w:rPr>
          <w:spacing w:val="12"/>
        </w:rPr>
        <w:t xml:space="preserve"> </w:t>
      </w:r>
      <w:r>
        <w:rPr>
          <w:spacing w:val="10"/>
        </w:rPr>
        <w:t>Potts–Bleakman,</w:t>
      </w:r>
      <w:r>
        <w:rPr>
          <w:spacing w:val="8"/>
        </w:rPr>
        <w:t xml:space="preserve"> </w:t>
      </w:r>
      <w:r>
        <w:rPr>
          <w:spacing w:val="10"/>
        </w:rPr>
        <w:t>A.;</w:t>
      </w:r>
      <w:r>
        <w:rPr>
          <w:spacing w:val="10"/>
          <w:w w:val="101"/>
        </w:rPr>
        <w:t xml:space="preserve"> </w:t>
      </w:r>
      <w:r>
        <w:rPr>
          <w:spacing w:val="10"/>
        </w:rPr>
        <w:t>Arora, V.;</w:t>
      </w:r>
      <w:r>
        <w:rPr>
          <w:spacing w:val="11"/>
          <w:w w:val="101"/>
        </w:rPr>
        <w:t xml:space="preserve"> </w:t>
      </w:r>
      <w:r>
        <w:rPr>
          <w:spacing w:val="10"/>
        </w:rPr>
        <w:t>Shan,</w:t>
      </w:r>
      <w:r>
        <w:rPr>
          <w:spacing w:val="9"/>
        </w:rPr>
        <w:t xml:space="preserve"> </w:t>
      </w:r>
      <w:r>
        <w:rPr>
          <w:spacing w:val="10"/>
        </w:rPr>
        <w:t>M.;</w:t>
      </w:r>
      <w:r>
        <w:rPr>
          <w:spacing w:val="10"/>
          <w:w w:val="101"/>
        </w:rPr>
        <w:t xml:space="preserve"> </w:t>
      </w:r>
      <w:r>
        <w:rPr>
          <w:spacing w:val="9"/>
        </w:rPr>
        <w:t>Travis,</w:t>
      </w:r>
      <w:r>
        <w:rPr>
          <w:spacing w:val="11"/>
        </w:rPr>
        <w:t xml:space="preserve"> </w:t>
      </w:r>
      <w:r>
        <w:rPr>
          <w:spacing w:val="9"/>
        </w:rPr>
        <w:t>S. Incorporating</w:t>
      </w:r>
      <w:r>
        <w:rPr/>
        <w:t xml:space="preserve">  </w:t>
      </w:r>
      <w:r>
        <w:rPr>
          <w:spacing w:val="12"/>
        </w:rPr>
        <w:t>patient experience into drug development for ulcerative colitis: Development of the Urgency Numeric Rating Scale,</w:t>
      </w:r>
      <w:r>
        <w:rPr>
          <w:spacing w:val="11"/>
        </w:rPr>
        <w:t xml:space="preserve"> a patient–</w:t>
      </w:r>
      <w:r>
        <w:rPr/>
        <w:t xml:space="preserve"> </w:t>
      </w:r>
      <w:bookmarkStart w:name="bookmark16" w:id="16"/>
      <w:bookmarkEnd w:id="16"/>
      <w:r>
        <w:rPr>
          <w:spacing w:val="9"/>
        </w:rPr>
        <w:t>reported outcome measure to assess bowel urgency in adults. J. Patient-Reported Outcomes </w:t>
      </w:r>
      <w:r>
        <w:rPr>
          <w:b/>
          <w:bCs/>
          <w:spacing w:val="9"/>
        </w:rPr>
        <w:t>2022</w:t>
      </w:r>
      <w:r>
        <w:rPr>
          <w:spacing w:val="9"/>
        </w:rPr>
        <w:t>, 6, 31.</w:t>
      </w:r>
      <w:r>
        <w:rPr>
          <w:spacing w:val="29"/>
          <w:w w:val="101"/>
        </w:rPr>
        <w:t xml:space="preserve"> </w:t>
      </w:r>
      <w:r>
        <w:rPr>
          <w:spacing w:val="9"/>
        </w:rPr>
        <w:t>[</w:t>
      </w:r>
      <w:hyperlink w:history="true" r:id="rId72">
        <w:r>
          <w:rPr>
            <w:color w:val="0875B7"/>
            <w:spacing w:val="9"/>
          </w:rPr>
          <w:t>CrossRef</w:t>
        </w:r>
      </w:hyperlink>
      <w:r>
        <w:rPr>
          <w:spacing w:val="9"/>
        </w:rPr>
        <w:t>] [</w:t>
      </w:r>
      <w:hyperlink w:history="true" r:id="rId73">
        <w:r>
          <w:rPr>
            <w:color w:val="0875B7"/>
            <w:spacing w:val="9"/>
          </w:rPr>
          <w:t>PubMed</w:t>
        </w:r>
      </w:hyperlink>
      <w:r>
        <w:rPr>
          <w:spacing w:val="9"/>
        </w:rPr>
        <w:t>]</w:t>
      </w:r>
    </w:p>
    <w:p>
      <w:pPr>
        <w:pStyle w:val="BodyText"/>
        <w:ind w:left="438" w:right="31" w:hanging="432"/>
        <w:spacing w:before="7" w:line="280" w:lineRule="auto"/>
        <w:rPr/>
      </w:pPr>
      <w:r>
        <w:rPr>
          <w:spacing w:val="8"/>
        </w:rPr>
        <w:t>20.    D'Amico, F.; Bonovas, S.; Danese, S.; Peyrin–Biroulet, L. Review article:</w:t>
      </w:r>
      <w:r>
        <w:rPr>
          <w:spacing w:val="17"/>
          <w:w w:val="101"/>
        </w:rPr>
        <w:t xml:space="preserve"> </w:t>
      </w:r>
      <w:r>
        <w:rPr>
          <w:spacing w:val="8"/>
        </w:rPr>
        <w:t>Faecal calprotectin and histologic remission in ulcerative</w:t>
      </w:r>
      <w:r>
        <w:rPr/>
        <w:t xml:space="preserve"> </w:t>
      </w:r>
      <w:bookmarkStart w:name="bookmark17" w:id="17"/>
      <w:bookmarkEnd w:id="17"/>
      <w:r>
        <w:rPr/>
        <w:t>colitis</w:t>
      </w:r>
      <w:r>
        <w:rPr>
          <w:spacing w:val="14"/>
        </w:rPr>
        <w:t>. </w:t>
      </w:r>
      <w:r>
        <w:rPr/>
        <w:t>Aliment</w:t>
      </w:r>
      <w:r>
        <w:rPr>
          <w:spacing w:val="14"/>
        </w:rPr>
        <w:t>. </w:t>
      </w:r>
      <w:r>
        <w:rPr/>
        <w:t>Pharmacol</w:t>
      </w:r>
      <w:r>
        <w:rPr>
          <w:spacing w:val="14"/>
        </w:rPr>
        <w:t>.</w:t>
      </w:r>
      <w:r>
        <w:rPr>
          <w:spacing w:val="26"/>
        </w:rPr>
        <w:t xml:space="preserve"> </w:t>
      </w:r>
      <w:r>
        <w:rPr/>
        <w:t>Ther</w:t>
      </w:r>
      <w:r>
        <w:rPr>
          <w:spacing w:val="14"/>
        </w:rPr>
        <w:t>.</w:t>
      </w:r>
      <w:r>
        <w:rPr>
          <w:spacing w:val="17"/>
          <w:w w:val="102"/>
        </w:rPr>
        <w:t xml:space="preserve"> </w:t>
      </w:r>
      <w:r>
        <w:rPr>
          <w:b/>
          <w:bCs/>
          <w:spacing w:val="14"/>
        </w:rPr>
        <w:t>2020</w:t>
      </w:r>
      <w:r>
        <w:rPr>
          <w:spacing w:val="14"/>
        </w:rPr>
        <w:t>, 51, 689–698.</w:t>
      </w:r>
      <w:r>
        <w:rPr>
          <w:spacing w:val="27"/>
        </w:rPr>
        <w:t xml:space="preserve"> </w:t>
      </w:r>
      <w:r>
        <w:rPr>
          <w:spacing w:val="14"/>
        </w:rPr>
        <w:t>[</w:t>
      </w:r>
      <w:hyperlink w:history="true" r:id="rId74">
        <w:r>
          <w:rPr>
            <w:color w:val="0875B7"/>
          </w:rPr>
          <w:t>CrossRef</w:t>
        </w:r>
      </w:hyperlink>
      <w:r>
        <w:rPr>
          <w:spacing w:val="14"/>
        </w:rPr>
        <w:t>]</w:t>
      </w:r>
      <w:r>
        <w:rPr>
          <w:spacing w:val="16"/>
          <w:w w:val="101"/>
        </w:rPr>
        <w:t xml:space="preserve"> </w:t>
      </w:r>
      <w:r>
        <w:rPr>
          <w:spacing w:val="14"/>
        </w:rPr>
        <w:t>[</w:t>
      </w:r>
      <w:hyperlink w:history="true" r:id="rId75">
        <w:r>
          <w:rPr>
            <w:color w:val="0875B7"/>
          </w:rPr>
          <w:t>PubMed</w:t>
        </w:r>
      </w:hyperlink>
      <w:r>
        <w:rPr>
          <w:spacing w:val="14"/>
        </w:rPr>
        <w:t>]</w:t>
      </w:r>
    </w:p>
    <w:p>
      <w:pPr>
        <w:pStyle w:val="BodyText"/>
        <w:ind w:left="438" w:right="27" w:hanging="432"/>
        <w:spacing w:before="3" w:line="279" w:lineRule="auto"/>
        <w:rPr/>
      </w:pPr>
      <w:r>
        <w:rPr>
          <w:spacing w:val="8"/>
        </w:rPr>
        <w:t>21.    Le Berre, C.; Ananthakrishnan, A.N.; Danese, S.; Singh, S.; Peyrin</w:t>
      </w:r>
      <w:r>
        <w:rPr>
          <w:spacing w:val="7"/>
        </w:rPr>
        <w:t>–Biroulet, L. Ulcerative Colitis and Crohn's Disease Have Similar</w:t>
      </w:r>
      <w:r>
        <w:rPr/>
        <w:t xml:space="preserve"> </w:t>
      </w:r>
      <w:r>
        <w:rPr>
          <w:spacing w:val="8"/>
        </w:rPr>
        <w:t>Burden and Goals for Trea</w:t>
      </w:r>
      <w:r>
        <w:rPr>
          <w:spacing w:val="7"/>
        </w:rPr>
        <w:t>tment.</w:t>
      </w:r>
      <w:r>
        <w:rPr>
          <w:spacing w:val="21"/>
          <w:w w:val="102"/>
        </w:rPr>
        <w:t xml:space="preserve"> </w:t>
      </w:r>
      <w:r>
        <w:rPr>
          <w:spacing w:val="7"/>
        </w:rPr>
        <w:t>Clin.</w:t>
      </w:r>
      <w:r>
        <w:rPr>
          <w:spacing w:val="22"/>
        </w:rPr>
        <w:t xml:space="preserve"> </w:t>
      </w:r>
      <w:r>
        <w:rPr>
          <w:spacing w:val="7"/>
        </w:rPr>
        <w:t>Gastroenterol. Hepatol.</w:t>
      </w:r>
      <w:r>
        <w:rPr>
          <w:spacing w:val="17"/>
          <w:w w:val="101"/>
        </w:rPr>
        <w:t xml:space="preserve"> </w:t>
      </w:r>
      <w:r>
        <w:rPr>
          <w:b/>
          <w:bCs/>
          <w:spacing w:val="7"/>
        </w:rPr>
        <w:t>2020</w:t>
      </w:r>
      <w:r>
        <w:rPr>
          <w:spacing w:val="7"/>
        </w:rPr>
        <w:t>, 18, 14–23.</w:t>
      </w:r>
      <w:r>
        <w:rPr>
          <w:spacing w:val="27"/>
          <w:w w:val="101"/>
        </w:rPr>
        <w:t xml:space="preserve"> </w:t>
      </w:r>
      <w:r>
        <w:rPr>
          <w:spacing w:val="7"/>
        </w:rPr>
        <w:t>[</w:t>
      </w:r>
      <w:hyperlink w:history="true" r:id="rId76">
        <w:r>
          <w:rPr>
            <w:color w:val="0875B7"/>
            <w:spacing w:val="7"/>
          </w:rPr>
          <w:t>CrossRef</w:t>
        </w:r>
      </w:hyperlink>
      <w:r>
        <w:rPr>
          <w:spacing w:val="7"/>
        </w:rPr>
        <w:t>]</w:t>
      </w:r>
      <w:r>
        <w:rPr>
          <w:spacing w:val="16"/>
          <w:w w:val="101"/>
        </w:rPr>
        <w:t xml:space="preserve"> </w:t>
      </w:r>
      <w:r>
        <w:rPr>
          <w:spacing w:val="7"/>
        </w:rPr>
        <w:t>[</w:t>
      </w:r>
      <w:hyperlink w:history="true" r:id="rId77">
        <w:r>
          <w:rPr>
            <w:color w:val="0875B7"/>
            <w:spacing w:val="7"/>
          </w:rPr>
          <w:t>PubMed</w:t>
        </w:r>
      </w:hyperlink>
      <w:r>
        <w:rPr>
          <w:spacing w:val="7"/>
        </w:rPr>
        <w:t>]</w:t>
      </w:r>
    </w:p>
    <w:p>
      <w:pPr>
        <w:spacing w:line="283" w:lineRule="auto"/>
        <w:rPr>
          <w:rFonts w:ascii="Arial"/>
          <w:sz w:val="21"/>
        </w:rPr>
      </w:pPr>
      <w:r/>
    </w:p>
    <w:p>
      <w:pPr>
        <w:pStyle w:val="BodyText"/>
        <w:ind w:right="31" w:firstLine="10"/>
        <w:spacing w:before="50" w:line="263" w:lineRule="auto"/>
        <w:jc w:val="both"/>
        <w:rPr/>
      </w:pPr>
      <w:r>
        <w:rPr>
          <w:b/>
          <w:bCs/>
          <w:spacing w:val="13"/>
        </w:rPr>
        <w:t>Disclaimer/Publisher's</w:t>
      </w:r>
      <w:r>
        <w:rPr>
          <w:b/>
          <w:bCs/>
          <w:spacing w:val="24"/>
        </w:rPr>
        <w:t xml:space="preserve"> </w:t>
      </w:r>
      <w:r>
        <w:rPr>
          <w:b/>
          <w:bCs/>
          <w:spacing w:val="13"/>
        </w:rPr>
        <w:t>Note:</w:t>
      </w:r>
      <w:r>
        <w:rPr>
          <w:b/>
          <w:bCs/>
          <w:spacing w:val="2"/>
        </w:rPr>
        <w:t xml:space="preserve">  </w:t>
      </w:r>
      <w:r>
        <w:rPr>
          <w:spacing w:val="13"/>
        </w:rPr>
        <w:t>The</w:t>
      </w:r>
      <w:r>
        <w:rPr>
          <w:spacing w:val="23"/>
          <w:w w:val="102"/>
        </w:rPr>
        <w:t xml:space="preserve"> </w:t>
      </w:r>
      <w:r>
        <w:rPr>
          <w:spacing w:val="13"/>
        </w:rPr>
        <w:t>statements,</w:t>
      </w:r>
      <w:r>
        <w:rPr>
          <w:spacing w:val="27"/>
          <w:w w:val="101"/>
        </w:rPr>
        <w:t xml:space="preserve"> </w:t>
      </w:r>
      <w:r>
        <w:rPr>
          <w:spacing w:val="13"/>
        </w:rPr>
        <w:t>opinions</w:t>
      </w:r>
      <w:r>
        <w:rPr>
          <w:spacing w:val="23"/>
          <w:w w:val="102"/>
        </w:rPr>
        <w:t xml:space="preserve"> </w:t>
      </w:r>
      <w:r>
        <w:rPr>
          <w:spacing w:val="13"/>
        </w:rPr>
        <w:t>and</w:t>
      </w:r>
      <w:r>
        <w:rPr>
          <w:spacing w:val="24"/>
        </w:rPr>
        <w:t xml:space="preserve"> </w:t>
      </w:r>
      <w:r>
        <w:rPr>
          <w:spacing w:val="13"/>
        </w:rPr>
        <w:t>data</w:t>
      </w:r>
      <w:r>
        <w:rPr>
          <w:spacing w:val="22"/>
          <w:w w:val="101"/>
        </w:rPr>
        <w:t xml:space="preserve"> </w:t>
      </w:r>
      <w:r>
        <w:rPr>
          <w:spacing w:val="13"/>
        </w:rPr>
        <w:t>contained</w:t>
      </w:r>
      <w:r>
        <w:rPr>
          <w:spacing w:val="21"/>
          <w:w w:val="102"/>
        </w:rPr>
        <w:t xml:space="preserve"> </w:t>
      </w:r>
      <w:r>
        <w:rPr>
          <w:spacing w:val="13"/>
        </w:rPr>
        <w:t>in</w:t>
      </w:r>
      <w:r>
        <w:rPr>
          <w:spacing w:val="23"/>
          <w:w w:val="101"/>
        </w:rPr>
        <w:t xml:space="preserve"> </w:t>
      </w:r>
      <w:r>
        <w:rPr>
          <w:spacing w:val="13"/>
        </w:rPr>
        <w:t>all publications</w:t>
      </w:r>
      <w:r>
        <w:rPr>
          <w:spacing w:val="23"/>
          <w:w w:val="101"/>
        </w:rPr>
        <w:t xml:space="preserve"> </w:t>
      </w:r>
      <w:r>
        <w:rPr>
          <w:spacing w:val="13"/>
        </w:rPr>
        <w:t>ar</w:t>
      </w:r>
      <w:r>
        <w:rPr>
          <w:spacing w:val="12"/>
        </w:rPr>
        <w:t>e</w:t>
      </w:r>
      <w:r>
        <w:rPr>
          <w:spacing w:val="23"/>
          <w:w w:val="101"/>
        </w:rPr>
        <w:t xml:space="preserve"> </w:t>
      </w:r>
      <w:r>
        <w:rPr>
          <w:spacing w:val="12"/>
        </w:rPr>
        <w:t>solely</w:t>
      </w:r>
      <w:r>
        <w:rPr>
          <w:spacing w:val="21"/>
          <w:w w:val="102"/>
        </w:rPr>
        <w:t xml:space="preserve"> </w:t>
      </w:r>
      <w:r>
        <w:rPr>
          <w:spacing w:val="12"/>
        </w:rPr>
        <w:t>those</w:t>
      </w:r>
      <w:r>
        <w:rPr>
          <w:spacing w:val="23"/>
          <w:w w:val="101"/>
        </w:rPr>
        <w:t xml:space="preserve"> </w:t>
      </w:r>
      <w:r>
        <w:rPr>
          <w:spacing w:val="12"/>
        </w:rPr>
        <w:t>of</w:t>
      </w:r>
      <w:r>
        <w:rPr>
          <w:spacing w:val="20"/>
          <w:w w:val="101"/>
        </w:rPr>
        <w:t xml:space="preserve"> </w:t>
      </w:r>
      <w:r>
        <w:rPr>
          <w:spacing w:val="12"/>
        </w:rPr>
        <w:t>the</w:t>
      </w:r>
      <w:r>
        <w:rPr>
          <w:spacing w:val="21"/>
          <w:w w:val="101"/>
        </w:rPr>
        <w:t xml:space="preserve"> </w:t>
      </w:r>
      <w:r>
        <w:rPr>
          <w:spacing w:val="12"/>
        </w:rPr>
        <w:t>individual</w:t>
      </w:r>
      <w:r>
        <w:rPr/>
        <w:t xml:space="preserve"> </w:t>
      </w:r>
      <w:r>
        <w:rPr>
          <w:spacing w:val="11"/>
        </w:rPr>
        <w:t>author(s) and contributor(s) and not of MDPI and/or the editor(s). MDPI and/or the editor(s) disclaim responsibility</w:t>
      </w:r>
      <w:r>
        <w:rPr>
          <w:spacing w:val="10"/>
        </w:rPr>
        <w:t xml:space="preserve"> for any injury to</w:t>
      </w:r>
      <w:r>
        <w:rPr/>
        <w:t xml:space="preserve"> </w:t>
      </w:r>
      <w:r>
        <w:rPr>
          <w:spacing w:val="12"/>
        </w:rPr>
        <w:t>people or property resulting from any ideas, methods, inst</w:t>
      </w:r>
      <w:r>
        <w:rPr>
          <w:spacing w:val="11"/>
        </w:rPr>
        <w:t>ructions or products referred to in the content.</w:t>
      </w:r>
    </w:p>
    <w:sectPr>
      <w:headerReference w:type="default" r:id="rId45"/>
      <w:pgSz w:w="11906" w:h="16838"/>
      <w:pgMar w:top="1442" w:right="688" w:bottom="0" w:left="710" w:header="1086"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3" w:line="199" w:lineRule="exact"/>
      <w:rPr>
        <w:sz w:val="15"/>
        <w:szCs w:val="15"/>
      </w:rPr>
    </w:pPr>
    <w:r>
      <w:pict>
        <v:shape id="_x0000_s8" style="position:absolute;margin-left:35.716pt;margin-top:70.5511pt;mso-position-vertical-relative:page;mso-position-horizontal-relative:page;width:523.6pt;height:0.4pt;z-index:251658240;" o:allowincell="f" filled="false" strokecolor="#000000" strokeweight="0.40pt" coordsize="10471,8" coordorigin="0,0" path="m0,3l10465,3m5,3l10471,3e">
          <v:stroke joinstyle="miter" miterlimit="10"/>
        </v:shape>
      </w:pict>
    </w:r>
    <w:r>
      <w:rPr>
        <w:sz w:val="15"/>
        <w:szCs w:val="15"/>
        <w:position w:val="2"/>
      </w:rPr>
      <w:t>Medicina</w:t>
    </w:r>
    <w:r>
      <w:rPr>
        <w:sz w:val="15"/>
        <w:szCs w:val="15"/>
        <w:spacing w:val="6"/>
        <w:position w:val="2"/>
      </w:rPr>
      <w:t xml:space="preserve"> </w:t>
    </w:r>
    <w:r>
      <w:rPr>
        <w:sz w:val="15"/>
        <w:szCs w:val="15"/>
        <w:b/>
        <w:bCs/>
        <w:spacing w:val="6"/>
        <w:position w:val="2"/>
      </w:rPr>
      <w:t>2023</w:t>
    </w:r>
    <w:r>
      <w:rPr>
        <w:sz w:val="15"/>
        <w:szCs w:val="15"/>
        <w:spacing w:val="6"/>
        <w:position w:val="2"/>
      </w:rPr>
      <w:t>, 59,</w:t>
    </w:r>
    <w:r>
      <w:rPr>
        <w:sz w:val="15"/>
        <w:szCs w:val="15"/>
        <w:spacing w:val="19"/>
        <w:w w:val="101"/>
        <w:position w:val="2"/>
      </w:rPr>
      <w:t xml:space="preserve"> </w:t>
    </w:r>
    <w:r>
      <w:rPr>
        <w:sz w:val="15"/>
        <w:szCs w:val="15"/>
        <w:spacing w:val="6"/>
        <w:position w:val="2"/>
      </w:rPr>
      <w:t>183</w:t>
    </w:r>
    <w:r>
      <w:rPr>
        <w:sz w:val="15"/>
        <w:szCs w:val="15"/>
        <w:spacing w:val="1"/>
        <w:position w:val="2"/>
      </w:rPr>
      <w:t xml:space="preserve">                     </w:t>
    </w:r>
    <w:r>
      <w:rPr>
        <w:sz w:val="15"/>
        <w:szCs w:val="15"/>
        <w:position w:val="2"/>
      </w:rPr>
      <w:t xml:space="preserve">                                                                                                                                                                                                               </w:t>
    </w:r>
    <w:r>
      <w:rPr>
        <w:sz w:val="15"/>
        <w:szCs w:val="15"/>
        <w:spacing w:val="6"/>
        <w:position w:val="2"/>
      </w:rPr>
      <w:t>2 </w:t>
    </w:r>
    <w:r>
      <w:rPr>
        <w:sz w:val="15"/>
        <w:szCs w:val="15"/>
        <w:position w:val="2"/>
      </w:rPr>
      <w:t>of</w:t>
    </w:r>
    <w:r>
      <w:rPr>
        <w:sz w:val="15"/>
        <w:szCs w:val="15"/>
        <w:spacing w:val="7"/>
        <w:position w:val="2"/>
      </w:rPr>
      <w:t xml:space="preserve"> </w:t>
    </w:r>
    <w:r>
      <w:rPr>
        <w:sz w:val="15"/>
        <w:szCs w:val="15"/>
        <w:spacing w:val="6"/>
        <w:position w:val="2"/>
      </w:rPr>
      <w:t>8</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3" w:line="199" w:lineRule="exact"/>
      <w:rPr>
        <w:sz w:val="15"/>
        <w:szCs w:val="15"/>
      </w:rPr>
    </w:pPr>
    <w:r>
      <w:pict>
        <v:shape id="_x0000_s12" style="position:absolute;margin-left:35.716pt;margin-top:70.5511pt;mso-position-vertical-relative:page;mso-position-horizontal-relative:page;width:523.6pt;height:0.4pt;z-index:251659264;" o:allowincell="f" filled="false" strokecolor="#000000" strokeweight="0.40pt" coordsize="10471,8" coordorigin="0,0" path="m0,3l10465,3m5,3l10471,3e">
          <v:stroke joinstyle="miter" miterlimit="10"/>
        </v:shape>
      </w:pict>
    </w:r>
    <w:r>
      <w:rPr>
        <w:sz w:val="15"/>
        <w:szCs w:val="15"/>
        <w:position w:val="2"/>
      </w:rPr>
      <w:t>Medicina</w:t>
    </w:r>
    <w:r>
      <w:rPr>
        <w:sz w:val="15"/>
        <w:szCs w:val="15"/>
        <w:spacing w:val="6"/>
        <w:position w:val="2"/>
      </w:rPr>
      <w:t xml:space="preserve"> </w:t>
    </w:r>
    <w:r>
      <w:rPr>
        <w:sz w:val="15"/>
        <w:szCs w:val="15"/>
        <w:b/>
        <w:bCs/>
        <w:spacing w:val="6"/>
        <w:position w:val="2"/>
      </w:rPr>
      <w:t>2023</w:t>
    </w:r>
    <w:r>
      <w:rPr>
        <w:sz w:val="15"/>
        <w:szCs w:val="15"/>
        <w:spacing w:val="6"/>
        <w:position w:val="2"/>
      </w:rPr>
      <w:t>, 59,</w:t>
    </w:r>
    <w:r>
      <w:rPr>
        <w:sz w:val="15"/>
        <w:szCs w:val="15"/>
        <w:spacing w:val="19"/>
        <w:w w:val="101"/>
        <w:position w:val="2"/>
      </w:rPr>
      <w:t xml:space="preserve"> </w:t>
    </w:r>
    <w:r>
      <w:rPr>
        <w:sz w:val="15"/>
        <w:szCs w:val="15"/>
        <w:spacing w:val="6"/>
        <w:position w:val="2"/>
      </w:rPr>
      <w:t>183</w:t>
    </w:r>
    <w:r>
      <w:rPr>
        <w:sz w:val="15"/>
        <w:szCs w:val="15"/>
        <w:spacing w:val="1"/>
        <w:position w:val="2"/>
      </w:rPr>
      <w:t xml:space="preserve">                     </w:t>
    </w:r>
    <w:r>
      <w:rPr>
        <w:sz w:val="15"/>
        <w:szCs w:val="15"/>
        <w:position w:val="2"/>
      </w:rPr>
      <w:t xml:space="preserve">                                                                                                                                                                                                               </w:t>
    </w:r>
    <w:r>
      <w:rPr>
        <w:sz w:val="15"/>
        <w:szCs w:val="15"/>
        <w:spacing w:val="6"/>
        <w:position w:val="2"/>
      </w:rPr>
      <w:t>3 </w:t>
    </w:r>
    <w:r>
      <w:rPr>
        <w:sz w:val="15"/>
        <w:szCs w:val="15"/>
        <w:position w:val="2"/>
      </w:rPr>
      <w:t>of</w:t>
    </w:r>
    <w:r>
      <w:rPr>
        <w:sz w:val="15"/>
        <w:szCs w:val="15"/>
        <w:spacing w:val="7"/>
        <w:position w:val="2"/>
      </w:rPr>
      <w:t xml:space="preserve"> </w:t>
    </w:r>
    <w:r>
      <w:rPr>
        <w:sz w:val="15"/>
        <w:szCs w:val="15"/>
        <w:spacing w:val="6"/>
        <w:position w:val="2"/>
      </w:rPr>
      <w:t>8</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3" w:line="199" w:lineRule="exact"/>
      <w:rPr>
        <w:sz w:val="15"/>
        <w:szCs w:val="15"/>
      </w:rPr>
    </w:pPr>
    <w:r>
      <w:pict>
        <v:shape id="_x0000_s14" style="position:absolute;margin-left:35.716pt;margin-top:70.5511pt;mso-position-vertical-relative:page;mso-position-horizontal-relative:page;width:523.6pt;height:0.4pt;z-index:251660288;" o:allowincell="f" filled="false" strokecolor="#000000" strokeweight="0.40pt" coordsize="10471,8" coordorigin="0,0" path="m0,3l10465,3m5,3l10471,3e">
          <v:stroke joinstyle="miter" miterlimit="10"/>
        </v:shape>
      </w:pict>
    </w:r>
    <w:r>
      <w:rPr>
        <w:sz w:val="15"/>
        <w:szCs w:val="15"/>
        <w:position w:val="2"/>
      </w:rPr>
      <w:t>Medicina</w:t>
    </w:r>
    <w:r>
      <w:rPr>
        <w:sz w:val="15"/>
        <w:szCs w:val="15"/>
        <w:spacing w:val="6"/>
        <w:position w:val="2"/>
      </w:rPr>
      <w:t xml:space="preserve"> </w:t>
    </w:r>
    <w:r>
      <w:rPr>
        <w:sz w:val="15"/>
        <w:szCs w:val="15"/>
        <w:b/>
        <w:bCs/>
        <w:spacing w:val="6"/>
        <w:position w:val="2"/>
      </w:rPr>
      <w:t>2023</w:t>
    </w:r>
    <w:r>
      <w:rPr>
        <w:sz w:val="15"/>
        <w:szCs w:val="15"/>
        <w:spacing w:val="6"/>
        <w:position w:val="2"/>
      </w:rPr>
      <w:t>, 59,</w:t>
    </w:r>
    <w:r>
      <w:rPr>
        <w:sz w:val="15"/>
        <w:szCs w:val="15"/>
        <w:spacing w:val="21"/>
        <w:w w:val="101"/>
        <w:position w:val="2"/>
      </w:rPr>
      <w:t xml:space="preserve"> </w:t>
    </w:r>
    <w:r>
      <w:rPr>
        <w:sz w:val="15"/>
        <w:szCs w:val="15"/>
        <w:spacing w:val="6"/>
        <w:position w:val="2"/>
      </w:rPr>
      <w:t>183</w:t>
    </w:r>
    <w:r>
      <w:rPr>
        <w:sz w:val="15"/>
        <w:szCs w:val="15"/>
        <w:spacing w:val="1"/>
        <w:position w:val="2"/>
      </w:rPr>
      <w:t xml:space="preserve">                   </w:t>
    </w:r>
    <w:r>
      <w:rPr>
        <w:sz w:val="15"/>
        <w:szCs w:val="15"/>
        <w:position w:val="2"/>
      </w:rPr>
      <w:t xml:space="preserve">                                                                                                                                                                                                                 </w:t>
    </w:r>
    <w:r>
      <w:rPr>
        <w:sz w:val="15"/>
        <w:szCs w:val="15"/>
        <w:spacing w:val="6"/>
        <w:position w:val="2"/>
      </w:rPr>
      <w:t>4 </w:t>
    </w:r>
    <w:r>
      <w:rPr>
        <w:sz w:val="15"/>
        <w:szCs w:val="15"/>
        <w:position w:val="2"/>
      </w:rPr>
      <w:t>of</w:t>
    </w:r>
    <w:r>
      <w:rPr>
        <w:sz w:val="15"/>
        <w:szCs w:val="15"/>
        <w:spacing w:val="7"/>
        <w:position w:val="2"/>
      </w:rPr>
      <w:t xml:space="preserve"> </w:t>
    </w:r>
    <w:r>
      <w:rPr>
        <w:sz w:val="15"/>
        <w:szCs w:val="15"/>
        <w:spacing w:val="6"/>
        <w:position w:val="2"/>
      </w:rPr>
      <w:t>8</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3" w:line="199" w:lineRule="exact"/>
      <w:rPr>
        <w:sz w:val="15"/>
        <w:szCs w:val="15"/>
      </w:rPr>
    </w:pPr>
    <w:r>
      <w:pict>
        <v:shape id="_x0000_s16" style="position:absolute;margin-left:35.716pt;margin-top:70.5511pt;mso-position-vertical-relative:page;mso-position-horizontal-relative:page;width:523.6pt;height:0.4pt;z-index:251661312;" o:allowincell="f" filled="false" strokecolor="#000000" strokeweight="0.40pt" coordsize="10471,8" coordorigin="0,0" path="m0,3l10465,3m5,3l10471,3e">
          <v:stroke joinstyle="miter" miterlimit="10"/>
        </v:shape>
      </w:pict>
    </w:r>
    <w:r>
      <w:rPr>
        <w:sz w:val="15"/>
        <w:szCs w:val="15"/>
        <w:position w:val="2"/>
      </w:rPr>
      <w:t>Medicina</w:t>
    </w:r>
    <w:r>
      <w:rPr>
        <w:sz w:val="15"/>
        <w:szCs w:val="15"/>
        <w:spacing w:val="6"/>
        <w:position w:val="2"/>
      </w:rPr>
      <w:t xml:space="preserve"> </w:t>
    </w:r>
    <w:r>
      <w:rPr>
        <w:sz w:val="15"/>
        <w:szCs w:val="15"/>
        <w:b/>
        <w:bCs/>
        <w:spacing w:val="6"/>
        <w:position w:val="2"/>
      </w:rPr>
      <w:t>2023</w:t>
    </w:r>
    <w:r>
      <w:rPr>
        <w:sz w:val="15"/>
        <w:szCs w:val="15"/>
        <w:spacing w:val="6"/>
        <w:position w:val="2"/>
      </w:rPr>
      <w:t>, 59,</w:t>
    </w:r>
    <w:r>
      <w:rPr>
        <w:sz w:val="15"/>
        <w:szCs w:val="15"/>
        <w:spacing w:val="19"/>
        <w:w w:val="102"/>
        <w:position w:val="2"/>
      </w:rPr>
      <w:t xml:space="preserve"> </w:t>
    </w:r>
    <w:r>
      <w:rPr>
        <w:sz w:val="15"/>
        <w:szCs w:val="15"/>
        <w:spacing w:val="6"/>
        <w:position w:val="2"/>
      </w:rPr>
      <w:t>183</w:t>
    </w:r>
    <w:r>
      <w:rPr>
        <w:sz w:val="15"/>
        <w:szCs w:val="15"/>
        <w:spacing w:val="1"/>
        <w:position w:val="2"/>
      </w:rPr>
      <w:t xml:space="preserve">                     </w:t>
    </w:r>
    <w:r>
      <w:rPr>
        <w:sz w:val="15"/>
        <w:szCs w:val="15"/>
        <w:position w:val="2"/>
      </w:rPr>
      <w:t xml:space="preserve">                                                                                                                                                                                                               </w:t>
    </w:r>
    <w:r>
      <w:rPr>
        <w:sz w:val="15"/>
        <w:szCs w:val="15"/>
        <w:spacing w:val="6"/>
        <w:position w:val="2"/>
      </w:rPr>
      <w:t>5 </w:t>
    </w:r>
    <w:r>
      <w:rPr>
        <w:sz w:val="15"/>
        <w:szCs w:val="15"/>
        <w:position w:val="2"/>
      </w:rPr>
      <w:t>of</w:t>
    </w:r>
    <w:r>
      <w:rPr>
        <w:sz w:val="15"/>
        <w:szCs w:val="15"/>
        <w:spacing w:val="7"/>
        <w:position w:val="2"/>
      </w:rPr>
      <w:t xml:space="preserve"> </w:t>
    </w:r>
    <w:r>
      <w:rPr>
        <w:sz w:val="15"/>
        <w:szCs w:val="15"/>
        <w:spacing w:val="6"/>
        <w:position w:val="2"/>
      </w:rPr>
      <w:t>8</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3" w:line="199" w:lineRule="exact"/>
      <w:rPr>
        <w:sz w:val="15"/>
        <w:szCs w:val="15"/>
      </w:rPr>
    </w:pPr>
    <w:r>
      <w:pict>
        <v:shape id="_x0000_s18" style="position:absolute;margin-left:35.716pt;margin-top:70.5511pt;mso-position-vertical-relative:page;mso-position-horizontal-relative:page;width:523.6pt;height:0.4pt;z-index:251662336;" o:allowincell="f" filled="false" strokecolor="#000000" strokeweight="0.40pt" coordsize="10471,8" coordorigin="0,0" path="m0,3l10465,3m5,3l10471,3e">
          <v:stroke joinstyle="miter" miterlimit="10"/>
        </v:shape>
      </w:pict>
    </w:r>
    <w:r>
      <w:rPr>
        <w:sz w:val="15"/>
        <w:szCs w:val="15"/>
        <w:position w:val="2"/>
      </w:rPr>
      <w:t>Medicina</w:t>
    </w:r>
    <w:r>
      <w:rPr>
        <w:sz w:val="15"/>
        <w:szCs w:val="15"/>
        <w:spacing w:val="6"/>
        <w:position w:val="2"/>
      </w:rPr>
      <w:t xml:space="preserve"> </w:t>
    </w:r>
    <w:r>
      <w:rPr>
        <w:sz w:val="15"/>
        <w:szCs w:val="15"/>
        <w:b/>
        <w:bCs/>
        <w:spacing w:val="6"/>
        <w:position w:val="2"/>
      </w:rPr>
      <w:t>2023</w:t>
    </w:r>
    <w:r>
      <w:rPr>
        <w:sz w:val="15"/>
        <w:szCs w:val="15"/>
        <w:spacing w:val="6"/>
        <w:position w:val="2"/>
      </w:rPr>
      <w:t>, 59,</w:t>
    </w:r>
    <w:r>
      <w:rPr>
        <w:sz w:val="15"/>
        <w:szCs w:val="15"/>
        <w:spacing w:val="16"/>
        <w:w w:val="102"/>
        <w:position w:val="2"/>
      </w:rPr>
      <w:t xml:space="preserve"> </w:t>
    </w:r>
    <w:r>
      <w:rPr>
        <w:sz w:val="15"/>
        <w:szCs w:val="15"/>
        <w:spacing w:val="6"/>
        <w:position w:val="2"/>
      </w:rPr>
      <w:t>183</w:t>
    </w:r>
    <w:r>
      <w:rPr>
        <w:sz w:val="15"/>
        <w:szCs w:val="15"/>
        <w:spacing w:val="1"/>
        <w:position w:val="2"/>
      </w:rPr>
      <w:t xml:space="preserve">                        </w:t>
    </w:r>
    <w:r>
      <w:rPr>
        <w:sz w:val="15"/>
        <w:szCs w:val="15"/>
        <w:position w:val="2"/>
      </w:rPr>
      <w:t xml:space="preserve">                                                                                                                                                                                                            </w:t>
    </w:r>
    <w:r>
      <w:rPr>
        <w:sz w:val="15"/>
        <w:szCs w:val="15"/>
        <w:spacing w:val="6"/>
        <w:position w:val="2"/>
      </w:rPr>
      <w:t>6 </w:t>
    </w:r>
    <w:r>
      <w:rPr>
        <w:sz w:val="15"/>
        <w:szCs w:val="15"/>
        <w:position w:val="2"/>
      </w:rPr>
      <w:t>of</w:t>
    </w:r>
    <w:r>
      <w:rPr>
        <w:sz w:val="15"/>
        <w:szCs w:val="15"/>
        <w:spacing w:val="7"/>
        <w:position w:val="2"/>
      </w:rPr>
      <w:t xml:space="preserve"> </w:t>
    </w:r>
    <w:r>
      <w:rPr>
        <w:sz w:val="15"/>
        <w:szCs w:val="15"/>
        <w:spacing w:val="6"/>
        <w:position w:val="2"/>
      </w:rPr>
      <w:t>8</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3" w:line="199" w:lineRule="exact"/>
      <w:rPr>
        <w:sz w:val="15"/>
        <w:szCs w:val="15"/>
      </w:rPr>
    </w:pPr>
    <w:r>
      <w:pict>
        <v:shape id="_x0000_s24" style="position:absolute;margin-left:35.716pt;margin-top:70.5511pt;mso-position-vertical-relative:page;mso-position-horizontal-relative:page;width:523.6pt;height:0.4pt;z-index:251663360;" o:allowincell="f" filled="false" strokecolor="#000000" strokeweight="0.40pt" coordsize="10471,8" coordorigin="0,0" path="m0,3l10465,3m5,3l10471,3e">
          <v:stroke joinstyle="miter" miterlimit="10"/>
        </v:shape>
      </w:pict>
    </w:r>
    <w:r>
      <w:rPr>
        <w:sz w:val="15"/>
        <w:szCs w:val="15"/>
        <w:position w:val="2"/>
      </w:rPr>
      <w:t>Medicina</w:t>
    </w:r>
    <w:r>
      <w:rPr>
        <w:sz w:val="15"/>
        <w:szCs w:val="15"/>
        <w:spacing w:val="6"/>
        <w:position w:val="2"/>
      </w:rPr>
      <w:t xml:space="preserve"> </w:t>
    </w:r>
    <w:r>
      <w:rPr>
        <w:sz w:val="15"/>
        <w:szCs w:val="15"/>
        <w:b/>
        <w:bCs/>
        <w:spacing w:val="6"/>
        <w:position w:val="2"/>
      </w:rPr>
      <w:t>2023</w:t>
    </w:r>
    <w:r>
      <w:rPr>
        <w:sz w:val="15"/>
        <w:szCs w:val="15"/>
        <w:spacing w:val="6"/>
        <w:position w:val="2"/>
      </w:rPr>
      <w:t>, 59,</w:t>
    </w:r>
    <w:r>
      <w:rPr>
        <w:sz w:val="15"/>
        <w:szCs w:val="15"/>
        <w:spacing w:val="15"/>
        <w:position w:val="2"/>
      </w:rPr>
      <w:t xml:space="preserve"> </w:t>
    </w:r>
    <w:r>
      <w:rPr>
        <w:sz w:val="15"/>
        <w:szCs w:val="15"/>
        <w:spacing w:val="6"/>
        <w:position w:val="2"/>
      </w:rPr>
      <w:t>183</w:t>
    </w:r>
    <w:r>
      <w:rPr>
        <w:sz w:val="15"/>
        <w:szCs w:val="15"/>
        <w:spacing w:val="1"/>
        <w:position w:val="2"/>
      </w:rPr>
      <w:t xml:space="preserve">                          </w:t>
    </w:r>
    <w:r>
      <w:rPr>
        <w:sz w:val="15"/>
        <w:szCs w:val="15"/>
        <w:position w:val="2"/>
      </w:rPr>
      <w:t xml:space="preserve">                                                                                                                                                                                                          </w:t>
    </w:r>
    <w:r>
      <w:rPr>
        <w:sz w:val="15"/>
        <w:szCs w:val="15"/>
        <w:spacing w:val="6"/>
        <w:position w:val="2"/>
      </w:rPr>
      <w:t>7 </w:t>
    </w:r>
    <w:r>
      <w:rPr>
        <w:sz w:val="15"/>
        <w:szCs w:val="15"/>
        <w:position w:val="2"/>
      </w:rPr>
      <w:t>of</w:t>
    </w:r>
    <w:r>
      <w:rPr>
        <w:sz w:val="15"/>
        <w:szCs w:val="15"/>
        <w:spacing w:val="7"/>
        <w:position w:val="2"/>
      </w:rPr>
      <w:t xml:space="preserve"> </w:t>
    </w:r>
    <w:r>
      <w:rPr>
        <w:sz w:val="15"/>
        <w:szCs w:val="15"/>
        <w:spacing w:val="6"/>
        <w:position w:val="2"/>
      </w:rPr>
      <w:t>8</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
      <w:spacing w:before="23" w:line="199" w:lineRule="exact"/>
      <w:rPr>
        <w:sz w:val="15"/>
        <w:szCs w:val="15"/>
      </w:rPr>
    </w:pPr>
    <w:r>
      <w:pict>
        <v:shape id="_x0000_s26" style="position:absolute;margin-left:35.716pt;margin-top:70.5511pt;mso-position-vertical-relative:page;mso-position-horizontal-relative:page;width:523.6pt;height:0.4pt;z-index:251664384;" o:allowincell="f" filled="false" strokecolor="#000000" strokeweight="0.40pt" coordsize="10471,8" coordorigin="0,0" path="m0,3l10465,3m5,3l10471,3e">
          <v:stroke joinstyle="miter" miterlimit="10"/>
        </v:shape>
      </w:pict>
    </w:r>
    <w:r>
      <w:rPr>
        <w:sz w:val="15"/>
        <w:szCs w:val="15"/>
        <w:position w:val="2"/>
      </w:rPr>
      <w:t>Medicina</w:t>
    </w:r>
    <w:r>
      <w:rPr>
        <w:sz w:val="15"/>
        <w:szCs w:val="15"/>
        <w:spacing w:val="6"/>
        <w:position w:val="2"/>
      </w:rPr>
      <w:t xml:space="preserve"> </w:t>
    </w:r>
    <w:r>
      <w:rPr>
        <w:sz w:val="15"/>
        <w:szCs w:val="15"/>
        <w:b/>
        <w:bCs/>
        <w:spacing w:val="6"/>
        <w:position w:val="2"/>
      </w:rPr>
      <w:t>2023</w:t>
    </w:r>
    <w:r>
      <w:rPr>
        <w:sz w:val="15"/>
        <w:szCs w:val="15"/>
        <w:spacing w:val="6"/>
        <w:position w:val="2"/>
      </w:rPr>
      <w:t>, 59,</w:t>
    </w:r>
    <w:r>
      <w:rPr>
        <w:sz w:val="15"/>
        <w:szCs w:val="15"/>
        <w:spacing w:val="17"/>
        <w:position w:val="2"/>
      </w:rPr>
      <w:t xml:space="preserve"> </w:t>
    </w:r>
    <w:r>
      <w:rPr>
        <w:sz w:val="15"/>
        <w:szCs w:val="15"/>
        <w:spacing w:val="6"/>
        <w:position w:val="2"/>
      </w:rPr>
      <w:t>183</w:t>
    </w:r>
    <w:r>
      <w:rPr>
        <w:sz w:val="15"/>
        <w:szCs w:val="15"/>
        <w:spacing w:val="1"/>
        <w:position w:val="2"/>
      </w:rPr>
      <w:t xml:space="preserve">                        </w:t>
    </w:r>
    <w:r>
      <w:rPr>
        <w:sz w:val="15"/>
        <w:szCs w:val="15"/>
        <w:position w:val="2"/>
      </w:rPr>
      <w:t xml:space="preserve">                                                                                                                                                                                                            </w:t>
    </w:r>
    <w:r>
      <w:rPr>
        <w:sz w:val="15"/>
        <w:szCs w:val="15"/>
        <w:spacing w:val="6"/>
        <w:position w:val="2"/>
      </w:rPr>
      <w:t>8 </w:t>
    </w:r>
    <w:r>
      <w:rPr>
        <w:sz w:val="15"/>
        <w:szCs w:val="15"/>
        <w:position w:val="2"/>
      </w:rPr>
      <w:t>of</w:t>
    </w:r>
    <w:r>
      <w:rPr>
        <w:sz w:val="15"/>
        <w:szCs w:val="15"/>
        <w:spacing w:val="7"/>
        <w:position w:val="2"/>
      </w:rPr>
      <w:t xml:space="preserve"> </w:t>
    </w:r>
    <w:r>
      <w:rPr>
        <w:sz w:val="15"/>
        <w:szCs w:val="15"/>
        <w:spacing w:val="6"/>
        <w:position w:val="2"/>
      </w:rPr>
      <w:t>8</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7"/>
      <w:szCs w:val="17"/>
      <w:lang w:val="en-US" w:eastAsia="en-US" w:bidi="ar-SA"/>
    </w:rPr>
  </w:style>
  <w:style w:type="paragraph" w:styleId="TableText">
    <w:name w:val="Table Text"/>
    <w:basedOn w:val="Normal"/>
    <w:semiHidden/>
    <w:qFormat/>
    <w:pPr/>
    <w:rPr>
      <w:rFonts w:ascii="Times New Roman" w:hAnsi="Times New Roman" w:eastAsia="Times New Roman" w:cs="Times New Roman"/>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0" Type="http://schemas.openxmlformats.org/officeDocument/2006/relationships/fontTable" Target="fontTable.xml"/><Relationship Id="rId8" Type="http://schemas.openxmlformats.org/officeDocument/2006/relationships/hyperlink" Target="https://www.mdpi.com" TargetMode="External"/><Relationship Id="rId79" Type="http://schemas.openxmlformats.org/officeDocument/2006/relationships/styles" Target="styles.xml"/><Relationship Id="rId78" Type="http://schemas.openxmlformats.org/officeDocument/2006/relationships/settings" Target="settings.xml"/><Relationship Id="rId77" Type="http://schemas.openxmlformats.org/officeDocument/2006/relationships/hyperlink" Target="http://www.ncbi.nlm.nih.gov/pubmed/31301452" TargetMode="External"/><Relationship Id="rId76" Type="http://schemas.openxmlformats.org/officeDocument/2006/relationships/hyperlink" Target="http://doi.org/10.1016/j.cgh.2019.07.005" TargetMode="External"/><Relationship Id="rId75" Type="http://schemas.openxmlformats.org/officeDocument/2006/relationships/hyperlink" Target="http://www.ncbi.nlm.nih.gov/pubmed/32048751" TargetMode="External"/><Relationship Id="rId74" Type="http://schemas.openxmlformats.org/officeDocument/2006/relationships/hyperlink" Target="http://doi.org/10.1111/apt.15662" TargetMode="External"/><Relationship Id="rId73" Type="http://schemas.openxmlformats.org/officeDocument/2006/relationships/hyperlink" Target="http://www.ncbi.nlm.nih.gov/pubmed/35362902" TargetMode="External"/><Relationship Id="rId72" Type="http://schemas.openxmlformats.org/officeDocument/2006/relationships/hyperlink" Target="http://doi.org/10.1186/s41687-022-00439-w" TargetMode="External"/><Relationship Id="rId71" Type="http://schemas.openxmlformats.org/officeDocument/2006/relationships/hyperlink" Target="http://www.ncbi.nlm.nih.gov/pubmed/18803870" TargetMode="External"/><Relationship Id="rId70" Type="http://schemas.openxmlformats.org/officeDocument/2006/relationships/hyperlink" Target="http://doi.org/10.1186/1477-7525-6-69" TargetMode="External"/><Relationship Id="rId7" Type="http://schemas.openxmlformats.org/officeDocument/2006/relationships/image" Target="media/image5.png"/><Relationship Id="rId69" Type="http://schemas.openxmlformats.org/officeDocument/2006/relationships/hyperlink" Target="http://www.ncbi.nlm.nih.gov/pubmed/35169109" TargetMode="External"/><Relationship Id="rId68" Type="http://schemas.openxmlformats.org/officeDocument/2006/relationships/hyperlink" Target="http://doi.org/10.14309/ajg.0000000000001685" TargetMode="External"/><Relationship Id="rId67" Type="http://schemas.openxmlformats.org/officeDocument/2006/relationships/hyperlink" Target="http://www.ncbi.nlm.nih.gov/pubmed/32319120" TargetMode="External"/><Relationship Id="rId66" Type="http://schemas.openxmlformats.org/officeDocument/2006/relationships/hyperlink" Target="http://doi.org/10.1111/apt.15726" TargetMode="External"/><Relationship Id="rId65" Type="http://schemas.openxmlformats.org/officeDocument/2006/relationships/hyperlink" Target="http://www.ncbi.nlm.nih.gov/pubmed/31667633" TargetMode="External"/><Relationship Id="rId64" Type="http://schemas.openxmlformats.org/officeDocument/2006/relationships/hyperlink" Target="http://doi.org/10.1186/s41687-019-0154-x" TargetMode="External"/><Relationship Id="rId63" Type="http://schemas.openxmlformats.org/officeDocument/2006/relationships/hyperlink" Target="http://www.ncbi.nlm.nih.gov/pubmed/29893516" TargetMode="External"/><Relationship Id="rId62" Type="http://schemas.openxmlformats.org/officeDocument/2006/relationships/hyperlink" Target="http://doi.org/10.17219/acem/68986" TargetMode="External"/><Relationship Id="rId61" Type="http://schemas.openxmlformats.org/officeDocument/2006/relationships/hyperlink" Target="https://www.rand.org/pubs/monograph_reports/MR1269.html" TargetMode="External"/><Relationship Id="rId60" Type="http://schemas.openxmlformats.org/officeDocument/2006/relationships/hyperlink" Target="http://www.ncbi.nlm.nih.gov/pubmed/36029157" TargetMode="External"/><Relationship Id="rId6" Type="http://schemas.openxmlformats.org/officeDocument/2006/relationships/image" Target="media/image4.png"/><Relationship Id="rId59" Type="http://schemas.openxmlformats.org/officeDocument/2006/relationships/hyperlink" Target="http://doi.org/10.1002/ueg2.12283" TargetMode="External"/><Relationship Id="rId58" Type="http://schemas.openxmlformats.org/officeDocument/2006/relationships/hyperlink" Target="https://www.fda.gov/regulatory-information/search-fda-guidance-documents/ulcerative-colitis-clinical-trial-endpoints-guidance-industry" TargetMode="External"/><Relationship Id="rId57" Type="http://schemas.openxmlformats.org/officeDocument/2006/relationships/hyperlink" Target="http://www.ncbi.nlm.nih.gov/pubmed/34998800" TargetMode="External"/><Relationship Id="rId56" Type="http://schemas.openxmlformats.org/officeDocument/2006/relationships/hyperlink" Target="http://doi.org/10.1053/j.gastro.2021.12.284" TargetMode="External"/><Relationship Id="rId55" Type="http://schemas.openxmlformats.org/officeDocument/2006/relationships/hyperlink" Target="http://www.ncbi.nlm.nih.gov/pubmed/31562236" TargetMode="External"/><Relationship Id="rId54" Type="http://schemas.openxmlformats.org/officeDocument/2006/relationships/hyperlink" Target="http://doi.org/10.1136/gutjnl-2019-318484" TargetMode="External"/><Relationship Id="rId53" Type="http://schemas.openxmlformats.org/officeDocument/2006/relationships/hyperlink" Target="http://www.ncbi.nlm.nih.gov/pubmed/34635919" TargetMode="External"/><Relationship Id="rId52" Type="http://schemas.openxmlformats.org/officeDocument/2006/relationships/hyperlink" Target="http://doi.org/10.1093/ecco-jcc/jjab178" TargetMode="External"/><Relationship Id="rId51" Type="http://schemas.openxmlformats.org/officeDocument/2006/relationships/hyperlink" Target="http://www.ncbi.nlm.nih.gov/pubmed/17258735" TargetMode="External"/><Relationship Id="rId50" Type="http://schemas.openxmlformats.org/officeDocument/2006/relationships/hyperlink" Target="http://doi.org/10.1053/j.gastro.2006.12.038" TargetMode="External"/><Relationship Id="rId5" Type="http://schemas.openxmlformats.org/officeDocument/2006/relationships/image" Target="media/image3.jpeg"/><Relationship Id="rId49" Type="http://schemas.openxmlformats.org/officeDocument/2006/relationships/hyperlink" Target="http://www.ncbi.nlm.nih.gov/pubmed/13260656" TargetMode="External"/><Relationship Id="rId48" Type="http://schemas.openxmlformats.org/officeDocument/2006/relationships/hyperlink" Target="http://doi.org/10.1136/bmj.2.4947.1041" TargetMode="External"/><Relationship Id="rId47" Type="http://schemas.openxmlformats.org/officeDocument/2006/relationships/hyperlink" Target="http://www.ncbi.nlm.nih.gov/pubmed/12786629" TargetMode="External"/><Relationship Id="rId46" Type="http://schemas.openxmlformats.org/officeDocument/2006/relationships/hyperlink" Target="http://doi.org/10.1046/j.1365-2036.2003.01589.x" TargetMode="External"/><Relationship Id="rId45" Type="http://schemas.openxmlformats.org/officeDocument/2006/relationships/header" Target="header8.xml"/><Relationship Id="rId44" Type="http://schemas.openxmlformats.org/officeDocument/2006/relationships/hyperlink" Target="http://www.ncbi.nlm.nih.gov/pubmed/3317057" TargetMode="External"/><Relationship Id="rId43" Type="http://schemas.openxmlformats.org/officeDocument/2006/relationships/hyperlink" Target="http://doi.org/10.1056/NEJM198712243172603" TargetMode="External"/><Relationship Id="rId42" Type="http://schemas.openxmlformats.org/officeDocument/2006/relationships/hyperlink" Target="http://www.ncbi.nlm.nih.gov/pubmed/9771402" TargetMode="External"/><Relationship Id="rId41" Type="http://schemas.openxmlformats.org/officeDocument/2006/relationships/hyperlink" Target="http://doi.org/10.1136/gut.43.1.29" TargetMode="External"/><Relationship Id="rId40" Type="http://schemas.openxmlformats.org/officeDocument/2006/relationships/hyperlink" Target="http://www.ncbi.nlm.nih.gov/pubmed/27580684" TargetMode="External"/><Relationship Id="rId4" Type="http://schemas.openxmlformats.org/officeDocument/2006/relationships/image" Target="media/image2.png"/><Relationship Id="rId39" Type="http://schemas.openxmlformats.org/officeDocument/2006/relationships/hyperlink" Target="http://doi.org/10.1038/nrgastro.2016.128" TargetMode="External"/><Relationship Id="rId38" Type="http://schemas.openxmlformats.org/officeDocument/2006/relationships/hyperlink" Target="http://www.ncbi.nlm.nih.gov/pubmed/30576644" TargetMode="External"/><Relationship Id="rId37" Type="http://schemas.openxmlformats.org/officeDocument/2006/relationships/hyperlink" Target="http://doi.org/10.1053/j.gastro.2018.12.009" TargetMode="External"/><Relationship Id="rId36" Type="http://schemas.openxmlformats.org/officeDocument/2006/relationships/header" Target="header7.xml"/><Relationship Id="rId35" Type="http://schemas.openxmlformats.org/officeDocument/2006/relationships/hyperlink" Target="https://www.mdpi.com/article/10.3390/medicina59010183/s1" TargetMode="External"/><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header" Target="header6.xml"/><Relationship Id="rId30" Type="http://schemas.openxmlformats.org/officeDocument/2006/relationships/header" Target="header5.xml"/><Relationship Id="rId3" Type="http://schemas.openxmlformats.org/officeDocument/2006/relationships/image" Target="media/image1.png"/><Relationship Id="rId29" Type="http://schemas.openxmlformats.org/officeDocument/2006/relationships/header" Target="header4.xml"/><Relationship Id="rId28" Type="http://schemas.openxmlformats.org/officeDocument/2006/relationships/header" Target="header3.xml"/><Relationship Id="rId27" Type="http://schemas.openxmlformats.org/officeDocument/2006/relationships/hyperlink" Target="clinicaltrials.gov" TargetMode="External"/><Relationship Id="rId26" Type="http://schemas.openxmlformats.org/officeDocument/2006/relationships/header" Target="header2.xml"/><Relationship Id="rId25" Type="http://schemas.openxmlformats.org/officeDocument/2006/relationships/hyperlink" Target="https://creativecommons.org/licenses/by/4.0/" TargetMode="External"/><Relationship Id="rId24" Type="http://schemas.openxmlformats.org/officeDocument/2006/relationships/image" Target="media/image13.jpeg"/><Relationship Id="rId23" Type="http://schemas.openxmlformats.org/officeDocument/2006/relationships/hyperlink" Target="https://doi.org/10.3390/medicina59010183" TargetMode="External"/><Relationship Id="rId22" Type="http://schemas.openxmlformats.org/officeDocument/2006/relationships/image" Target="https://www.mdpi.com/article/10.3390/medicina59010183?type=check_update&amp;version=3" TargetMode="External"/><Relationship Id="rId21" Type="http://schemas.openxmlformats.org/officeDocument/2006/relationships/image" Target="media/image12.png"/><Relationship Id="rId20" Type="http://schemas.openxmlformats.org/officeDocument/2006/relationships/hyperlink" Target="https://www.mdpi.com/article/10.3390/medicina59010183?type=check_update&amp;version=3" TargetMode="External"/><Relationship Id="rId2" Type="http://schemas.openxmlformats.org/officeDocument/2006/relationships/hyperlink" Target="https://www.mdpi.com/journal/medicina" TargetMode="External"/><Relationship Id="rId19" Type="http://schemas.openxmlformats.org/officeDocument/2006/relationships/image" Target="media/image11.png"/><Relationship Id="rId18" Type="http://schemas.openxmlformats.org/officeDocument/2006/relationships/hyperlink" Target="https://orcid.org/0000-0001-7341-1351" TargetMode="External"/><Relationship Id="rId17" Type="http://schemas.openxmlformats.org/officeDocument/2006/relationships/image" Target="media/image10.png"/><Relationship Id="rId16" Type="http://schemas.openxmlformats.org/officeDocument/2006/relationships/hyperlink" Target="https://orcid.org/0000-0002-0055-958X" TargetMode="External"/><Relationship Id="rId15" Type="http://schemas.openxmlformats.org/officeDocument/2006/relationships/image" Target="media/image9.png"/><Relationship Id="rId14" Type="http://schemas.openxmlformats.org/officeDocument/2006/relationships/hyperlink" Target="https://orcid.org/0000-0003-2634-9668" TargetMode="External"/><Relationship Id="rId13" Type="http://schemas.openxmlformats.org/officeDocument/2006/relationships/image" Target="media/image8.png"/><Relationship Id="rId12" Type="http://schemas.openxmlformats.org/officeDocument/2006/relationships/hyperlink" Target="https://orcid.org/0000-0002-9632-6691" TargetMode="External"/><Relationship Id="rId11" Type="http://schemas.openxmlformats.org/officeDocument/2006/relationships/image" Target="media/image7.png"/><Relationship Id="rId10" Type="http://schemas.openxmlformats.org/officeDocument/2006/relationships/hyperlink" Target="https://orcid.org/0000-0002-9724-054X" TargetMode="Externa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Consensus on Definition of Mild-to-Moderate Ulcerative Colitis Disease Activity in Adult Patients</dc:title>
  <dc:subject>Background and Objectives: At present, there is no consensus definition of mild-to-moderate disease activity in patients with ulcerative colitis. The objective of the present study was to establish a reliable definition of mild-to-moderate disease activity in adult patients with ulcerative colitis. Materials and Methods: Twelve physicians from around the world participated in a virtual consensus meeting on 26 September 2022. All the physicians had expertise in the diagnosis and treatment of inflammatory bowel disease. After a systematic review of the literature and expert opinion, a modified version of the RAND/University of California, Los Angeles appropriateness method was applied. A total of 49 statements were identified and then anonymously rated (on a 9-point scale) as being appropriate (scores of 7 to 9), uncertain (4 to 6) or inappropriate (1 to 3). The survey results were reviewed and amended before a second round of voting. Results: Symptom and endoscopic-based measurements are of prime importance for assessing mild-to-moderate ulcerative colitis activity in clinical trials. The experts considered that clinical activity should be assessed in terms of stool frequency, rectal bleeding and fecal urgency, whereas endoscopic activity should be evaluated with regard to the vascular pattern, bleeding, erosions and ulcers. Fecal calprotectin was considered to be a suitable disease activity marker in mild-to-moderate ulcerative colitis. Lastly, mild-to-moderate ulcerative colitis should not have more than a small impact on the patient’s daily activities. Conclusions: The present recommendations constitute a standardized framework for defining mild-to-moderate disease activity in clinical trials in the field of ulcerative colitis.</dc:subject>
  <dc:creator>Bénédicte Caron, Vipul Jairath, Ferdinando D’Amico, Sameer Al Awadhi, Axel Dignass, Ailsa L. Hart, Taku Kobayashi, Paulo Gustavo Kotze, Fernando Magro, Britta Siegmund, Kristine Paridaens, Silvio Danese and Laurent Peyrin-Biroulet</dc:creator>
  <cp:keywords>ulcerative colitis; mild; moderate; definition; activity</cp:keywords>
  <dcterms:created xsi:type="dcterms:W3CDTF">2023-02-02T14:35:58Z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2025-10-29T09:28:34</vt:filetime>
  </property>
</Properties>
</file>