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ind w:left="504"/>
        <w:spacing w:before="64" w:line="20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中华内科杂志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2023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年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6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月第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62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卷第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6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期   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Chin J Intern Med, June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2023,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Vol.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62,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No.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6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                                                                      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· 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639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·</w:t>
      </w:r>
    </w:p>
    <w:p>
      <w:pPr>
        <w:spacing w:before="349" w:line="181" w:lineRule="auto"/>
        <w:jc w:val="right"/>
        <w:rPr>
          <w:rFonts w:ascii="Microsoft YaHei" w:hAnsi="Microsoft YaHei" w:eastAsia="Microsoft YaHei" w:cs="Microsoft YaHei"/>
          <w:sz w:val="27"/>
          <w:szCs w:val="27"/>
        </w:rPr>
      </w:pP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27"/>
          <w:w w:val="130"/>
        </w:rPr>
        <w:t>·标准与讨论</w:t>
      </w: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27"/>
          <w:w w:val="130"/>
        </w:rPr>
        <w:t>·</w:t>
      </w:r>
    </w:p>
    <w:p>
      <w:pPr>
        <w:ind w:left="504"/>
        <w:spacing w:before="329" w:line="181" w:lineRule="auto"/>
        <w:outlineLvl w:val="0"/>
        <w:rPr>
          <w:rFonts w:ascii="Microsoft YaHei" w:hAnsi="Microsoft YaHei" w:eastAsia="Microsoft YaHei" w:cs="Microsoft YaHei"/>
          <w:sz w:val="41"/>
          <w:szCs w:val="41"/>
        </w:rPr>
      </w:pPr>
      <w:r>
        <w:rPr>
          <w:rFonts w:ascii="Microsoft YaHei" w:hAnsi="Microsoft YaHei" w:eastAsia="Microsoft YaHei" w:cs="Microsoft YaHei"/>
          <w:sz w:val="41"/>
          <w:szCs w:val="41"/>
          <w:color w:val="231F20"/>
          <w:spacing w:val="8"/>
        </w:rPr>
        <w:t>老年人结肠缺血诊治中国专家指导意见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ind w:left="505" w:right="2061" w:firstLine="15"/>
        <w:spacing w:before="86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中华医学会消化病学分会老年消化协作组    国家老年疾病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临床医学研究中心（解放军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总医院）</w:t>
      </w:r>
    </w:p>
    <w:p>
      <w:pPr>
        <w:ind w:left="491" w:right="1910" w:firstLine="1"/>
        <w:spacing w:before="1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通信作者：吴本俨，解放军总医院第二医学中心，北京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100853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Email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：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benyanwu@vip.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sina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.</w:t>
      </w:r>
      <w:r>
        <w:rPr>
          <w:rFonts w:ascii="Arial" w:hAnsi="Arial" w:eastAsia="Arial" w:cs="Arial"/>
          <w:sz w:val="20"/>
          <w:szCs w:val="20"/>
          <w:color w:val="231F20"/>
          <w:spacing w:val="-3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com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；王刚石，国家老年疾病临床医学研究中心（解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放军总医院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  <w:w w:val="69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北京 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100853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Email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：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wanggangshi@hot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mail.com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；杨云生，解放军总医院第一医学中心，北京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100853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</w:t>
      </w:r>
    </w:p>
    <w:p>
      <w:pPr>
        <w:ind w:left="491"/>
        <w:spacing w:before="1" w:line="191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11"/>
        </w:rPr>
        <w:t>Email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：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sunnyddc@plagh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>.org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491" w:right="1978" w:firstLine="289"/>
        <w:spacing w:before="74" w:line="235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【摘要】</w:t>
      </w:r>
      <w:r>
        <w:rPr>
          <w:rFonts w:ascii="SimHei" w:hAnsi="SimHei" w:eastAsia="SimHei" w:cs="SimHei"/>
          <w:sz w:val="17"/>
          <w:szCs w:val="17"/>
          <w:color w:val="231F2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人口老龄化使结肠缺血在临床上更为多见，但关于该病的规范化诊疗依然欠缺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。中华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医学会消化病学分会老年消化协作组、国家老年疾病临床医学研究中心（解放军总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医院）组织有关专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家，借鉴多年的临床诊治经验和近年来国内外临床研究证据，制订了本指导意见，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旨在为临床医师诊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断和治疗结肠缺血性病变提供指导，促进规范化诊治与管理，改善临床结局。</w:t>
      </w:r>
    </w:p>
    <w:p>
      <w:pPr>
        <w:ind w:left="781"/>
        <w:spacing w:before="1" w:line="20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【关键词】</w:t>
      </w:r>
      <w:r>
        <w:rPr>
          <w:rFonts w:ascii="SimHei" w:hAnsi="SimHei" w:eastAsia="SimHei" w:cs="SimHei"/>
          <w:sz w:val="17"/>
          <w:szCs w:val="17"/>
          <w:color w:val="231F20"/>
          <w:spacing w:val="5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结肠炎，缺血性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老年人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诊断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治疗学</w:t>
      </w:r>
    </w:p>
    <w:p>
      <w:pPr>
        <w:ind w:left="850"/>
        <w:spacing w:before="32" w:line="21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4"/>
        </w:rPr>
        <w:t>基金项目：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军队保健科研课题（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12BJZ31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）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493"/>
        <w:spacing w:before="50" w:line="207" w:lineRule="exact"/>
        <w:rPr/>
      </w:pPr>
      <w:r>
        <w:rPr>
          <w:b/>
          <w:bCs/>
          <w:color w:val="231F20"/>
          <w:spacing w:val="4"/>
          <w:position w:val="2"/>
        </w:rPr>
        <w:t>Clinical guideline</w:t>
      </w:r>
      <w:r>
        <w:rPr>
          <w:b/>
          <w:bCs/>
          <w:color w:val="231F20"/>
          <w:spacing w:val="12"/>
          <w:w w:val="102"/>
          <w:position w:val="2"/>
        </w:rPr>
        <w:t xml:space="preserve"> </w:t>
      </w:r>
      <w:r>
        <w:rPr>
          <w:b/>
          <w:bCs/>
          <w:color w:val="231F20"/>
          <w:spacing w:val="4"/>
          <w:position w:val="2"/>
        </w:rPr>
        <w:t>on</w:t>
      </w:r>
      <w:r>
        <w:rPr>
          <w:b/>
          <w:bCs/>
          <w:color w:val="231F20"/>
          <w:spacing w:val="12"/>
          <w:w w:val="102"/>
          <w:position w:val="2"/>
        </w:rPr>
        <w:t xml:space="preserve"> </w:t>
      </w:r>
      <w:r>
        <w:rPr>
          <w:b/>
          <w:bCs/>
          <w:color w:val="231F20"/>
          <w:spacing w:val="4"/>
          <w:position w:val="2"/>
        </w:rPr>
        <w:t>diagnosis and management of colon ischemia</w:t>
      </w:r>
      <w:r>
        <w:rPr>
          <w:b/>
          <w:bCs/>
          <w:color w:val="231F20"/>
          <w:spacing w:val="10"/>
          <w:w w:val="101"/>
          <w:position w:val="2"/>
        </w:rPr>
        <w:t xml:space="preserve"> </w:t>
      </w:r>
      <w:r>
        <w:rPr>
          <w:b/>
          <w:bCs/>
          <w:color w:val="231F20"/>
          <w:spacing w:val="4"/>
          <w:position w:val="2"/>
        </w:rPr>
        <w:t>in</w:t>
      </w:r>
      <w:r>
        <w:rPr>
          <w:b/>
          <w:bCs/>
          <w:color w:val="231F20"/>
          <w:spacing w:val="7"/>
          <w:position w:val="2"/>
        </w:rPr>
        <w:t xml:space="preserve"> </w:t>
      </w:r>
      <w:r>
        <w:rPr>
          <w:b/>
          <w:bCs/>
          <w:color w:val="231F20"/>
          <w:spacing w:val="4"/>
          <w:position w:val="2"/>
        </w:rPr>
        <w:t>the</w:t>
      </w:r>
      <w:r>
        <w:rPr>
          <w:b/>
          <w:bCs/>
          <w:color w:val="231F20"/>
          <w:spacing w:val="12"/>
          <w:w w:val="102"/>
          <w:position w:val="2"/>
        </w:rPr>
        <w:t xml:space="preserve"> </w:t>
      </w:r>
      <w:r>
        <w:rPr>
          <w:b/>
          <w:bCs/>
          <w:color w:val="231F20"/>
          <w:spacing w:val="3"/>
          <w:position w:val="2"/>
        </w:rPr>
        <w:t>elderly</w:t>
      </w:r>
      <w:r>
        <w:rPr>
          <w:b/>
          <w:bCs/>
          <w:color w:val="231F20"/>
          <w:spacing w:val="10"/>
          <w:position w:val="2"/>
        </w:rPr>
        <w:t xml:space="preserve"> </w:t>
      </w:r>
      <w:r>
        <w:rPr>
          <w:b/>
          <w:bCs/>
          <w:color w:val="231F20"/>
          <w:spacing w:val="3"/>
          <w:position w:val="2"/>
        </w:rPr>
        <w:t>in</w:t>
      </w:r>
      <w:r>
        <w:rPr>
          <w:b/>
          <w:bCs/>
          <w:color w:val="231F20"/>
          <w:spacing w:val="13"/>
          <w:position w:val="2"/>
        </w:rPr>
        <w:t xml:space="preserve"> </w:t>
      </w:r>
      <w:r>
        <w:rPr>
          <w:b/>
          <w:bCs/>
          <w:color w:val="231F20"/>
          <w:spacing w:val="3"/>
          <w:position w:val="2"/>
        </w:rPr>
        <w:t>China</w:t>
      </w:r>
    </w:p>
    <w:p>
      <w:pPr>
        <w:pStyle w:val="BodyText"/>
        <w:ind w:left="477" w:right="1974" w:firstLine="18"/>
        <w:spacing w:before="37" w:line="272" w:lineRule="auto"/>
        <w:rPr/>
      </w:pPr>
      <w:r>
        <w:rPr>
          <w:i/>
          <w:iCs/>
          <w:color w:val="231F20"/>
        </w:rPr>
        <w:t>Committee</w:t>
      </w:r>
      <w:r>
        <w:rPr>
          <w:i/>
          <w:iCs/>
          <w:color w:val="231F20"/>
          <w:spacing w:val="10"/>
        </w:rPr>
        <w:t xml:space="preserve">   </w:t>
      </w:r>
      <w:r>
        <w:rPr>
          <w:i/>
          <w:iCs/>
          <w:color w:val="231F20"/>
        </w:rPr>
        <w:t>of</w:t>
      </w:r>
      <w:r>
        <w:rPr>
          <w:i/>
          <w:iCs/>
          <w:color w:val="231F20"/>
          <w:spacing w:val="10"/>
        </w:rPr>
        <w:t xml:space="preserve">   </w:t>
      </w:r>
      <w:r>
        <w:rPr>
          <w:i/>
          <w:iCs/>
          <w:color w:val="231F20"/>
        </w:rPr>
        <w:t>Geriatric</w:t>
      </w:r>
      <w:r>
        <w:rPr>
          <w:i/>
          <w:iCs/>
          <w:color w:val="231F20"/>
          <w:spacing w:val="10"/>
        </w:rPr>
        <w:t xml:space="preserve">    </w:t>
      </w:r>
      <w:r>
        <w:rPr>
          <w:i/>
          <w:iCs/>
          <w:color w:val="231F20"/>
        </w:rPr>
        <w:t>Gastroenterology</w:t>
      </w:r>
      <w:r>
        <w:rPr>
          <w:i/>
          <w:iCs/>
          <w:color w:val="231F20"/>
          <w:spacing w:val="10"/>
        </w:rPr>
        <w:t>,   </w:t>
      </w:r>
      <w:r>
        <w:rPr>
          <w:i/>
          <w:iCs/>
          <w:color w:val="231F20"/>
        </w:rPr>
        <w:t>Chinese</w:t>
      </w:r>
      <w:r>
        <w:rPr>
          <w:i/>
          <w:iCs/>
          <w:color w:val="231F20"/>
          <w:spacing w:val="10"/>
        </w:rPr>
        <w:t xml:space="preserve">   </w:t>
      </w:r>
      <w:r>
        <w:rPr>
          <w:i/>
          <w:iCs/>
          <w:color w:val="231F20"/>
        </w:rPr>
        <w:t>Society</w:t>
      </w:r>
      <w:r>
        <w:rPr>
          <w:i/>
          <w:iCs/>
          <w:color w:val="231F20"/>
          <w:spacing w:val="10"/>
        </w:rPr>
        <w:t xml:space="preserve">   </w:t>
      </w:r>
      <w:r>
        <w:rPr>
          <w:i/>
          <w:iCs/>
          <w:color w:val="231F20"/>
        </w:rPr>
        <w:t>of</w:t>
      </w:r>
      <w:r>
        <w:rPr>
          <w:i/>
          <w:iCs/>
          <w:color w:val="231F20"/>
          <w:spacing w:val="10"/>
        </w:rPr>
        <w:t xml:space="preserve">    </w:t>
      </w:r>
      <w:r>
        <w:rPr>
          <w:i/>
          <w:iCs/>
          <w:color w:val="231F20"/>
        </w:rPr>
        <w:t>Gastroenterology</w:t>
      </w:r>
      <w:r>
        <w:rPr>
          <w:i/>
          <w:iCs/>
          <w:color w:val="231F20"/>
          <w:spacing w:val="10"/>
        </w:rPr>
        <w:t>,   </w:t>
      </w:r>
      <w:r>
        <w:rPr>
          <w:i/>
          <w:iCs/>
          <w:color w:val="231F20"/>
        </w:rPr>
        <w:t>Chinese</w:t>
      </w:r>
      <w:r>
        <w:rPr>
          <w:i/>
          <w:iCs/>
          <w:color w:val="231F20"/>
          <w:spacing w:val="10"/>
        </w:rPr>
        <w:t xml:space="preserve">   </w:t>
      </w:r>
      <w:r>
        <w:rPr>
          <w:i/>
          <w:iCs/>
          <w:color w:val="231F20"/>
        </w:rPr>
        <w:t>Medical</w:t>
      </w:r>
      <w:r>
        <w:rPr>
          <w:i/>
          <w:iCs/>
          <w:color w:val="231F20"/>
          <w:spacing w:val="13"/>
        </w:rPr>
        <w:t xml:space="preserve"> </w:t>
      </w:r>
      <w:r>
        <w:rPr>
          <w:i/>
          <w:iCs/>
          <w:color w:val="231F20"/>
          <w:spacing w:val="4"/>
        </w:rPr>
        <w:t>Association, National</w:t>
      </w:r>
      <w:r>
        <w:rPr>
          <w:i/>
          <w:iCs/>
          <w:color w:val="231F20"/>
          <w:spacing w:val="13"/>
        </w:rPr>
        <w:t xml:space="preserve"> </w:t>
      </w:r>
      <w:r>
        <w:rPr>
          <w:i/>
          <w:iCs/>
          <w:color w:val="231F20"/>
          <w:spacing w:val="4"/>
        </w:rPr>
        <w:t>Clinical Research</w:t>
      </w:r>
      <w:r>
        <w:rPr>
          <w:i/>
          <w:iCs/>
          <w:color w:val="231F20"/>
          <w:spacing w:val="15"/>
        </w:rPr>
        <w:t xml:space="preserve"> </w:t>
      </w:r>
      <w:r>
        <w:rPr>
          <w:i/>
          <w:iCs/>
          <w:color w:val="231F20"/>
          <w:spacing w:val="4"/>
        </w:rPr>
        <w:t>Center</w:t>
      </w:r>
      <w:r>
        <w:rPr>
          <w:i/>
          <w:iCs/>
          <w:color w:val="231F20"/>
          <w:spacing w:val="-25"/>
        </w:rPr>
        <w:t xml:space="preserve"> </w:t>
      </w:r>
      <w:r>
        <w:rPr>
          <w:i/>
          <w:iCs/>
          <w:color w:val="231F20"/>
          <w:spacing w:val="4"/>
        </w:rPr>
        <w:t>for Geriatric Diseases</w:t>
      </w:r>
      <w:r>
        <w:rPr>
          <w:i/>
          <w:iCs/>
          <w:color w:val="231F20"/>
          <w:spacing w:val="13"/>
          <w:w w:val="101"/>
        </w:rPr>
        <w:t xml:space="preserve"> </w:t>
      </w:r>
      <w:r>
        <w:rPr>
          <w:i/>
          <w:iCs/>
          <w:color w:val="231F20"/>
          <w:spacing w:val="4"/>
        </w:rPr>
        <w:t>(Chinese PLA</w:t>
      </w:r>
      <w:r>
        <w:rPr>
          <w:i/>
          <w:iCs/>
          <w:color w:val="231F20"/>
          <w:spacing w:val="15"/>
          <w:w w:val="101"/>
        </w:rPr>
        <w:t xml:space="preserve"> </w:t>
      </w:r>
      <w:r>
        <w:rPr>
          <w:i/>
          <w:iCs/>
          <w:color w:val="231F20"/>
          <w:spacing w:val="4"/>
        </w:rPr>
        <w:t>Gene</w:t>
      </w:r>
      <w:r>
        <w:rPr>
          <w:i/>
          <w:iCs/>
          <w:color w:val="231F20"/>
          <w:spacing w:val="3"/>
        </w:rPr>
        <w:t>ral Hospital)</w:t>
      </w:r>
    </w:p>
    <w:p>
      <w:pPr>
        <w:pStyle w:val="BodyText"/>
        <w:ind w:left="495"/>
        <w:spacing w:before="34" w:line="207" w:lineRule="exact"/>
        <w:rPr/>
      </w:pPr>
      <w:r>
        <w:rPr>
          <w:i/>
          <w:iCs/>
          <w:color w:val="231F20"/>
          <w:spacing w:val="3"/>
          <w:position w:val="2"/>
        </w:rPr>
        <w:t>Corresponding</w:t>
      </w:r>
      <w:r>
        <w:rPr>
          <w:i/>
          <w:iCs/>
          <w:color w:val="231F20"/>
          <w:spacing w:val="28"/>
          <w:w w:val="102"/>
          <w:position w:val="2"/>
        </w:rPr>
        <w:t xml:space="preserve"> </w:t>
      </w:r>
      <w:r>
        <w:rPr>
          <w:i/>
          <w:iCs/>
          <w:color w:val="231F20"/>
          <w:spacing w:val="3"/>
          <w:position w:val="2"/>
        </w:rPr>
        <w:t>authors:</w:t>
      </w:r>
      <w:r>
        <w:rPr>
          <w:i/>
          <w:iCs/>
          <w:color w:val="231F20"/>
          <w:spacing w:val="36"/>
          <w:w w:val="101"/>
          <w:position w:val="2"/>
        </w:rPr>
        <w:t xml:space="preserve"> </w:t>
      </w:r>
      <w:r>
        <w:rPr>
          <w:i/>
          <w:iCs/>
          <w:color w:val="231F20"/>
          <w:spacing w:val="3"/>
          <w:position w:val="2"/>
        </w:rPr>
        <w:t>Wu</w:t>
      </w:r>
      <w:r>
        <w:rPr>
          <w:i/>
          <w:iCs/>
          <w:color w:val="231F20"/>
          <w:spacing w:val="24"/>
          <w:w w:val="101"/>
          <w:position w:val="2"/>
        </w:rPr>
        <w:t xml:space="preserve"> </w:t>
      </w:r>
      <w:r>
        <w:rPr>
          <w:i/>
          <w:iCs/>
          <w:color w:val="231F20"/>
          <w:spacing w:val="3"/>
          <w:position w:val="2"/>
        </w:rPr>
        <w:t>Benyan,</w:t>
      </w:r>
      <w:r>
        <w:rPr>
          <w:i/>
          <w:iCs/>
          <w:color w:val="231F20"/>
          <w:spacing w:val="30"/>
          <w:w w:val="101"/>
          <w:position w:val="2"/>
        </w:rPr>
        <w:t xml:space="preserve"> </w:t>
      </w:r>
      <w:r>
        <w:rPr>
          <w:i/>
          <w:iCs/>
          <w:color w:val="231F20"/>
          <w:spacing w:val="3"/>
          <w:position w:val="2"/>
        </w:rPr>
        <w:t>the</w:t>
      </w:r>
      <w:r>
        <w:rPr>
          <w:i/>
          <w:iCs/>
          <w:color w:val="231F20"/>
          <w:spacing w:val="20"/>
          <w:w w:val="102"/>
          <w:position w:val="2"/>
        </w:rPr>
        <w:t xml:space="preserve"> </w:t>
      </w:r>
      <w:r>
        <w:rPr>
          <w:i/>
          <w:iCs/>
          <w:color w:val="231F20"/>
          <w:spacing w:val="3"/>
          <w:position w:val="2"/>
        </w:rPr>
        <w:t>Second</w:t>
      </w:r>
      <w:r>
        <w:rPr>
          <w:i/>
          <w:iCs/>
          <w:color w:val="231F20"/>
          <w:spacing w:val="22"/>
          <w:w w:val="101"/>
          <w:position w:val="2"/>
        </w:rPr>
        <w:t xml:space="preserve"> </w:t>
      </w:r>
      <w:r>
        <w:rPr>
          <w:i/>
          <w:iCs/>
          <w:color w:val="231F20"/>
          <w:spacing w:val="3"/>
          <w:position w:val="2"/>
        </w:rPr>
        <w:t>Medical</w:t>
      </w:r>
      <w:r>
        <w:rPr>
          <w:i/>
          <w:iCs/>
          <w:color w:val="231F20"/>
          <w:spacing w:val="29"/>
          <w:position w:val="2"/>
        </w:rPr>
        <w:t xml:space="preserve"> </w:t>
      </w:r>
      <w:r>
        <w:rPr>
          <w:i/>
          <w:iCs/>
          <w:color w:val="231F20"/>
          <w:spacing w:val="3"/>
          <w:position w:val="2"/>
        </w:rPr>
        <w:t>Center,</w:t>
      </w:r>
      <w:r>
        <w:rPr>
          <w:i/>
          <w:iCs/>
          <w:color w:val="231F20"/>
          <w:spacing w:val="30"/>
          <w:w w:val="101"/>
          <w:position w:val="2"/>
        </w:rPr>
        <w:t xml:space="preserve"> </w:t>
      </w:r>
      <w:r>
        <w:rPr>
          <w:i/>
          <w:iCs/>
          <w:color w:val="231F20"/>
          <w:spacing w:val="3"/>
          <w:position w:val="2"/>
        </w:rPr>
        <w:t>Chinese</w:t>
      </w:r>
      <w:r>
        <w:rPr>
          <w:i/>
          <w:iCs/>
          <w:color w:val="231F20"/>
          <w:spacing w:val="24"/>
          <w:position w:val="2"/>
        </w:rPr>
        <w:t xml:space="preserve"> </w:t>
      </w:r>
      <w:r>
        <w:rPr>
          <w:i/>
          <w:iCs/>
          <w:color w:val="231F20"/>
          <w:spacing w:val="3"/>
          <w:position w:val="2"/>
        </w:rPr>
        <w:t>PLA</w:t>
      </w:r>
      <w:r>
        <w:rPr>
          <w:i/>
          <w:iCs/>
          <w:color w:val="231F20"/>
          <w:spacing w:val="31"/>
          <w:w w:val="102"/>
          <w:position w:val="2"/>
        </w:rPr>
        <w:t xml:space="preserve"> </w:t>
      </w:r>
      <w:r>
        <w:rPr>
          <w:i/>
          <w:iCs/>
          <w:color w:val="231F20"/>
          <w:spacing w:val="3"/>
          <w:position w:val="2"/>
        </w:rPr>
        <w:t>General</w:t>
      </w:r>
      <w:r>
        <w:rPr>
          <w:i/>
          <w:iCs/>
          <w:color w:val="231F20"/>
          <w:spacing w:val="22"/>
          <w:position w:val="2"/>
        </w:rPr>
        <w:t xml:space="preserve"> </w:t>
      </w:r>
      <w:r>
        <w:rPr>
          <w:i/>
          <w:iCs/>
          <w:color w:val="231F20"/>
          <w:spacing w:val="3"/>
          <w:position w:val="2"/>
        </w:rPr>
        <w:t>H</w:t>
      </w:r>
      <w:r>
        <w:rPr>
          <w:i/>
          <w:iCs/>
          <w:color w:val="231F20"/>
          <w:spacing w:val="2"/>
          <w:position w:val="2"/>
        </w:rPr>
        <w:t>ospital,</w:t>
      </w:r>
      <w:r>
        <w:rPr>
          <w:i/>
          <w:iCs/>
          <w:color w:val="231F20"/>
          <w:spacing w:val="23"/>
          <w:w w:val="101"/>
          <w:position w:val="2"/>
        </w:rPr>
        <w:t xml:space="preserve"> </w:t>
      </w:r>
      <w:r>
        <w:rPr>
          <w:i/>
          <w:iCs/>
          <w:color w:val="231F20"/>
          <w:spacing w:val="2"/>
          <w:position w:val="2"/>
        </w:rPr>
        <w:t>Beijing</w:t>
      </w:r>
    </w:p>
    <w:p>
      <w:pPr>
        <w:pStyle w:val="BodyText"/>
        <w:ind w:left="495" w:right="1971" w:hanging="1"/>
        <w:spacing w:before="37" w:line="272" w:lineRule="auto"/>
        <w:rPr/>
      </w:pPr>
      <w:r>
        <w:rPr>
          <w:i/>
          <w:iCs/>
          <w:color w:val="231F20"/>
          <w:spacing w:val="17"/>
        </w:rPr>
        <w:t>100853,</w:t>
      </w:r>
      <w:r>
        <w:rPr>
          <w:i/>
          <w:iCs/>
          <w:color w:val="231F20"/>
          <w:spacing w:val="41"/>
          <w:w w:val="101"/>
        </w:rPr>
        <w:t xml:space="preserve"> </w:t>
      </w:r>
      <w:r>
        <w:rPr>
          <w:i/>
          <w:iCs/>
          <w:color w:val="231F20"/>
        </w:rPr>
        <w:t>China</w:t>
      </w:r>
      <w:r>
        <w:rPr>
          <w:i/>
          <w:iCs/>
          <w:color w:val="231F20"/>
          <w:spacing w:val="17"/>
        </w:rPr>
        <w:t>,</w:t>
      </w:r>
      <w:r>
        <w:rPr>
          <w:i/>
          <w:iCs/>
          <w:color w:val="231F20"/>
          <w:spacing w:val="29"/>
          <w:w w:val="101"/>
        </w:rPr>
        <w:t xml:space="preserve"> </w:t>
      </w:r>
      <w:r>
        <w:rPr>
          <w:i/>
          <w:iCs/>
          <w:color w:val="231F20"/>
        </w:rPr>
        <w:t>Email</w:t>
      </w:r>
      <w:r>
        <w:rPr>
          <w:i/>
          <w:iCs/>
          <w:color w:val="231F20"/>
          <w:spacing w:val="17"/>
        </w:rPr>
        <w:t>:</w:t>
      </w:r>
      <w:r>
        <w:rPr>
          <w:i/>
          <w:iCs/>
          <w:color w:val="231F20"/>
          <w:spacing w:val="-7"/>
        </w:rPr>
        <w:t xml:space="preserve"> </w:t>
      </w:r>
      <w:r>
        <w:rPr>
          <w:i/>
          <w:iCs/>
          <w:color w:val="231F20"/>
        </w:rPr>
        <w:t>benyanwu</w:t>
      </w:r>
      <w:r>
        <w:rPr>
          <w:i/>
          <w:iCs/>
          <w:color w:val="231F20"/>
          <w:spacing w:val="17"/>
        </w:rPr>
        <w:t>@</w:t>
      </w:r>
      <w:r>
        <w:rPr>
          <w:i/>
          <w:iCs/>
          <w:color w:val="231F20"/>
        </w:rPr>
        <w:t>vip</w:t>
      </w:r>
      <w:r>
        <w:rPr>
          <w:i/>
          <w:iCs/>
          <w:color w:val="231F20"/>
          <w:spacing w:val="17"/>
        </w:rPr>
        <w:t>.</w:t>
      </w:r>
      <w:r>
        <w:rPr>
          <w:i/>
          <w:iCs/>
          <w:color w:val="231F20"/>
          <w:spacing w:val="-14"/>
        </w:rPr>
        <w:t xml:space="preserve"> </w:t>
      </w:r>
      <w:r>
        <w:rPr>
          <w:i/>
          <w:iCs/>
          <w:color w:val="231F20"/>
        </w:rPr>
        <w:t>sina</w:t>
      </w:r>
      <w:r>
        <w:rPr>
          <w:i/>
          <w:iCs/>
          <w:color w:val="231F20"/>
          <w:spacing w:val="17"/>
        </w:rPr>
        <w:t>.</w:t>
      </w:r>
      <w:r>
        <w:rPr>
          <w:i/>
          <w:iCs/>
          <w:color w:val="231F20"/>
          <w:spacing w:val="-6"/>
        </w:rPr>
        <w:t xml:space="preserve"> </w:t>
      </w:r>
      <w:r>
        <w:rPr>
          <w:i/>
          <w:iCs/>
          <w:color w:val="231F20"/>
        </w:rPr>
        <w:t>com</w:t>
      </w:r>
      <w:r>
        <w:rPr>
          <w:i/>
          <w:iCs/>
          <w:color w:val="231F20"/>
          <w:spacing w:val="17"/>
        </w:rPr>
        <w:t>;  </w:t>
      </w:r>
      <w:r>
        <w:rPr>
          <w:i/>
          <w:iCs/>
          <w:color w:val="231F20"/>
        </w:rPr>
        <w:t>Wang  Gangshi</w:t>
      </w:r>
      <w:r>
        <w:rPr>
          <w:i/>
          <w:iCs/>
          <w:color w:val="231F20"/>
          <w:spacing w:val="17"/>
        </w:rPr>
        <w:t>,</w:t>
      </w:r>
      <w:r>
        <w:rPr>
          <w:i/>
          <w:iCs/>
          <w:color w:val="231F20"/>
          <w:spacing w:val="29"/>
          <w:w w:val="101"/>
        </w:rPr>
        <w:t xml:space="preserve"> </w:t>
      </w:r>
      <w:r>
        <w:rPr>
          <w:i/>
          <w:iCs/>
          <w:color w:val="231F20"/>
        </w:rPr>
        <w:t>National</w:t>
      </w:r>
      <w:r>
        <w:rPr>
          <w:i/>
          <w:iCs/>
          <w:color w:val="231F20"/>
          <w:spacing w:val="35"/>
          <w:w w:val="101"/>
        </w:rPr>
        <w:t xml:space="preserve"> </w:t>
      </w:r>
      <w:r>
        <w:rPr>
          <w:i/>
          <w:iCs/>
          <w:color w:val="231F20"/>
        </w:rPr>
        <w:t>Clinical</w:t>
      </w:r>
      <w:r>
        <w:rPr>
          <w:i/>
          <w:iCs/>
          <w:color w:val="231F20"/>
          <w:spacing w:val="28"/>
        </w:rPr>
        <w:t xml:space="preserve"> </w:t>
      </w:r>
      <w:r>
        <w:rPr>
          <w:i/>
          <w:iCs/>
          <w:color w:val="231F20"/>
        </w:rPr>
        <w:t>Research  Center</w:t>
      </w:r>
      <w:r>
        <w:rPr>
          <w:i/>
          <w:iCs/>
          <w:color w:val="231F20"/>
          <w:spacing w:val="17"/>
        </w:rPr>
        <w:t xml:space="preserve"> </w:t>
      </w:r>
      <w:r>
        <w:rPr>
          <w:i/>
          <w:iCs/>
          <w:color w:val="231F20"/>
        </w:rPr>
        <w:t>for </w:t>
      </w:r>
      <w:r>
        <w:rPr>
          <w:i/>
          <w:iCs/>
          <w:color w:val="231F20"/>
        </w:rPr>
        <w:t>Geriatric</w:t>
      </w:r>
      <w:r>
        <w:rPr>
          <w:i/>
          <w:iCs/>
          <w:color w:val="231F20"/>
          <w:spacing w:val="5"/>
        </w:rPr>
        <w:t xml:space="preserve">      </w:t>
      </w:r>
      <w:r>
        <w:rPr>
          <w:i/>
          <w:iCs/>
          <w:color w:val="231F20"/>
        </w:rPr>
        <w:t>Diseases</w:t>
      </w:r>
      <w:r>
        <w:rPr>
          <w:i/>
          <w:iCs/>
          <w:color w:val="231F20"/>
          <w:spacing w:val="5"/>
        </w:rPr>
        <w:t xml:space="preserve">      (</w:t>
      </w:r>
      <w:r>
        <w:rPr>
          <w:i/>
          <w:iCs/>
          <w:color w:val="231F20"/>
        </w:rPr>
        <w:t>Chinese</w:t>
      </w:r>
      <w:r>
        <w:rPr>
          <w:i/>
          <w:iCs/>
          <w:color w:val="231F20"/>
          <w:spacing w:val="5"/>
        </w:rPr>
        <w:t xml:space="preserve">      </w:t>
      </w:r>
      <w:r>
        <w:rPr>
          <w:i/>
          <w:iCs/>
          <w:color w:val="231F20"/>
        </w:rPr>
        <w:t>PLA</w:t>
      </w:r>
      <w:r>
        <w:rPr>
          <w:i/>
          <w:iCs/>
          <w:color w:val="231F20"/>
          <w:spacing w:val="5"/>
        </w:rPr>
        <w:t xml:space="preserve">       </w:t>
      </w:r>
      <w:r>
        <w:rPr>
          <w:i/>
          <w:iCs/>
          <w:color w:val="231F20"/>
        </w:rPr>
        <w:t>General</w:t>
      </w:r>
      <w:r>
        <w:rPr>
          <w:i/>
          <w:iCs/>
          <w:color w:val="231F20"/>
          <w:spacing w:val="5"/>
        </w:rPr>
        <w:t xml:space="preserve">      </w:t>
      </w:r>
      <w:r>
        <w:rPr>
          <w:i/>
          <w:iCs/>
          <w:color w:val="231F20"/>
        </w:rPr>
        <w:t>Hospital</w:t>
      </w:r>
      <w:r>
        <w:rPr>
          <w:i/>
          <w:iCs/>
          <w:color w:val="231F20"/>
          <w:spacing w:val="5"/>
        </w:rPr>
        <w:t>),      </w:t>
      </w:r>
      <w:r>
        <w:rPr>
          <w:i/>
          <w:iCs/>
          <w:color w:val="231F20"/>
        </w:rPr>
        <w:t>Beijing</w:t>
      </w:r>
      <w:r>
        <w:rPr>
          <w:i/>
          <w:iCs/>
          <w:color w:val="231F20"/>
          <w:spacing w:val="5"/>
        </w:rPr>
        <w:t xml:space="preserve">      </w:t>
      </w:r>
      <w:r>
        <w:rPr>
          <w:i/>
          <w:iCs/>
          <w:color w:val="231F20"/>
          <w:spacing w:val="4"/>
        </w:rPr>
        <w:t>100853,      </w:t>
      </w:r>
      <w:r>
        <w:rPr>
          <w:i/>
          <w:iCs/>
          <w:color w:val="231F20"/>
        </w:rPr>
        <w:t>China</w:t>
      </w:r>
      <w:r>
        <w:rPr>
          <w:i/>
          <w:iCs/>
          <w:color w:val="231F20"/>
          <w:spacing w:val="4"/>
        </w:rPr>
        <w:t>,       </w:t>
      </w:r>
      <w:r>
        <w:rPr>
          <w:i/>
          <w:iCs/>
          <w:color w:val="231F20"/>
        </w:rPr>
        <w:t>Email</w:t>
      </w:r>
      <w:r>
        <w:rPr>
          <w:i/>
          <w:iCs/>
          <w:color w:val="231F20"/>
          <w:spacing w:val="4"/>
        </w:rPr>
        <w:t>:</w:t>
      </w:r>
    </w:p>
    <w:p>
      <w:pPr>
        <w:pStyle w:val="BodyText"/>
        <w:ind w:left="494"/>
        <w:spacing w:before="33" w:line="207" w:lineRule="exact"/>
        <w:rPr/>
      </w:pPr>
      <w:r>
        <w:rPr>
          <w:i/>
          <w:iCs/>
          <w:color w:val="231F20"/>
          <w:spacing w:val="3"/>
          <w:position w:val="2"/>
        </w:rPr>
        <w:t>wanggangshi@hotmail. com;  Yang  Yunsheng,  the  Fi</w:t>
      </w:r>
      <w:r>
        <w:rPr>
          <w:i/>
          <w:iCs/>
          <w:color w:val="231F20"/>
          <w:spacing w:val="2"/>
          <w:position w:val="2"/>
        </w:rPr>
        <w:t>rst</w:t>
      </w:r>
      <w:r>
        <w:rPr>
          <w:i/>
          <w:iCs/>
          <w:color w:val="231F20"/>
          <w:spacing w:val="27"/>
          <w:position w:val="2"/>
        </w:rPr>
        <w:t xml:space="preserve"> </w:t>
      </w:r>
      <w:r>
        <w:rPr>
          <w:i/>
          <w:iCs/>
          <w:color w:val="231F20"/>
          <w:spacing w:val="2"/>
          <w:position w:val="2"/>
        </w:rPr>
        <w:t>Medical</w:t>
      </w:r>
      <w:r>
        <w:rPr>
          <w:i/>
          <w:iCs/>
          <w:color w:val="231F20"/>
          <w:position w:val="2"/>
        </w:rPr>
        <w:t xml:space="preserve">  </w:t>
      </w:r>
      <w:r>
        <w:rPr>
          <w:i/>
          <w:iCs/>
          <w:color w:val="231F20"/>
          <w:spacing w:val="2"/>
          <w:position w:val="2"/>
        </w:rPr>
        <w:t>Center,  Chinese</w:t>
      </w:r>
      <w:r>
        <w:rPr>
          <w:i/>
          <w:iCs/>
          <w:color w:val="231F20"/>
          <w:spacing w:val="34"/>
          <w:w w:val="102"/>
          <w:position w:val="2"/>
        </w:rPr>
        <w:t xml:space="preserve"> </w:t>
      </w:r>
      <w:r>
        <w:rPr>
          <w:i/>
          <w:iCs/>
          <w:color w:val="231F20"/>
          <w:spacing w:val="2"/>
          <w:position w:val="2"/>
        </w:rPr>
        <w:t>PLA  General</w:t>
      </w:r>
      <w:r>
        <w:rPr>
          <w:i/>
          <w:iCs/>
          <w:color w:val="231F20"/>
          <w:spacing w:val="31"/>
          <w:w w:val="102"/>
          <w:position w:val="2"/>
        </w:rPr>
        <w:t xml:space="preserve"> </w:t>
      </w:r>
      <w:r>
        <w:rPr>
          <w:i/>
          <w:iCs/>
          <w:color w:val="231F20"/>
          <w:spacing w:val="2"/>
          <w:position w:val="2"/>
        </w:rPr>
        <w:t>Hospital,</w:t>
      </w:r>
    </w:p>
    <w:p>
      <w:pPr>
        <w:pStyle w:val="BodyText"/>
        <w:ind w:left="488"/>
        <w:spacing w:before="36" w:line="207" w:lineRule="exact"/>
        <w:rPr/>
      </w:pPr>
      <w:r>
        <w:rPr>
          <w:i/>
          <w:iCs/>
          <w:color w:val="231F20"/>
          <w:position w:val="2"/>
        </w:rPr>
        <w:t>Beijing</w:t>
      </w:r>
      <w:r>
        <w:rPr>
          <w:i/>
          <w:iCs/>
          <w:color w:val="231F20"/>
          <w:spacing w:val="19"/>
          <w:w w:val="102"/>
          <w:position w:val="2"/>
        </w:rPr>
        <w:t xml:space="preserve"> </w:t>
      </w:r>
      <w:r>
        <w:rPr>
          <w:i/>
          <w:iCs/>
          <w:color w:val="231F20"/>
          <w:spacing w:val="13"/>
          <w:position w:val="2"/>
        </w:rPr>
        <w:t>100853,</w:t>
      </w:r>
      <w:r>
        <w:rPr>
          <w:i/>
          <w:iCs/>
          <w:color w:val="231F20"/>
          <w:spacing w:val="13"/>
          <w:w w:val="102"/>
          <w:position w:val="2"/>
        </w:rPr>
        <w:t xml:space="preserve"> </w:t>
      </w:r>
      <w:r>
        <w:rPr>
          <w:i/>
          <w:iCs/>
          <w:color w:val="231F20"/>
          <w:position w:val="2"/>
        </w:rPr>
        <w:t>China</w:t>
      </w:r>
      <w:r>
        <w:rPr>
          <w:i/>
          <w:iCs/>
          <w:color w:val="231F20"/>
          <w:spacing w:val="13"/>
          <w:position w:val="2"/>
        </w:rPr>
        <w:t>, </w:t>
      </w:r>
      <w:r>
        <w:rPr>
          <w:i/>
          <w:iCs/>
          <w:color w:val="231F20"/>
          <w:position w:val="2"/>
        </w:rPr>
        <w:t>Email</w:t>
      </w:r>
      <w:r>
        <w:rPr>
          <w:i/>
          <w:iCs/>
          <w:color w:val="231F20"/>
          <w:spacing w:val="13"/>
          <w:position w:val="2"/>
        </w:rPr>
        <w:t>: </w:t>
      </w:r>
      <w:r>
        <w:rPr>
          <w:i/>
          <w:iCs/>
          <w:color w:val="231F20"/>
          <w:position w:val="2"/>
        </w:rPr>
        <w:t>sunnyddc</w:t>
      </w:r>
      <w:r>
        <w:rPr>
          <w:i/>
          <w:iCs/>
          <w:color w:val="231F20"/>
          <w:spacing w:val="13"/>
          <w:position w:val="2"/>
        </w:rPr>
        <w:t>@</w:t>
      </w:r>
      <w:r>
        <w:rPr>
          <w:i/>
          <w:iCs/>
          <w:color w:val="231F20"/>
          <w:position w:val="2"/>
        </w:rPr>
        <w:t>plagh</w:t>
      </w:r>
      <w:r>
        <w:rPr>
          <w:i/>
          <w:iCs/>
          <w:color w:val="231F20"/>
          <w:spacing w:val="13"/>
          <w:position w:val="2"/>
        </w:rPr>
        <w:t>.</w:t>
      </w:r>
      <w:r>
        <w:rPr>
          <w:i/>
          <w:iCs/>
          <w:color w:val="231F20"/>
          <w:position w:val="2"/>
        </w:rPr>
        <w:t>org</w:t>
      </w:r>
    </w:p>
    <w:p>
      <w:pPr>
        <w:pStyle w:val="BodyText"/>
        <w:ind w:left="491" w:right="1977" w:firstLine="348"/>
        <w:spacing w:before="38" w:line="269" w:lineRule="auto"/>
        <w:jc w:val="both"/>
        <w:rPr/>
      </w:pPr>
      <w:r>
        <w:rPr>
          <w:rFonts w:ascii="Microsoft YaHei" w:hAnsi="Microsoft YaHei" w:eastAsia="Microsoft YaHei" w:cs="Microsoft YaHei"/>
          <w:color w:val="231F20"/>
          <w:spacing w:val="3"/>
        </w:rPr>
        <w:t>【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b/>
          <w:bCs/>
          <w:color w:val="231F20"/>
          <w:spacing w:val="3"/>
        </w:rPr>
        <w:t>Abstract </w:t>
      </w:r>
      <w:r>
        <w:rPr>
          <w:rFonts w:ascii="Microsoft YaHei" w:hAnsi="Microsoft YaHei" w:eastAsia="Microsoft YaHei" w:cs="Microsoft YaHei"/>
          <w:color w:val="231F20"/>
          <w:spacing w:val="3"/>
        </w:rPr>
        <w:t>】   </w:t>
      </w:r>
      <w:r>
        <w:rPr>
          <w:color w:val="231F20"/>
          <w:spacing w:val="3"/>
        </w:rPr>
        <w:t>Colon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ischemia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3"/>
        </w:rPr>
        <w:t>relatively  common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aging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popul</w:t>
      </w:r>
      <w:r>
        <w:rPr>
          <w:color w:val="231F20"/>
          <w:spacing w:val="2"/>
        </w:rPr>
        <w:t>ation,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but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standardized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diagnosis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treatment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3"/>
        </w:rPr>
        <w:t>recommendations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this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3"/>
        </w:rPr>
        <w:t>disease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still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lacking.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3"/>
        </w:rPr>
        <w:t>board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3"/>
        </w:rPr>
        <w:t>experts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was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convened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by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the  Committee  of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Geriatric  Gastroenterology,  Chines</w:t>
      </w:r>
      <w:r>
        <w:rPr>
          <w:color w:val="231F20"/>
          <w:spacing w:val="2"/>
        </w:rPr>
        <w:t>e  Society  of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2"/>
        </w:rPr>
        <w:t>Gastroenterology,  to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discuss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elaborate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on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3"/>
        </w:rPr>
        <w:t>guideline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3"/>
        </w:rPr>
        <w:t>colon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ischemia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management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3"/>
        </w:rPr>
        <w:t>in 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elderly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China</w:t>
      </w:r>
      <w:r>
        <w:rPr>
          <w:color w:val="231F20"/>
          <w:spacing w:val="2"/>
        </w:rPr>
        <w:t xml:space="preserve"> based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its  experts’  experienc</w:t>
      </w:r>
      <w:r>
        <w:rPr>
          <w:color w:val="231F20"/>
          <w:spacing w:val="3"/>
        </w:rPr>
        <w:t>e  during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clinical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practice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and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recent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remarkable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global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progress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regarding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colon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ischemia.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purpose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this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g</w:t>
      </w:r>
      <w:r>
        <w:rPr>
          <w:color w:val="231F20"/>
          <w:spacing w:val="3"/>
        </w:rPr>
        <w:t>uideline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establish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standardized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3"/>
        </w:rPr>
        <w:t>management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colonic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ischemia lesions in </w:t>
      </w:r>
      <w:r>
        <w:rPr>
          <w:color w:val="231F20"/>
          <w:spacing w:val="3"/>
        </w:rPr>
        <w:t>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elderly and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3"/>
        </w:rPr>
        <w:t>improve their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clinical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outcomes.</w:t>
      </w:r>
    </w:p>
    <w:p>
      <w:pPr>
        <w:pStyle w:val="BodyText"/>
        <w:ind w:left="839"/>
        <w:spacing w:before="33" w:line="200" w:lineRule="auto"/>
        <w:rPr/>
      </w:pPr>
      <w:r>
        <w:rPr>
          <w:rFonts w:ascii="Microsoft YaHei" w:hAnsi="Microsoft YaHei" w:eastAsia="Microsoft YaHei" w:cs="Microsoft YaHei"/>
          <w:color w:val="231F20"/>
          <w:spacing w:val="11"/>
        </w:rPr>
        <w:t>【</w:t>
      </w:r>
      <w:r>
        <w:rPr>
          <w:b/>
          <w:bCs/>
          <w:color w:val="231F20"/>
        </w:rPr>
        <w:t>Key</w:t>
      </w:r>
      <w:r>
        <w:rPr>
          <w:b/>
          <w:bCs/>
          <w:color w:val="231F20"/>
          <w:spacing w:val="11"/>
        </w:rPr>
        <w:t xml:space="preserve"> </w:t>
      </w:r>
      <w:r>
        <w:rPr>
          <w:b/>
          <w:bCs/>
          <w:color w:val="231F20"/>
        </w:rPr>
        <w:t>words</w:t>
      </w:r>
      <w:r>
        <w:rPr>
          <w:rFonts w:ascii="Microsoft YaHei" w:hAnsi="Microsoft YaHei" w:eastAsia="Microsoft YaHei" w:cs="Microsoft YaHei"/>
          <w:color w:val="231F20"/>
          <w:spacing w:val="11"/>
        </w:rPr>
        <w:t>】</w:t>
      </w:r>
      <w:r>
        <w:rPr>
          <w:rFonts w:ascii="Microsoft YaHei" w:hAnsi="Microsoft YaHei" w:eastAsia="Microsoft YaHei" w:cs="Microsoft YaHei"/>
          <w:color w:val="231F20"/>
        </w:rPr>
        <w:t xml:space="preserve">    </w:t>
      </w:r>
      <w:r>
        <w:rPr>
          <w:color w:val="231F20"/>
        </w:rPr>
        <w:t>Colitis</w:t>
      </w:r>
      <w:r>
        <w:rPr>
          <w:color w:val="231F20"/>
          <w:spacing w:val="11"/>
        </w:rPr>
        <w:t>, </w:t>
      </w:r>
      <w:r>
        <w:rPr>
          <w:color w:val="231F20"/>
        </w:rPr>
        <w:t>ischemic</w:t>
      </w:r>
      <w:r>
        <w:rPr>
          <w:color w:val="231F20"/>
          <w:spacing w:val="11"/>
        </w:rPr>
        <w:t>;    </w:t>
      </w:r>
      <w:r>
        <w:rPr>
          <w:color w:val="231F20"/>
        </w:rPr>
        <w:t>Aged</w:t>
      </w:r>
      <w:r>
        <w:rPr>
          <w:color w:val="231F20"/>
          <w:spacing w:val="11"/>
        </w:rPr>
        <w:t>;     </w:t>
      </w:r>
      <w:r>
        <w:rPr>
          <w:color w:val="231F20"/>
        </w:rPr>
        <w:t>Diagnosis</w:t>
      </w:r>
      <w:r>
        <w:rPr>
          <w:color w:val="231F20"/>
          <w:spacing w:val="11"/>
        </w:rPr>
        <w:t>;     </w:t>
      </w:r>
      <w:r>
        <w:rPr>
          <w:color w:val="231F20"/>
        </w:rPr>
        <w:t>Therapeutics</w:t>
      </w:r>
    </w:p>
    <w:p>
      <w:pPr>
        <w:pStyle w:val="BodyText"/>
        <w:ind w:left="897"/>
        <w:spacing w:line="207" w:lineRule="exact"/>
        <w:rPr/>
      </w:pPr>
      <w:r>
        <w:rPr>
          <w:b/>
          <w:bCs/>
          <w:color w:val="231F20"/>
          <w:position w:val="2"/>
        </w:rPr>
        <w:t>Fund</w:t>
      </w:r>
      <w:r>
        <w:rPr>
          <w:b/>
          <w:bCs/>
          <w:color w:val="231F20"/>
          <w:spacing w:val="18"/>
          <w:position w:val="2"/>
        </w:rPr>
        <w:t xml:space="preserve"> </w:t>
      </w:r>
      <w:r>
        <w:rPr>
          <w:b/>
          <w:bCs/>
          <w:color w:val="231F20"/>
          <w:position w:val="2"/>
        </w:rPr>
        <w:t>program</w:t>
      </w:r>
      <w:r>
        <w:rPr>
          <w:b/>
          <w:bCs/>
          <w:color w:val="231F20"/>
          <w:spacing w:val="18"/>
          <w:position w:val="2"/>
        </w:rPr>
        <w:t>:</w:t>
      </w:r>
      <w:r>
        <w:rPr>
          <w:b/>
          <w:bCs/>
          <w:color w:val="231F20"/>
          <w:spacing w:val="21"/>
          <w:w w:val="101"/>
          <w:position w:val="2"/>
        </w:rPr>
        <w:t xml:space="preserve"> </w:t>
      </w:r>
      <w:r>
        <w:rPr>
          <w:color w:val="231F20"/>
          <w:position w:val="2"/>
        </w:rPr>
        <w:t>Healthcare</w:t>
      </w:r>
      <w:r>
        <w:rPr>
          <w:color w:val="231F20"/>
          <w:spacing w:val="14"/>
          <w:w w:val="101"/>
          <w:position w:val="2"/>
        </w:rPr>
        <w:t xml:space="preserve"> </w:t>
      </w:r>
      <w:r>
        <w:rPr>
          <w:color w:val="231F20"/>
          <w:position w:val="2"/>
        </w:rPr>
        <w:t>Research</w:t>
      </w:r>
      <w:r>
        <w:rPr>
          <w:color w:val="231F20"/>
          <w:spacing w:val="14"/>
          <w:w w:val="102"/>
          <w:position w:val="2"/>
        </w:rPr>
        <w:t xml:space="preserve"> </w:t>
      </w:r>
      <w:r>
        <w:rPr>
          <w:color w:val="231F20"/>
          <w:position w:val="2"/>
        </w:rPr>
        <w:t>Projects</w:t>
      </w:r>
      <w:r>
        <w:rPr>
          <w:color w:val="231F20"/>
          <w:spacing w:val="18"/>
          <w:position w:val="2"/>
        </w:rPr>
        <w:t>,</w:t>
      </w:r>
      <w:r>
        <w:rPr>
          <w:color w:val="231F20"/>
          <w:spacing w:val="13"/>
          <w:position w:val="2"/>
        </w:rPr>
        <w:t xml:space="preserve"> </w:t>
      </w:r>
      <w:r>
        <w:rPr>
          <w:color w:val="231F20"/>
          <w:position w:val="2"/>
        </w:rPr>
        <w:t>China</w:t>
      </w:r>
      <w:r>
        <w:rPr>
          <w:color w:val="231F20"/>
          <w:spacing w:val="14"/>
          <w:w w:val="101"/>
          <w:position w:val="2"/>
        </w:rPr>
        <w:t xml:space="preserve"> </w:t>
      </w:r>
      <w:r>
        <w:rPr>
          <w:color w:val="231F20"/>
          <w:position w:val="2"/>
        </w:rPr>
        <w:t>PLA</w:t>
      </w:r>
      <w:r>
        <w:rPr>
          <w:color w:val="231F20"/>
          <w:spacing w:val="20"/>
          <w:w w:val="101"/>
          <w:position w:val="2"/>
        </w:rPr>
        <w:t xml:space="preserve"> </w:t>
      </w:r>
      <w:r>
        <w:rPr>
          <w:color w:val="231F20"/>
          <w:spacing w:val="18"/>
          <w:position w:val="2"/>
        </w:rPr>
        <w:t>(12</w:t>
      </w:r>
      <w:r>
        <w:rPr>
          <w:color w:val="231F20"/>
          <w:position w:val="2"/>
        </w:rPr>
        <w:t>BJZ</w:t>
      </w:r>
      <w:r>
        <w:rPr>
          <w:color w:val="231F20"/>
          <w:spacing w:val="18"/>
          <w:position w:val="2"/>
        </w:rPr>
        <w:t>31)</w:t>
      </w:r>
    </w:p>
    <w:p>
      <w:pPr>
        <w:spacing w:before="188"/>
        <w:rPr/>
      </w:pPr>
      <w:r/>
    </w:p>
    <w:p>
      <w:pPr>
        <w:sectPr>
          <w:headerReference w:type="default" r:id="rId1"/>
          <w:pgSz w:w="12246" w:h="16498"/>
          <w:pgMar w:top="400" w:right="1217" w:bottom="0" w:left="819" w:header="0" w:footer="0" w:gutter="0"/>
          <w:cols w:equalWidth="0" w:num="1">
            <w:col w:w="10208" w:space="0"/>
          </w:cols>
        </w:sectPr>
        <w:rPr/>
      </w:pPr>
    </w:p>
    <w:p>
      <w:pPr>
        <w:ind w:left="490" w:right="473" w:firstLine="417"/>
        <w:spacing w:before="48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4" style="position:absolute;margin-left:24.4849pt;margin-top:87.0869pt;mso-position-vertical-relative:text;mso-position-horizontal-relative:text;width:399.15pt;height:0.3pt;z-index:251661312;" filled="false" strokecolor="#231F20" strokeweight="0.28pt" coordsize="7982,6" coordorigin="0,0" path="m0,2l7982,2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第七次全国人口普查数据显示，我国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60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岁及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以上人口占总人口的 </w:t>
      </w:r>
      <w:r>
        <w:rPr>
          <w:rFonts w:ascii="Arial" w:hAnsi="Arial" w:eastAsia="Arial" w:cs="Arial"/>
          <w:sz w:val="20"/>
          <w:szCs w:val="20"/>
          <w:color w:val="231F20"/>
        </w:rPr>
        <w:t>18.7%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，其中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65</w:t>
      </w:r>
      <w:r>
        <w:rPr>
          <w:rFonts w:ascii="Arial" w:hAnsi="Arial" w:eastAsia="Arial" w:cs="Arial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岁及以上人口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占 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13.5%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5"/>
          <w:position w:val="8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  <w:w w:val="5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人口老龄化程度进一步加深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。老年人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群动脉硬化性疾病、糖尿病、高血压病的患病率增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加，使得老年缺血性肠病在临床更为多见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。缺血性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0"/>
        <w:spacing w:before="46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6" style="position:absolute;margin-left:158.512pt;margin-top:101.339pt;mso-position-vertical-relative:text;mso-position-horizontal-relative:text;width:68.2pt;height:68.25pt;z-index:251660288;" filled="false" strokecolor="#231F20" strokeweight="0.25pt" coordsize="1363,1365" coordorigin="0,0" path="m,l0,1364l1363,1364l1363,0l0,0e">
            <v:stroke joinstyle="miter" miterlimit="0"/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2012429</wp:posOffset>
            </wp:positionH>
            <wp:positionV relativeFrom="paragraph">
              <wp:posOffset>1286325</wp:posOffset>
            </wp:positionV>
            <wp:extent cx="863993" cy="86489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3993" cy="86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肠病分为急性肠系膜缺血、慢性肠系膜缺血和缺血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性结肠炎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由于不同类型的缺血性肠病在诊断、治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疗方案以及预后方面有明显不同，因此，针对缺血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性肠病的早期诊断、精准治疗十分重要，对于改善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患者临床结局，提高老年人的健康水平意义深远。</w:t>
      </w:r>
    </w:p>
    <w:p>
      <w:pPr>
        <w:spacing w:line="220" w:lineRule="auto"/>
        <w:sectPr>
          <w:type w:val="continuous"/>
          <w:pgSz w:w="12246" w:h="16498"/>
          <w:pgMar w:top="400" w:right="1217" w:bottom="0" w:left="819" w:header="0" w:footer="0" w:gutter="0"/>
          <w:cols w:equalWidth="0" w:num="2">
            <w:col w:w="5491" w:space="100"/>
            <w:col w:w="4618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369" w:lineRule="auto"/>
        <w:rPr>
          <w:rFonts w:ascii="Arial"/>
          <w:sz w:val="21"/>
        </w:rPr>
      </w:pPr>
      <w:r/>
    </w:p>
    <w:p>
      <w:pPr>
        <w:ind w:left="495" w:right="6015" w:hanging="4"/>
        <w:spacing w:before="73" w:line="23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3"/>
        </w:rPr>
        <w:t>DOI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：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10.3760/cma.j.cn112138-20220601-00421</w:t>
      </w:r>
      <w:r>
        <w:rPr>
          <w:rFonts w:ascii="Arial" w:hAnsi="Arial" w:eastAsia="Arial" w:cs="Arial"/>
          <w:sz w:val="17"/>
          <w:szCs w:val="17"/>
          <w:color w:val="231F20"/>
          <w:spacing w:val="3"/>
        </w:rPr>
        <w:t xml:space="preserve">   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收稿日期</w:t>
      </w:r>
      <w:r>
        <w:rPr>
          <w:rFonts w:ascii="SimHei" w:hAnsi="SimHei" w:eastAsia="SimHei" w:cs="SimHei"/>
          <w:sz w:val="17"/>
          <w:szCs w:val="17"/>
          <w:color w:val="231F20"/>
          <w:spacing w:val="5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5"/>
        </w:rPr>
        <w:t>2022-06-01         </w:t>
      </w:r>
      <w:r>
        <w:rPr>
          <w:rFonts w:ascii="Arial" w:hAnsi="Arial" w:eastAsia="Arial" w:cs="Arial"/>
          <w:sz w:val="17"/>
          <w:szCs w:val="17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本文编辑</w:t>
      </w:r>
      <w:r>
        <w:rPr>
          <w:rFonts w:ascii="SimHei" w:hAnsi="SimHei" w:eastAsia="SimHei" w:cs="SimHei"/>
          <w:sz w:val="17"/>
          <w:szCs w:val="17"/>
          <w:color w:val="231F20"/>
          <w:spacing w:val="5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刘雪松</w:t>
      </w:r>
    </w:p>
    <w:p>
      <w:pPr>
        <w:ind w:left="504" w:right="1738"/>
        <w:spacing w:before="1"/>
        <w:rPr>
          <w:rFonts w:ascii="Arial" w:hAnsi="Arial" w:eastAsia="Arial" w:cs="Arial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>引用本文：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中华医学会消化病学分会老年消化协作组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1"/>
        </w:rPr>
        <w:t>,</w:t>
      </w:r>
      <w:r>
        <w:rPr>
          <w:rFonts w:ascii="Arial" w:hAnsi="Arial" w:eastAsia="Arial" w:cs="Arial"/>
          <w:sz w:val="17"/>
          <w:szCs w:val="17"/>
          <w:color w:val="231F20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国家老年疾病临床医学研究中心（解放军总医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院）</w:t>
      </w:r>
      <w:r>
        <w:rPr>
          <w:rFonts w:ascii="Arial" w:hAnsi="Arial" w:eastAsia="Arial" w:cs="Arial"/>
          <w:sz w:val="17"/>
          <w:szCs w:val="17"/>
          <w:color w:val="231F20"/>
        </w:rPr>
        <w:t>.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老年人结肠缺血诊治中国专家指导意见</w:t>
      </w:r>
      <w:r>
        <w:rPr>
          <w:rFonts w:ascii="Arial" w:hAnsi="Arial" w:eastAsia="Arial" w:cs="Arial"/>
          <w:sz w:val="17"/>
          <w:szCs w:val="17"/>
          <w:color w:val="231F20"/>
        </w:rPr>
        <w:t>[J].</w:t>
      </w:r>
      <w:r>
        <w:rPr>
          <w:rFonts w:ascii="Arial" w:hAnsi="Arial" w:eastAsia="Arial" w:cs="Arial"/>
          <w:sz w:val="17"/>
          <w:szCs w:val="17"/>
          <w:color w:val="231F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中华内科杂志</w:t>
      </w:r>
      <w:r>
        <w:rPr>
          <w:rFonts w:ascii="Arial" w:hAnsi="Arial" w:eastAsia="Arial" w:cs="Arial"/>
          <w:sz w:val="17"/>
          <w:szCs w:val="17"/>
          <w:color w:val="231F20"/>
        </w:rPr>
        <w:t>, 2023, 62(6): 639-646. DOI:</w:t>
      </w:r>
      <w:r>
        <w:rPr>
          <w:rFonts w:ascii="Arial" w:hAnsi="Arial" w:eastAsia="Arial" w:cs="Arial"/>
          <w:sz w:val="17"/>
          <w:szCs w:val="17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10.3760/cma.j.</w:t>
      </w:r>
    </w:p>
    <w:p>
      <w:pPr>
        <w:ind w:left="494"/>
        <w:spacing w:before="10" w:line="214" w:lineRule="auto"/>
        <w:rPr>
          <w:rFonts w:ascii="Arial" w:hAnsi="Arial" w:eastAsia="Arial" w:cs="Arial"/>
          <w:sz w:val="17"/>
          <w:szCs w:val="17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55787</wp:posOffset>
            </wp:positionV>
            <wp:extent cx="2805668" cy="30421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cn112138-20220601-00421.</w:t>
      </w:r>
    </w:p>
    <w:p>
      <w:pPr>
        <w:spacing w:line="214" w:lineRule="auto"/>
        <w:sectPr>
          <w:type w:val="continuous"/>
          <w:pgSz w:w="12246" w:h="16498"/>
          <w:pgMar w:top="400" w:right="1217" w:bottom="0" w:left="819" w:header="0" w:footer="0" w:gutter="0"/>
          <w:cols w:equalWidth="0" w:num="1">
            <w:col w:w="10208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spacing w:before="73"/>
        <w:rPr/>
      </w:pPr>
      <w:r>
        <w:pict>
          <v:shape id="_x0000_s12" style="position:absolute;margin-left:254.344pt;margin-top:59.6176pt;mso-position-vertical-relative:page;mso-position-horizontal-relative:page;width:292.75pt;height:0.4pt;z-index:251663360;" o:allowincell="f" filled="false" strokecolor="#231F20" strokeweight="0.37pt" coordsize="5855,8" coordorigin="0,0" path="m0,3l5854,3e">
            <v:stroke joinstyle="miter" miterlimit="4"/>
          </v:shape>
        </w:pict>
      </w:r>
      <w:r/>
    </w:p>
    <w:p>
      <w:pPr>
        <w:sectPr>
          <w:headerReference w:type="default" r:id="rId4"/>
          <w:pgSz w:w="12246" w:h="16498"/>
          <w:pgMar w:top="1221" w:right="1227" w:bottom="0" w:left="819" w:header="971" w:footer="0" w:gutter="0"/>
          <w:cols w:equalWidth="0" w:num="1">
            <w:col w:w="10198" w:space="0"/>
          </w:cols>
        </w:sectPr>
        <w:rPr/>
      </w:pPr>
    </w:p>
    <w:p>
      <w:pPr>
        <w:ind w:left="488" w:right="473" w:firstLine="22"/>
        <w:spacing w:before="38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中华医学会消化病学分会老年消化协作组、国家老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年疾病临床医学研究中心（解放军总医院）以及协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作组成员所在的 </w:t>
      </w:r>
      <w:r>
        <w:rPr>
          <w:rFonts w:ascii="Arial" w:hAnsi="Arial" w:eastAsia="Arial" w:cs="Arial"/>
          <w:sz w:val="20"/>
          <w:szCs w:val="20"/>
          <w:color w:val="231F20"/>
          <w:spacing w:val="18"/>
        </w:rPr>
        <w:t>18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家三甲医院开展了回顾性调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查，证实缺血性结肠炎是老年人最为常见的缺血性</w:t>
      </w:r>
    </w:p>
    <w:p>
      <w:pPr>
        <w:ind w:left="489"/>
        <w:spacing w:line="185" w:lineRule="auto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肠病，但在其诊断标准、确诊方法的选择、与不同类</w:t>
      </w:r>
    </w:p>
    <w:p>
      <w:pPr>
        <w:ind w:left="488" w:right="400" w:firstLine="8"/>
        <w:spacing w:before="54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型缺血性肠病的鉴别以及精准治疗方面存在许多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问题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因此，在系统检索文献［主题词为缺血性结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肠炎（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ischemic colitis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）或结肠缺血（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colon ischemia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  <w:w w:val="88"/>
        </w:rPr>
        <w:t>）］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并参考国内外相关临床实践指南及共识意见基础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上，老年消化协作组组织国内从事老年消化病临床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工作的专家，撰写了本指导意见，以促进临床医生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对结肠缺血的规范诊疗，进一步提高结肠缺血的诊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治水平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。需要指出的是，由于肠系膜上动脉栓塞或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肠系膜静脉血栓形成所致的肠缺血，常常以小肠缺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血为主或小肠缺血与结肠缺血并存，属急性肠系膜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缺血范畴，未纳入本指导意见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。为提高本指导意见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的全面性、权威性和广泛认同，特邀请外科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学、病理</w:t>
      </w:r>
    </w:p>
    <w:p>
      <w:pPr>
        <w:ind w:left="491"/>
        <w:spacing w:line="184" w:lineRule="auto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学、放射学、心血管病学的专家对本指导意见进行</w:t>
      </w:r>
    </w:p>
    <w:p>
      <w:pPr>
        <w:ind w:left="487" w:right="407" w:firstLine="19"/>
        <w:spacing w:before="53" w:line="22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了审改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。鉴于目前针对特定人群尤其是高龄老人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结肠缺血的研究报道数量和质量有限，部分研究证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据相对欠缺或不够完善，本指导意见尚未按照建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议 、评 估 、发 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和 评 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统（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grade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of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recommendation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，      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assessment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，       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development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evaluation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GRADE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）进行评估。</w:t>
      </w:r>
    </w:p>
    <w:p>
      <w:pPr>
        <w:ind w:left="493" w:right="407" w:firstLine="420"/>
        <w:spacing w:before="46" w:line="292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指导意见</w:t>
      </w:r>
      <w:r>
        <w:rPr>
          <w:rFonts w:ascii="SimHei" w:hAnsi="SimHei" w:eastAsia="SimHei" w:cs="SimHei"/>
          <w:sz w:val="20"/>
          <w:szCs w:val="20"/>
          <w:color w:val="231F20"/>
          <w:spacing w:val="-3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1</w:t>
      </w: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：结肠缺血，常由于结肠血管非闭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塞性血流减少，使结肠细胞功能障碍、完整性破坏，</w:t>
      </w:r>
      <w:r>
        <w:rPr>
          <w:rFonts w:ascii="SimHei" w:hAnsi="SimHei" w:eastAsia="SimHei" w:cs="SimHei"/>
          <w:sz w:val="20"/>
          <w:szCs w:val="20"/>
          <w:color w:val="231F20"/>
          <w:spacing w:val="1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引起结肠缺血性损伤。</w:t>
      </w:r>
    </w:p>
    <w:p>
      <w:pPr>
        <w:ind w:left="488" w:right="391" w:firstLine="427"/>
        <w:spacing w:before="119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与小肠相比，结肠因相对血流缓慢、微循环系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统欠发达以及对自主神经刺激更敏感等而更易发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生缺血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2"/>
          <w:position w:val="8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2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。系膜微血管低灌注引起的非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闭塞性缺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血是结肠缺血的主要发病机制，约占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95%</w:t>
      </w:r>
      <w:r>
        <w:rPr>
          <w:rFonts w:ascii="Arial" w:hAnsi="Arial" w:eastAsia="Arial" w:cs="Arial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。因低灌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注引起的结肠血流减少以至于不能充分维持结肠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细胞功能代谢，结局是结肠细胞酸中毒、功能障碍、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完整性破坏及最终细胞死亡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2"/>
          <w:position w:val="8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2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。病理生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理机制与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结肠微血管的缺血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再灌注现象有关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8"/>
          <w:position w:val="8"/>
        </w:rPr>
        <w:t>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。结肠损伤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的程度取决于低血流灌注的时长及受累血管影响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肠管血供的范围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2"/>
          <w:position w:val="8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2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。结肠缺血可导致不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同程度的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结肠损伤，包括可逆的结肠病变（黏膜下和黏膜内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的出血和水肿）、一过性结肠炎（以结肠溃疡为主）、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慢性结肠炎乃至结肠狭窄、坏疽和全结肠炎等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6"/>
          <w:position w:val="8"/>
        </w:rPr>
        <w:t>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我国疾病分类根据国际疾病分类（</w:t>
      </w:r>
      <w:r>
        <w:rPr>
          <w:rFonts w:ascii="Arial" w:hAnsi="Arial" w:eastAsia="Arial" w:cs="Arial"/>
          <w:sz w:val="20"/>
          <w:szCs w:val="20"/>
          <w:color w:val="231F20"/>
        </w:rPr>
        <w:t>ICD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）第 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10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版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8"/>
        </w:rPr>
        <w:t>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］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w w:val="101"/>
          <w:position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仍将结肠缺血称为缺血性结肠炎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由于临床上部</w:t>
      </w:r>
    </w:p>
    <w:p>
      <w:pPr>
        <w:ind w:left="490"/>
        <w:spacing w:before="1" w:line="18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75943</wp:posOffset>
            </wp:positionV>
            <wp:extent cx="2805668" cy="30421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分结肠缺血患者在疾病过程中并无炎症期证据，而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 w:right="77"/>
        <w:spacing w:before="38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>缺血性结肠炎更侧重于缺血导致的结肠炎症改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变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8"/>
        </w:rPr>
        <w:t>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8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  <w:w w:val="6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因此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2015</w:t>
      </w:r>
      <w:r>
        <w:rPr>
          <w:rFonts w:ascii="Arial" w:hAnsi="Arial" w:eastAsia="Arial" w:cs="Arial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年美国胃肠病学会在临床实践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指南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中将其定义为结肠缺血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7"/>
          <w:position w:val="8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  <w:w w:val="5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而非缺血性结肠炎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指导意见，建议用结肠缺血。</w:t>
      </w:r>
    </w:p>
    <w:p>
      <w:pPr>
        <w:ind w:left="425"/>
        <w:spacing w:before="77" w:line="268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9"/>
          <w:position w:val="1"/>
        </w:rPr>
        <w:t>指导意见</w:t>
      </w:r>
      <w:r>
        <w:rPr>
          <w:rFonts w:ascii="Arial" w:hAnsi="Arial" w:eastAsia="Arial" w:cs="Arial"/>
          <w:sz w:val="20"/>
          <w:szCs w:val="20"/>
          <w:color w:val="231F20"/>
          <w:spacing w:val="9"/>
          <w:position w:val="1"/>
        </w:rPr>
        <w:t>2</w:t>
      </w:r>
      <w:r>
        <w:rPr>
          <w:rFonts w:ascii="SimHei" w:hAnsi="SimHei" w:eastAsia="SimHei" w:cs="SimHei"/>
          <w:sz w:val="20"/>
          <w:szCs w:val="20"/>
          <w:color w:val="231F20"/>
          <w:spacing w:val="9"/>
          <w:position w:val="1"/>
        </w:rPr>
        <w:t>：结肠缺血是缺血性肠病最常见的</w:t>
      </w:r>
    </w:p>
    <w:p>
      <w:pPr>
        <w:ind w:left="7" w:right="78" w:firstLine="3"/>
        <w:spacing w:before="48" w:line="29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一种类型，常见于老年人群，是老年人下消化道出</w:t>
      </w:r>
      <w:r>
        <w:rPr>
          <w:rFonts w:ascii="SimHei" w:hAnsi="SimHei" w:eastAsia="SimHei" w:cs="SimHei"/>
          <w:sz w:val="20"/>
          <w:szCs w:val="20"/>
          <w:color w:val="231F20"/>
          <w:spacing w:val="6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血主要病因之一。</w:t>
      </w:r>
    </w:p>
    <w:p>
      <w:pPr>
        <w:ind w:right="8" w:firstLine="426"/>
        <w:spacing w:before="110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>大宗研究数据显示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>，结肠缺血的发病率从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1976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1980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年 的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6.</w:t>
      </w:r>
      <w:r>
        <w:rPr>
          <w:rFonts w:ascii="Arial" w:hAnsi="Arial" w:eastAsia="Arial" w:cs="Arial"/>
          <w:sz w:val="20"/>
          <w:szCs w:val="20"/>
          <w:color w:val="231F20"/>
          <w:spacing w:val="-3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1/10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人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20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05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至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2009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年的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22.9/10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万人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；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40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岁以下人群发病率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1.</w:t>
      </w:r>
      <w:r>
        <w:rPr>
          <w:rFonts w:ascii="Arial" w:hAnsi="Arial" w:eastAsia="Arial" w:cs="Arial"/>
          <w:sz w:val="20"/>
          <w:szCs w:val="20"/>
          <w:color w:val="231F20"/>
          <w:spacing w:val="-3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1/10</w:t>
      </w:r>
      <w:r>
        <w:rPr>
          <w:rFonts w:ascii="Arial" w:hAnsi="Arial" w:eastAsia="Arial" w:cs="Arial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万人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年，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80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岁以上则高达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107/10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万人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年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4"/>
          <w:position w:val="8"/>
        </w:rPr>
        <w:t>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8"/>
          <w:w w:val="96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女性多于男性，病死率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4%~12%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由于一些轻型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病例能自行缓解而未就诊，故上述数据很可能低估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了人群的实际发病率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0"/>
          <w:position w:val="8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目前中国尚无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结肠缺血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发病率的确切数据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。但我国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>90%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以上结肠缺血为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60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岁以上人群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6"/>
          <w:position w:val="8"/>
        </w:rPr>
        <w:t>10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国内 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18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家三甲医院的调查显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者 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人(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≥60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岁）比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75%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4"/>
          <w:position w:val="8"/>
        </w:rPr>
        <w:t>11-12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。在因急性下消化道出血住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院的所有患者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中，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9%~24%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的病因是结肠缺血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8"/>
        </w:rPr>
        <w:t>13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。大型流行病学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调查数据显示，结肠缺血是下消化道出血的常见病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因 ，仅 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居 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2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  <w:position w:val="-2"/>
        </w:rPr>
        <w:t>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  <w:position w:val="-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1"/>
          <w:position w:val="-2"/>
        </w:rPr>
        <w:t>3</w:t>
      </w:r>
      <w:r>
        <w:rPr>
          <w:rFonts w:ascii="Arial" w:hAnsi="Arial" w:eastAsia="Arial" w:cs="Arial"/>
          <w:sz w:val="20"/>
          <w:szCs w:val="20"/>
          <w:color w:val="231F20"/>
          <w:spacing w:val="-2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  <w:position w:val="-2"/>
        </w:rPr>
        <w:t>位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  <w:position w:val="6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1"/>
          <w:position w:val="6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  <w:position w:val="6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-11"/>
          <w:position w:val="6"/>
        </w:rPr>
        <w:t>14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  <w:position w:val="6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  <w:position w:val="-2"/>
        </w:rPr>
        <w:t>。</w:t>
      </w:r>
    </w:p>
    <w:p>
      <w:pPr>
        <w:ind w:left="2" w:right="78" w:firstLine="423"/>
        <w:spacing w:before="65" w:line="287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指导意见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3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：结肠脾曲及直肠乙状结肠交界处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是结肠缺血的好发部位，右半结肠由于其血管分布</w:t>
      </w:r>
      <w:r>
        <w:rPr>
          <w:rFonts w:ascii="SimHei" w:hAnsi="SimHei" w:eastAsia="SimHei" w:cs="SimHei"/>
          <w:sz w:val="20"/>
          <w:szCs w:val="20"/>
          <w:color w:val="231F20"/>
          <w:spacing w:val="15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的特点，在全身低灌注时也易发生缺血。</w:t>
      </w:r>
    </w:p>
    <w:p>
      <w:pPr>
        <w:ind w:firstLine="421"/>
        <w:spacing w:before="128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结肠血液供应来自肠系膜上动脉（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SMA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）、肠系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膜下动脉（</w:t>
      </w:r>
      <w:r>
        <w:rPr>
          <w:rFonts w:ascii="Arial" w:hAnsi="Arial" w:eastAsia="Arial" w:cs="Arial"/>
          <w:sz w:val="20"/>
          <w:szCs w:val="20"/>
          <w:color w:val="231F20"/>
        </w:rPr>
        <w:t>IMA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）和髂内动脉的直肠分支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。研究显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示静息状态下心排血量的 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10%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左右分布到肠道，其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中的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70%~90%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供应黏膜和黏膜下层，其余供应肌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层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8"/>
        </w:rPr>
        <w:t>15-16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。当消化道活动增加时，供应结肠的血流量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相应增加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</w:t>
      </w:r>
      <w:r>
        <w:rPr>
          <w:rFonts w:ascii="Arial" w:hAnsi="Arial" w:eastAsia="Arial" w:cs="Arial"/>
          <w:sz w:val="20"/>
          <w:szCs w:val="20"/>
          <w:color w:val="231F20"/>
        </w:rPr>
        <w:t>SMA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血流量静息状态下为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500</w:t>
      </w:r>
      <w:r>
        <w:rPr>
          <w:rFonts w:ascii="Arial" w:hAnsi="Arial" w:eastAsia="Arial" w:cs="Arial"/>
          <w:sz w:val="20"/>
          <w:szCs w:val="20"/>
          <w:color w:val="231F20"/>
        </w:rPr>
        <w:t>ml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/</w:t>
      </w:r>
      <w:r>
        <w:rPr>
          <w:rFonts w:ascii="Arial" w:hAnsi="Arial" w:eastAsia="Arial" w:cs="Arial"/>
          <w:sz w:val="20"/>
          <w:szCs w:val="20"/>
          <w:color w:val="231F20"/>
        </w:rPr>
        <w:t>min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进餐后则可达到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1 400 </w:t>
      </w:r>
      <w:r>
        <w:rPr>
          <w:rFonts w:ascii="Arial" w:hAnsi="Arial" w:eastAsia="Arial" w:cs="Arial"/>
          <w:sz w:val="20"/>
          <w:szCs w:val="20"/>
          <w:color w:val="231F20"/>
        </w:rPr>
        <w:t>ml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/</w:t>
      </w:r>
      <w:r>
        <w:rPr>
          <w:rFonts w:ascii="Arial" w:hAnsi="Arial" w:eastAsia="Arial" w:cs="Arial"/>
          <w:sz w:val="20"/>
          <w:szCs w:val="20"/>
          <w:color w:val="231F20"/>
        </w:rPr>
        <w:t>min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8"/>
        </w:rPr>
        <w:t>16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</w:t>
      </w:r>
      <w:r>
        <w:rPr>
          <w:rFonts w:ascii="Arial" w:hAnsi="Arial" w:eastAsia="Arial" w:cs="Arial"/>
          <w:sz w:val="20"/>
          <w:szCs w:val="20"/>
          <w:color w:val="231F20"/>
        </w:rPr>
        <w:t>IMA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相对细小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SMA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IMA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之间存在丰富的侧支循环，但在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SMA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IMA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供血交界处的结肠脾曲及肠系膜下动脉与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直肠上动脉供血交界处的直肠乙状结肠交界部位，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侧支循环少，易致局部血液低灌注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。与左半结肠相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比，右半结肠动脉更细且直、小血管密度稀疏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，故在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全 身 血 流 低 灌 注 状 态 下 ，右 半 结 肠 也 易 致</w:t>
      </w:r>
    </w:p>
    <w:p>
      <w:pPr>
        <w:ind w:left="3"/>
        <w:spacing w:before="1" w:line="18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  <w:position w:val="-4"/>
        </w:rPr>
        <w:t>缺血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2"/>
          <w:position w:val="4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2"/>
          <w:position w:val="4"/>
        </w:rPr>
        <w:t>17-19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2"/>
          <w:position w:val="4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  <w:position w:val="-4"/>
        </w:rPr>
        <w:t>。</w:t>
      </w:r>
    </w:p>
    <w:p>
      <w:pPr>
        <w:ind w:left="3" w:right="78" w:firstLine="422"/>
        <w:spacing w:before="147" w:line="289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指导意见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4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：动脉粥样硬化以及年龄相关的内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8"/>
        </w:rPr>
        <w:t>脏血管异常是发生结肠缺血的基础。</w:t>
      </w:r>
    </w:p>
    <w:p>
      <w:pPr>
        <w:ind w:left="424"/>
        <w:spacing w:before="120" w:line="18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动脉粥样硬化是累及全身多处血管的系统性</w:t>
      </w:r>
    </w:p>
    <w:p>
      <w:pPr>
        <w:spacing w:line="183" w:lineRule="auto"/>
        <w:sectPr>
          <w:type w:val="continuous"/>
          <w:pgSz w:w="12246" w:h="16498"/>
          <w:pgMar w:top="1221" w:right="1227" w:bottom="0" w:left="819" w:header="971" w:footer="0" w:gutter="0"/>
          <w:cols w:equalWidth="0" w:num="2">
            <w:col w:w="5491" w:space="100"/>
            <w:col w:w="4608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71"/>
        <w:rPr/>
      </w:pPr>
      <w:r>
        <w:pict>
          <v:shape id="_x0000_s18" style="position:absolute;margin-left:65.1968pt;margin-top:59.6176pt;mso-position-vertical-relative:page;mso-position-horizontal-relative:page;width:292.75pt;height:0.4pt;z-index:251667456;" o:allowincell="f" filled="false" strokecolor="#231F20" strokeweight="0.37pt" coordsize="5855,8" coordorigin="0,0" path="m0,3l5854,3e">
            <v:stroke joinstyle="miter" miterlimit="4"/>
          </v:shape>
        </w:pict>
      </w:r>
      <w:r/>
    </w:p>
    <w:p>
      <w:pPr>
        <w:sectPr>
          <w:headerReference w:type="default" r:id="rId5"/>
          <w:pgSz w:w="12246" w:h="16498"/>
          <w:pgMar w:top="1221" w:right="1225" w:bottom="0" w:left="819" w:header="971" w:footer="0" w:gutter="0"/>
          <w:cols w:equalWidth="0" w:num="1">
            <w:col w:w="10201" w:space="0"/>
          </w:cols>
        </w:sectPr>
        <w:rPr/>
      </w:pPr>
    </w:p>
    <w:p>
      <w:pPr>
        <w:ind w:left="489"/>
        <w:spacing w:before="39" w:line="18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疾病，高胆固醇血症、高血压病、糖尿病等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是其危险</w:t>
      </w:r>
    </w:p>
    <w:p>
      <w:pPr>
        <w:ind w:left="508"/>
        <w:spacing w:before="50" w:line="188" w:lineRule="auto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因素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20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。低密度脂蛋白颗粒沉积于血管内膜，启动</w:t>
      </w:r>
    </w:p>
    <w:p>
      <w:pPr>
        <w:ind w:left="489" w:right="392" w:firstLine="22"/>
        <w:spacing w:before="57" w:line="22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内膜炎症反应，免疫和慢性低度炎症参与动脉粥样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硬化形成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21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。冠心病、高脂血症、糖尿病等是结肠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缺血常见的合并疾病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22-23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5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  <w:w w:val="5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高血糖、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血脂异常、胰岛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素抵抗、高胰岛素血症、慢性炎症状态、高凝状态、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内皮细胞功能异常等，均参与了血管损伤，形成大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血管硬化和微血管重构、通透性增加以及血管床减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少等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24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。年龄相关的内脏血管异常不少见，如结肠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动脉迂曲、小血管狭窄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8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。全身性或局灶性血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管炎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累及系膜小血管、微小血栓形成及小血管炎致系膜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微血管低灌注，当肠道活动增加而结肠血流量不能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相应增加以满足需要时，可发生结肠缺血。</w:t>
      </w:r>
    </w:p>
    <w:p>
      <w:pPr>
        <w:ind w:left="495" w:right="474" w:firstLine="419"/>
        <w:spacing w:before="69" w:line="297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3"/>
        </w:rPr>
        <w:t>指导意见</w:t>
      </w:r>
      <w:r>
        <w:rPr>
          <w:rFonts w:ascii="SimHei" w:hAnsi="SimHei" w:eastAsia="SimHei" w:cs="SimHei"/>
          <w:sz w:val="20"/>
          <w:szCs w:val="20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5</w:t>
      </w:r>
      <w:r>
        <w:rPr>
          <w:rFonts w:ascii="SimHei" w:hAnsi="SimHei" w:eastAsia="SimHei" w:cs="SimHei"/>
          <w:sz w:val="20"/>
          <w:szCs w:val="20"/>
          <w:color w:val="231F20"/>
          <w:spacing w:val="-3"/>
        </w:rPr>
        <w:t>：充血性心力衰竭、休克、房颤、血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液透析、便秘、某些药物等各种因素引起的肠血流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灌注不足或血液高凝状态、血液瘀滞是结肠缺血的</w:t>
      </w:r>
    </w:p>
    <w:p>
      <w:pPr>
        <w:ind w:left="492"/>
        <w:spacing w:line="268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5"/>
          <w:position w:val="1"/>
        </w:rPr>
        <w:t>诱发因素。</w:t>
      </w:r>
    </w:p>
    <w:p>
      <w:pPr>
        <w:ind w:left="488" w:right="404" w:firstLine="425"/>
        <w:spacing w:before="183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老年人在动脉硬化等血管病变基础上，因心力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w w:val="98"/>
        </w:rPr>
        <w:t>衰竭、休克、房颤、肾衰血液透析、重度脱水、脓毒症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等因素导致心排血量减少、有效循环血量不足，影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响结肠血流灌注；某些药物如降压药、利尿剂、抗精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神病药物等可引起肠道平滑肌松弛，肠动力下降诱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发顽固性便秘、增加肠道内压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6"/>
          <w:position w:val="8"/>
        </w:rPr>
        <w:t>25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  <w:w w:val="60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老年便秘患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者粪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便嵌塞使肠腔内压力增高，加之排便时腹腔内压力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上升，易致肠壁血供减少诱发缺血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8"/>
        </w:rPr>
        <w:t>26-27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内分泌激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素如雌激素、孕激素等均可引起肠道小血管收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缩；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外源性激素、某些化疗药可引起小血管内膜损伤形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成微血栓诱发缺血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6"/>
          <w:position w:val="8"/>
        </w:rPr>
        <w:t>28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  <w:w w:val="58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长距离奔跑、长时间高温作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业可导致全身血流再分配，肠系膜和胃肠道黏膜血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流量减少，黏膜血管痉挛致肠道供血不足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28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。特发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性结肠缺血可能与血液高凝状态有关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9"/>
          <w:position w:val="8"/>
        </w:rPr>
        <w:t>29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。新型冠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状病毒感染（</w:t>
      </w:r>
      <w:r>
        <w:rPr>
          <w:rFonts w:ascii="Arial" w:hAnsi="Arial" w:eastAsia="Arial" w:cs="Arial"/>
          <w:sz w:val="20"/>
          <w:szCs w:val="20"/>
          <w:color w:val="231F20"/>
        </w:rPr>
        <w:t>COVID-19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）患者由于全身高凝状态也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可发生结肠缺血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30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。结肠肿瘤所致的压迫、累及肠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系膜下动脉的腹部手术史等均可导致肠道供血不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足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6"/>
          <w:position w:val="8"/>
        </w:rPr>
        <w:t>31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5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甚至肠镜检查过程中注气过多致肠腔内压力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增加，也可能诱发结肠缺血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4"/>
          <w:position w:val="8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</w:t>
      </w:r>
    </w:p>
    <w:p>
      <w:pPr>
        <w:ind w:left="492" w:right="473" w:firstLine="421"/>
        <w:spacing w:before="73" w:line="296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指导意见</w:t>
      </w:r>
      <w:r>
        <w:rPr>
          <w:rFonts w:ascii="SimHei" w:hAnsi="SimHei" w:eastAsia="SimHei" w:cs="SimHei"/>
          <w:sz w:val="20"/>
          <w:szCs w:val="20"/>
          <w:color w:val="231F20"/>
          <w:spacing w:val="-5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6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：结肠缺血的临床症状以腹痛、血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便、腹泻最常见。腹痛常为急性痉挛样疼痛、轻至</w:t>
      </w:r>
      <w:r>
        <w:rPr>
          <w:rFonts w:ascii="SimHei" w:hAnsi="SimHei" w:eastAsia="SimHei" w:cs="SimHei"/>
          <w:sz w:val="20"/>
          <w:szCs w:val="20"/>
          <w:color w:val="231F20"/>
          <w:spacing w:val="13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中等程度，伴有强烈便意，排鲜红或暗红色血便或</w:t>
      </w:r>
      <w:r>
        <w:rPr>
          <w:rFonts w:ascii="SimHei" w:hAnsi="SimHei" w:eastAsia="SimHei" w:cs="SimHei"/>
          <w:sz w:val="20"/>
          <w:szCs w:val="20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血性腹泻。</w:t>
      </w:r>
    </w:p>
    <w:p>
      <w:pPr>
        <w:ind w:left="910"/>
        <w:spacing w:before="117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有腹痛伴（血性）腹泻的所有老年患者都应警</w:t>
      </w:r>
    </w:p>
    <w:p>
      <w:pPr>
        <w:ind w:left="490"/>
        <w:spacing w:before="25" w:line="18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94523</wp:posOffset>
            </wp:positionV>
            <wp:extent cx="2805668" cy="304216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惕结肠缺血的可能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9"/>
          <w:position w:val="8"/>
        </w:rPr>
        <w:t>32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。结肠缺血的症状主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要取决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80" w:firstLine="8"/>
        <w:spacing w:before="33" w:line="22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于缺血程度和受累范围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，腹痛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、血便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、腹泻最常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见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33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。腹痛常为急性痉挛性疼痛，多为轻至中等程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度，可剧痛，伴有强烈便意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。常于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24 h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内排出鲜红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或暗红色血便，或血性腹泻，出血量通常不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大，很少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需要输血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。腹泻多是由于肠液渗出、缺血的肠道对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水分吸收下降所致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。因进食会加重腹痛，故患者常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进食量减少甚或拒食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。还可能有腹胀、恶心、呕吐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表现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。重者可能出现全身炎症反应综合征，包括菌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血症、呼吸急促、心动过速等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。大多数患者在缺血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结肠相应部位表现出不同程度的压痛，以左侧中下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腹部较为常见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。出现肠坏死或者以右半结肠缺血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为主者，可有腹部压痛、反跳痛、肌紧张，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肠鸣音减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弱甚至消失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。有较多腹水时腹部移动性浊音可为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阳性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。肛门指诊检查指套可见血染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。高龄老年患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者尤其是有气管插管或接受镇静治疗时，腹部症状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和体征可能不典型而易被忽视。</w:t>
      </w:r>
    </w:p>
    <w:p>
      <w:pPr>
        <w:ind w:left="425"/>
        <w:spacing w:before="71" w:line="268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9"/>
          <w:position w:val="1"/>
        </w:rPr>
        <w:t>指导意见</w:t>
      </w:r>
      <w:r>
        <w:rPr>
          <w:rFonts w:ascii="Arial" w:hAnsi="Arial" w:eastAsia="Arial" w:cs="Arial"/>
          <w:sz w:val="20"/>
          <w:szCs w:val="20"/>
          <w:color w:val="231F20"/>
          <w:spacing w:val="9"/>
          <w:position w:val="1"/>
        </w:rPr>
        <w:t>7</w:t>
      </w:r>
      <w:r>
        <w:rPr>
          <w:rFonts w:ascii="SimHei" w:hAnsi="SimHei" w:eastAsia="SimHei" w:cs="SimHei"/>
          <w:sz w:val="20"/>
          <w:szCs w:val="20"/>
          <w:color w:val="231F20"/>
          <w:spacing w:val="9"/>
          <w:position w:val="1"/>
        </w:rPr>
        <w:t>：根据结肠缺血程度进行分型诊断</w:t>
      </w:r>
    </w:p>
    <w:p>
      <w:pPr>
        <w:ind w:left="3" w:firstLine="1"/>
        <w:spacing w:before="51" w:line="298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15"/>
        </w:rPr>
        <w:t>有助于指导治疗和判断预后。结肠缺血性损伤可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</w:rPr>
        <w:t>分为可逆型和不可逆型，根据临床表现分为轻、中、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重度。</w:t>
      </w:r>
    </w:p>
    <w:p>
      <w:pPr>
        <w:ind w:right="79" w:firstLine="441"/>
        <w:spacing w:before="112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国际上依缺血程度将结肠缺血分轻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、中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、重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度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2"/>
          <w:position w:val="8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2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。轻度是指有典型结肠缺血症状的节段性结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肠炎，非右半结肠病变且无中度结肠缺血不良预后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相关的危险因素者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中度是指患者具备下列任意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1~3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(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≤3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）个与预后不良相关的危险因素，包括：老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性 ；低 血 压（收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压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&lt;90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mmHg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  <w:w w:val="68"/>
        </w:rPr>
        <w:t>）（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1mmHg=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0.</w:t>
      </w:r>
      <w:r>
        <w:rPr>
          <w:rFonts w:ascii="Arial" w:hAnsi="Arial" w:eastAsia="Arial" w:cs="Arial"/>
          <w:sz w:val="20"/>
          <w:szCs w:val="20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133 </w:t>
      </w:r>
      <w:r>
        <w:rPr>
          <w:rFonts w:ascii="Arial" w:hAnsi="Arial" w:eastAsia="Arial" w:cs="Arial"/>
          <w:sz w:val="20"/>
          <w:szCs w:val="20"/>
          <w:color w:val="231F20"/>
        </w:rPr>
        <w:t>kPa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60"/>
        </w:rPr>
        <w:t>）；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心动过速（心率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&gt;100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次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/</w:t>
      </w:r>
      <w:r>
        <w:rPr>
          <w:rFonts w:ascii="Arial" w:hAnsi="Arial" w:eastAsia="Arial" w:cs="Arial"/>
          <w:sz w:val="20"/>
          <w:szCs w:val="20"/>
          <w:color w:val="231F20"/>
        </w:rPr>
        <w:t>min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60"/>
        </w:rPr>
        <w:t>）；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尿素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氮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&gt;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7.14 mmol/L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；血 红 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白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&lt;120 g/L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；乳 酸 脱 氢 酶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&gt;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350 U/L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；血钠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&lt;136 mmol/L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；白细胞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&gt;1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5×10</w:t>
      </w:r>
      <w:r>
        <w:rPr>
          <w:rFonts w:ascii="Arial" w:hAnsi="Arial" w:eastAsia="Arial" w:cs="Arial"/>
          <w:sz w:val="10"/>
          <w:szCs w:val="10"/>
          <w:color w:val="231F20"/>
          <w:spacing w:val="-6"/>
          <w:position w:val="8"/>
        </w:rPr>
        <w:t>9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/L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>；或经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>结肠镜检查证实结肠溃疡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>。重度是指超过上述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>3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个以上的危险因素或出现下列任一项：腹膜炎征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象；计算机断层扫描（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）示肠壁或门静脉积气；结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肠镜提示结肠坏疽；</w:t>
      </w:r>
      <w:r>
        <w:rPr>
          <w:rFonts w:ascii="Arial" w:hAnsi="Arial" w:eastAsia="Arial" w:cs="Arial"/>
          <w:sz w:val="20"/>
          <w:szCs w:val="20"/>
          <w:color w:val="231F20"/>
        </w:rPr>
        <w:t>CT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或结肠镜显示全结肠炎或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孤立性右半结肠炎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、中度患者常为可逆型病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变，而重度呈不可逆型改变，后者还包括慢性节段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性或狭窄型病变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。症状持续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>2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周以上可能预示急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性并发症或不可逆性病变，如坏疽、穿孔、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慢性结肠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炎和狭窄。</w:t>
      </w:r>
    </w:p>
    <w:p>
      <w:pPr>
        <w:ind w:left="3" w:right="80" w:firstLine="422"/>
        <w:spacing w:before="90" w:line="294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指导意见</w:t>
      </w:r>
      <w:r>
        <w:rPr>
          <w:rFonts w:ascii="SimHei" w:hAnsi="SimHei" w:eastAsia="SimHei" w:cs="SimHei"/>
          <w:sz w:val="20"/>
          <w:szCs w:val="20"/>
          <w:color w:val="231F20"/>
          <w:spacing w:val="-5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8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：伴有高危因素的结肠缺血，应警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惕孤立性右半结肠缺血，孤立性右半结肠缺血常预</w:t>
      </w:r>
      <w:r>
        <w:rPr>
          <w:rFonts w:ascii="SimHei" w:hAnsi="SimHei" w:eastAsia="SimHei" w:cs="SimHei"/>
          <w:sz w:val="20"/>
          <w:szCs w:val="20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后不良。</w:t>
      </w:r>
    </w:p>
    <w:p>
      <w:pPr>
        <w:ind w:left="423"/>
        <w:spacing w:before="122" w:line="18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孤立性右半结肠缺血定义为缺血性改变局限</w:t>
      </w:r>
    </w:p>
    <w:p>
      <w:pPr>
        <w:spacing w:line="182" w:lineRule="auto"/>
        <w:sectPr>
          <w:type w:val="continuous"/>
          <w:pgSz w:w="12246" w:h="16498"/>
          <w:pgMar w:top="1221" w:right="1225" w:bottom="0" w:left="819" w:header="971" w:footer="0" w:gutter="0"/>
          <w:cols w:equalWidth="0" w:num="2">
            <w:col w:w="5492" w:space="100"/>
            <w:col w:w="4610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73"/>
        <w:rPr/>
      </w:pPr>
      <w:r>
        <w:pict>
          <v:shape id="_x0000_s24" style="position:absolute;margin-left:254.344pt;margin-top:59.6176pt;mso-position-vertical-relative:page;mso-position-horizontal-relative:page;width:292.75pt;height:0.4pt;z-index:251671552;" o:allowincell="f" filled="false" strokecolor="#231F20" strokeweight="0.37pt" coordsize="5855,8" coordorigin="0,0" path="m0,3l5854,3e">
            <v:stroke joinstyle="miter" miterlimit="4"/>
          </v:shape>
        </w:pict>
      </w:r>
      <w:r/>
    </w:p>
    <w:p>
      <w:pPr>
        <w:sectPr>
          <w:headerReference w:type="default" r:id="rId6"/>
          <w:pgSz w:w="12246" w:h="16498"/>
          <w:pgMar w:top="1221" w:right="1223" w:bottom="0" w:left="819" w:header="971" w:footer="0" w:gutter="0"/>
          <w:cols w:equalWidth="0" w:num="1">
            <w:col w:w="10203" w:space="0"/>
          </w:cols>
        </w:sectPr>
        <w:rPr/>
      </w:pPr>
    </w:p>
    <w:p>
      <w:pPr>
        <w:ind w:left="497"/>
        <w:spacing w:before="40" w:line="18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于盲肠、升结肠或结肠肝区，以及与上述病变相延</w:t>
      </w:r>
    </w:p>
    <w:p>
      <w:pPr>
        <w:ind w:left="489"/>
        <w:spacing w:before="50" w:line="18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续的横结肠受累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4"/>
          <w:position w:val="8"/>
        </w:rPr>
        <w:t>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4"/>
          <w:position w:val="8"/>
        </w:rPr>
        <w:t>34-35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。右半结肠受累往往与结肠</w:t>
      </w:r>
    </w:p>
    <w:p>
      <w:pPr>
        <w:ind w:left="491" w:right="363"/>
        <w:spacing w:before="58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缺血严重程度密切相关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。孤立的右半结肠缺血通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常更严重，约占结肠缺血病例的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20%</w:t>
      </w:r>
      <w:r>
        <w:rPr>
          <w:rFonts w:ascii="Arial" w:hAnsi="Arial" w:eastAsia="Arial" w:cs="Arial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。英国一项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8"/>
        </w:rPr>
        <w:t>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］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针对 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15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年内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24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个观察性研究共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3 241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例结肠缺血</w:t>
      </w:r>
    </w:p>
    <w:p>
      <w:pPr>
        <w:ind w:left="507"/>
        <w:spacing w:line="184" w:lineRule="auto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的回顾性分析显示，孤立性右半结肠缺血患者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合并</w:t>
      </w:r>
    </w:p>
    <w:p>
      <w:pPr>
        <w:ind w:left="488" w:right="320"/>
        <w:spacing w:before="56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疾病（如：高血压病、慢性肾病、房颤等）的发生率高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于非孤立性右半结肠缺血者，需手术治疗者明显增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多（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53.6%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比 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14.5%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  <w:w w:val="75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病死率更高（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19.7%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9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.</w:t>
      </w:r>
      <w:r>
        <w:rPr>
          <w:rFonts w:ascii="Arial" w:hAnsi="Arial" w:eastAsia="Arial" w:cs="Arial"/>
          <w:sz w:val="20"/>
          <w:szCs w:val="20"/>
          <w:color w:val="231F20"/>
          <w:spacing w:val="-3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1%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  <w:w w:val="75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提示孤立性右半结肠缺血是预后不良的预测因素。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国内一项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9"/>
          <w:position w:val="8"/>
        </w:rPr>
        <w:t>36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］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170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例老年结肠缺血的多中心回顾性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研究发现孤立性右半结肠缺血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36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例，其手术率是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非孤立性右半结肠缺血患者的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6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倍，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30 d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病死率、</w:t>
      </w:r>
    </w:p>
    <w:p>
      <w:pPr>
        <w:ind w:left="490"/>
        <w:spacing w:before="1" w:line="183" w:lineRule="auto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不良预后发生率均较非孤立性右半结肠缺血者更</w:t>
      </w:r>
    </w:p>
    <w:p>
      <w:pPr>
        <w:ind w:left="493"/>
        <w:spacing w:before="56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高，占所有病情恶化的结肠缺血患者的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64.71%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</w:t>
      </w:r>
    </w:p>
    <w:p>
      <w:pPr>
        <w:ind w:left="490" w:right="401" w:firstLine="423"/>
        <w:spacing w:before="133" w:line="296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指导意见</w:t>
      </w:r>
      <w:r>
        <w:rPr>
          <w:rFonts w:ascii="SimHei" w:hAnsi="SimHei" w:eastAsia="SimHei" w:cs="SimHei"/>
          <w:sz w:val="20"/>
          <w:szCs w:val="20"/>
          <w:color w:val="231F20"/>
          <w:spacing w:val="-5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9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：实验室检验指标有助于评估病情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5"/>
        </w:rPr>
        <w:t>严重程度与预后，尚无早期诊断结肠缺血的特异</w:t>
      </w:r>
      <w:r>
        <w:rPr>
          <w:rFonts w:ascii="SimHei" w:hAnsi="SimHei" w:eastAsia="SimHei" w:cs="SimHei"/>
          <w:sz w:val="20"/>
          <w:szCs w:val="20"/>
          <w:color w:val="231F20"/>
          <w:spacing w:val="1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性指标。</w:t>
      </w:r>
    </w:p>
    <w:p>
      <w:pPr>
        <w:ind w:left="487" w:right="320" w:firstLine="422"/>
        <w:spacing w:before="127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虽然实验室检验指标不能用以早期诊断结肠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缺血，但有助于判断结肠缺血的严重程度与预后。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对疑诊结肠缺血患者，应进行血液和粪便检测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液检测包括：血常规、电解质及酸碱平衡、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血液凝血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指标、肝功能、血清白蛋白、尿素氮、肌酐、淀粉酶、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肌酸激酶、乳酸和乳酸脱氢酶等，血浆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D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二聚体检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查，有助于判断是否有血栓形成，是否存在血液高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凝状态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。粪便检测包括便常规、便潜血、难辨梭菌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毒素及大便病原菌检测，这些指标有助于鉴别诊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1"/>
        </w:rPr>
        <w:t>断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7"/>
        </w:rPr>
        <w:t>37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。研究显示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7"/>
        </w:rPr>
        <w:t>38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8"/>
          <w:w w:val="80"/>
          <w:position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白细胞</w:t>
      </w:r>
      <w:r>
        <w:rPr>
          <w:rFonts w:ascii="Arial" w:hAnsi="Arial" w:eastAsia="Arial" w:cs="Arial"/>
          <w:sz w:val="20"/>
          <w:szCs w:val="20"/>
          <w:color w:val="231F20"/>
          <w:spacing w:val="-2"/>
          <w:position w:val="-1"/>
        </w:rPr>
        <w:t>&gt;15×10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7"/>
        </w:rPr>
        <w:t>9</w:t>
      </w:r>
      <w:r>
        <w:rPr>
          <w:rFonts w:ascii="Arial" w:hAnsi="Arial" w:eastAsia="Arial" w:cs="Arial"/>
          <w:sz w:val="20"/>
          <w:szCs w:val="20"/>
          <w:color w:val="231F20"/>
          <w:spacing w:val="-2"/>
          <w:position w:val="-1"/>
        </w:rPr>
        <w:t>/L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，血红蛋白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  <w:position w:val="-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  <w:position w:val="-1"/>
        </w:rPr>
        <w:t>&lt;</w:t>
      </w:r>
      <w:r>
        <w:rPr>
          <w:rFonts w:ascii="Arial" w:hAnsi="Arial" w:eastAsia="Arial" w:cs="Arial"/>
          <w:sz w:val="20"/>
          <w:szCs w:val="20"/>
          <w:color w:val="231F20"/>
          <w:position w:val="-1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120 g/L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，白蛋白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&lt;28 g/L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，尿素氮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&gt;7.5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 xml:space="preserve"> mmol/L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，乳酸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脱氢酶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&gt;350 U/L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，血钠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&lt;135 mmol/L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，代谢性酸中毒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以及异常的肝功能等指标预示结肠缺血的不良预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。乳酸升高可用于结肠缺血严重性的评估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0"/>
          <w:position w:val="8"/>
        </w:rPr>
        <w:t>39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大便常规可见大量红细胞，便潜血阳性，大便培养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阴性。</w:t>
      </w:r>
    </w:p>
    <w:p>
      <w:pPr>
        <w:ind w:left="491" w:right="401" w:firstLine="422"/>
        <w:spacing w:before="84" w:line="298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指导意见</w:t>
      </w:r>
      <w:r>
        <w:rPr>
          <w:rFonts w:ascii="SimHei" w:hAnsi="SimHei" w:eastAsia="SimHei" w:cs="SimHei"/>
          <w:sz w:val="20"/>
          <w:szCs w:val="20"/>
          <w:color w:val="231F20"/>
          <w:spacing w:val="-5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10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：腹盆腔</w:t>
      </w:r>
      <w:r>
        <w:rPr>
          <w:rFonts w:ascii="SimHei" w:hAnsi="SimHei" w:eastAsia="SimHei" w:cs="SimHei"/>
          <w:sz w:val="20"/>
          <w:szCs w:val="20"/>
          <w:color w:val="231F20"/>
          <w:spacing w:val="-5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CT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扫描应作为临床怀疑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老年人结肠缺血的首选检查。</w:t>
      </w:r>
      <w:r>
        <w:rPr>
          <w:rFonts w:ascii="Arial" w:hAnsi="Arial" w:eastAsia="Arial" w:cs="Arial"/>
          <w:sz w:val="20"/>
          <w:szCs w:val="20"/>
          <w:color w:val="231F20"/>
        </w:rPr>
        <w:t>CT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扫描可显示结肠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缺血所致的肠壁损伤征象，可明确肠缺血受累的部</w:t>
      </w:r>
      <w:r>
        <w:rPr>
          <w:rFonts w:ascii="SimHei" w:hAnsi="SimHei" w:eastAsia="SimHei" w:cs="SimHei"/>
          <w:sz w:val="20"/>
          <w:szCs w:val="20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位和范围。</w:t>
      </w:r>
    </w:p>
    <w:p>
      <w:pPr>
        <w:ind w:left="489" w:right="318" w:firstLine="419"/>
        <w:spacing w:before="119" w:line="22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759252</wp:posOffset>
            </wp:positionV>
            <wp:extent cx="2805668" cy="304216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腹盆腔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CT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扫描显示结肠缺血所致的肠壁损伤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包括：肠壁增厚、水肿、拇指纹征、肠腔扩张、靶征、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肠壁环周性渗出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8"/>
          <w:position w:val="8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。如出现肠壁积气或门脉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系膜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积气，提示发生透壁性结肠梗死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。最常见的征象为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2" w:right="81"/>
        <w:spacing w:before="39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肠壁组织肿胀导致肠壁增厚，可见于几乎全部老年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结肠缺血患者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。表现为肠壁厚度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&gt;3 </w:t>
      </w:r>
      <w:r>
        <w:rPr>
          <w:rFonts w:ascii="Arial" w:hAnsi="Arial" w:eastAsia="Arial" w:cs="Arial"/>
          <w:sz w:val="20"/>
          <w:szCs w:val="20"/>
          <w:color w:val="231F20"/>
        </w:rPr>
        <w:t>mm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以上，同时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肠腔显示狭窄改变，肠壁增厚节段与结肠缺血的病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变部位一致；增强扫描有助于区分肠壁层次，结肠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缺血的病变肠管常显示黏膜层和固有肌层强化，但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黏膜下层强化不明显，文献称其为“靶征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”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8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8"/>
          <w:position w:val="8"/>
        </w:rPr>
        <w:t>40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8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。增厚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肠壁是否强化以及强化程度反映了肠壁的血运情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。肠壁环周性渗出较为常见，</w:t>
      </w:r>
      <w:r>
        <w:rPr>
          <w:rFonts w:ascii="Arial" w:hAnsi="Arial" w:eastAsia="Arial" w:cs="Arial"/>
          <w:sz w:val="20"/>
          <w:szCs w:val="20"/>
          <w:color w:val="231F20"/>
        </w:rPr>
        <w:t>CT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所见为肠管浆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膜邻近脂肪结构模糊、密度增高；如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CT</w:t>
      </w:r>
      <w:r>
        <w:rPr>
          <w:rFonts w:ascii="Arial" w:hAnsi="Arial" w:eastAsia="Arial" w:cs="Arial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显示腹腔内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积液，提示缺血病情加重表现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41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。一项对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364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例多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中心前瞻性研究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38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显示肠壁增厚伴黏膜下水肿，边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缘不规则、黏膜强化伴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不伴结肠周围索条影是结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肠缺血的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CT</w:t>
      </w:r>
      <w:r>
        <w:rPr>
          <w:rFonts w:ascii="Arial" w:hAnsi="Arial" w:eastAsia="Arial" w:cs="Arial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诊断标准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。腹平片对结肠缺血诊断意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义不大，但可排除其他急腹症如空腔脏器穿孔、肠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梗阻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。钡灌肠因可加重结肠黏膜缺血甚至诱发穿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孔，而且钡剂残留会影响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CT</w:t>
      </w:r>
      <w:r>
        <w:rPr>
          <w:rFonts w:ascii="Arial" w:hAnsi="Arial" w:eastAsia="Arial" w:cs="Arial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及结肠镜检查，故已逐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渐被腹盆腔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CT</w:t>
      </w:r>
      <w:r>
        <w:rPr>
          <w:rFonts w:ascii="Arial" w:hAnsi="Arial" w:eastAsia="Arial" w:cs="Arial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取代。</w:t>
      </w:r>
    </w:p>
    <w:p>
      <w:pPr>
        <w:ind w:left="497"/>
        <w:spacing w:before="77" w:line="268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6"/>
          <w:position w:val="1"/>
        </w:rPr>
        <w:t>指导意见</w:t>
      </w:r>
      <w:r>
        <w:rPr>
          <w:rFonts w:ascii="SimHei" w:hAnsi="SimHei" w:eastAsia="SimHei" w:cs="SimHei"/>
          <w:sz w:val="20"/>
          <w:szCs w:val="20"/>
          <w:color w:val="231F20"/>
          <w:spacing w:val="-35"/>
          <w:position w:val="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  <w:position w:val="1"/>
        </w:rPr>
        <w:t>11</w:t>
      </w:r>
      <w:r>
        <w:rPr>
          <w:rFonts w:ascii="SimHei" w:hAnsi="SimHei" w:eastAsia="SimHei" w:cs="SimHei"/>
          <w:sz w:val="20"/>
          <w:szCs w:val="20"/>
          <w:color w:val="231F20"/>
          <w:spacing w:val="-6"/>
          <w:position w:val="1"/>
        </w:rPr>
        <w:t>：腹部</w:t>
      </w:r>
      <w:r>
        <w:rPr>
          <w:rFonts w:ascii="SimHei" w:hAnsi="SimHei" w:eastAsia="SimHei" w:cs="SimHei"/>
          <w:sz w:val="20"/>
          <w:szCs w:val="20"/>
          <w:color w:val="231F20"/>
          <w:spacing w:val="-57"/>
          <w:position w:val="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  <w:position w:val="1"/>
        </w:rPr>
        <w:t>CT</w:t>
      </w:r>
      <w:r>
        <w:rPr>
          <w:rFonts w:ascii="Arial" w:hAnsi="Arial" w:eastAsia="Arial" w:cs="Arial"/>
          <w:sz w:val="20"/>
          <w:szCs w:val="20"/>
          <w:color w:val="231F20"/>
          <w:spacing w:val="-13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6"/>
          <w:position w:val="1"/>
        </w:rPr>
        <w:t>血管造影（</w:t>
      </w:r>
      <w:r>
        <w:rPr>
          <w:rFonts w:ascii="Arial" w:hAnsi="Arial" w:eastAsia="Arial" w:cs="Arial"/>
          <w:sz w:val="20"/>
          <w:szCs w:val="20"/>
          <w:color w:val="231F20"/>
          <w:spacing w:val="-6"/>
          <w:position w:val="1"/>
        </w:rPr>
        <w:t>CTA</w:t>
      </w:r>
      <w:r>
        <w:rPr>
          <w:rFonts w:ascii="SimHei" w:hAnsi="SimHei" w:eastAsia="SimHei" w:cs="SimHei"/>
          <w:sz w:val="20"/>
          <w:szCs w:val="20"/>
          <w:color w:val="231F20"/>
          <w:spacing w:val="-6"/>
          <w:position w:val="1"/>
        </w:rPr>
        <w:t>）有助于</w:t>
      </w:r>
    </w:p>
    <w:p>
      <w:pPr>
        <w:ind w:left="76" w:right="74" w:firstLine="4"/>
        <w:spacing w:before="51" w:line="29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15"/>
        </w:rPr>
        <w:t>排除血管闭塞导致的结肠缺血。对疑诊急性肠系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膜缺血或孤立性右半结肠缺血的患者，推荐</w:t>
      </w:r>
      <w:r>
        <w:rPr>
          <w:rFonts w:ascii="SimHei" w:hAnsi="SimHei" w:eastAsia="SimHei" w:cs="SimHei"/>
          <w:sz w:val="20"/>
          <w:szCs w:val="20"/>
          <w:color w:val="231F20"/>
          <w:spacing w:val="-4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CTA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。</w:t>
      </w:r>
    </w:p>
    <w:p>
      <w:pPr>
        <w:ind w:left="72" w:right="81" w:firstLine="420"/>
        <w:spacing w:before="124" w:line="22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腹部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CT</w:t>
      </w:r>
      <w:r>
        <w:rPr>
          <w:rFonts w:ascii="Arial" w:hAnsi="Arial" w:eastAsia="Arial" w:cs="Arial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血管造影检查对发现肠系膜动脉栓塞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或血栓形成，有无肠系膜静脉血栓有明显优势，有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助于排除血管闭塞导致的肠缺血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。对非闭塞性结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肠缺血可明确病变分布范围及严重程度，诊断阳性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预测值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98%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7"/>
          <w:position w:val="8"/>
        </w:rPr>
        <w:t>41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。对疑诊急性肠系膜缺血或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孤立性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右半结肠缺血的患者，推荐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CTA</w:t>
      </w:r>
      <w:r>
        <w:rPr>
          <w:rFonts w:ascii="Arial" w:hAnsi="Arial" w:eastAsia="Arial" w:cs="Arial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用于明确有无血管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闭塞所致的急性肠系膜缺血以及是否需行血管再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CT</w:t>
      </w:r>
      <w:r>
        <w:rPr>
          <w:rFonts w:ascii="Arial" w:hAnsi="Arial" w:eastAsia="Arial" w:cs="Arial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对比剂的副作用尤其是对老年人肾功能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的影响需要重视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。应权衡利弊，增强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CT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检查前要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注意肾功能的评估。</w:t>
      </w:r>
    </w:p>
    <w:p>
      <w:pPr>
        <w:ind w:right="81" w:firstLine="498"/>
        <w:spacing w:before="71" w:line="298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11"/>
        </w:rPr>
        <w:t>指导意见</w:t>
      </w:r>
      <w:r>
        <w:rPr>
          <w:rFonts w:ascii="SimHei" w:hAnsi="SimHei" w:eastAsia="SimHei" w:cs="SimHei"/>
          <w:sz w:val="20"/>
          <w:szCs w:val="20"/>
          <w:color w:val="231F20"/>
          <w:spacing w:val="-4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>12</w:t>
      </w:r>
      <w:r>
        <w:rPr>
          <w:rFonts w:ascii="SimHei" w:hAnsi="SimHei" w:eastAsia="SimHei" w:cs="SimHei"/>
          <w:sz w:val="20"/>
          <w:szCs w:val="20"/>
          <w:color w:val="231F20"/>
          <w:spacing w:val="11"/>
        </w:rPr>
        <w:t>：腹部超声对肠壁损伤及肠系膜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血</w:t>
      </w:r>
      <w:r>
        <w:rPr>
          <w:rFonts w:ascii="SimHei" w:hAnsi="SimHei" w:eastAsia="SimHei" w:cs="SimHei"/>
          <w:sz w:val="20"/>
          <w:szCs w:val="20"/>
          <w:color w:val="231F20"/>
          <w:spacing w:val="-5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管</w:t>
      </w:r>
      <w:r>
        <w:rPr>
          <w:rFonts w:ascii="SimHei" w:hAnsi="SimHei" w:eastAsia="SimHei" w:cs="SimHei"/>
          <w:sz w:val="20"/>
          <w:szCs w:val="20"/>
          <w:color w:val="231F20"/>
          <w:spacing w:val="-6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检</w:t>
      </w:r>
      <w:r>
        <w:rPr>
          <w:rFonts w:ascii="SimHei" w:hAnsi="SimHei" w:eastAsia="SimHei" w:cs="SimHei"/>
          <w:sz w:val="20"/>
          <w:szCs w:val="20"/>
          <w:color w:val="231F20"/>
          <w:spacing w:val="-5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查</w:t>
      </w:r>
      <w:r>
        <w:rPr>
          <w:rFonts w:ascii="SimHei" w:hAnsi="SimHei" w:eastAsia="SimHei" w:cs="SimHei"/>
          <w:sz w:val="20"/>
          <w:szCs w:val="20"/>
          <w:color w:val="231F20"/>
          <w:spacing w:val="-57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有</w:t>
      </w:r>
      <w:r>
        <w:rPr>
          <w:rFonts w:ascii="SimHei" w:hAnsi="SimHei" w:eastAsia="SimHei" w:cs="SimHei"/>
          <w:sz w:val="20"/>
          <w:szCs w:val="20"/>
          <w:color w:val="231F20"/>
          <w:spacing w:val="-5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参</w:t>
      </w:r>
      <w:r>
        <w:rPr>
          <w:rFonts w:ascii="SimHei" w:hAnsi="SimHei" w:eastAsia="SimHei" w:cs="SimHei"/>
          <w:sz w:val="20"/>
          <w:szCs w:val="20"/>
          <w:color w:val="231F20"/>
          <w:spacing w:val="-55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考</w:t>
      </w:r>
      <w:r>
        <w:rPr>
          <w:rFonts w:ascii="SimHei" w:hAnsi="SimHei" w:eastAsia="SimHei" w:cs="SimHei"/>
          <w:sz w:val="20"/>
          <w:szCs w:val="20"/>
          <w:color w:val="231F20"/>
          <w:spacing w:val="-57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价</w:t>
      </w:r>
      <w:r>
        <w:rPr>
          <w:rFonts w:ascii="SimHei" w:hAnsi="SimHei" w:eastAsia="SimHei" w:cs="SimHei"/>
          <w:sz w:val="20"/>
          <w:szCs w:val="20"/>
          <w:color w:val="231F20"/>
          <w:spacing w:val="-6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值</w:t>
      </w:r>
      <w:r>
        <w:rPr>
          <w:rFonts w:ascii="SimHei" w:hAnsi="SimHei" w:eastAsia="SimHei" w:cs="SimHei"/>
          <w:sz w:val="20"/>
          <w:szCs w:val="20"/>
          <w:color w:val="231F20"/>
          <w:spacing w:val="-47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。</w:t>
      </w:r>
      <w:r>
        <w:rPr>
          <w:rFonts w:ascii="SimHei" w:hAnsi="SimHei" w:eastAsia="SimHei" w:cs="SimHei"/>
          <w:sz w:val="20"/>
          <w:szCs w:val="20"/>
          <w:color w:val="231F20"/>
          <w:spacing w:val="-6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腹</w:t>
      </w:r>
      <w:r>
        <w:rPr>
          <w:rFonts w:ascii="SimHei" w:hAnsi="SimHei" w:eastAsia="SimHei" w:cs="SimHei"/>
          <w:sz w:val="20"/>
          <w:szCs w:val="20"/>
          <w:color w:val="231F20"/>
          <w:spacing w:val="-55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部</w:t>
      </w:r>
      <w:r>
        <w:rPr>
          <w:rFonts w:ascii="SimHei" w:hAnsi="SimHei" w:eastAsia="SimHei" w:cs="SimHei"/>
          <w:sz w:val="20"/>
          <w:szCs w:val="20"/>
          <w:color w:val="231F20"/>
          <w:spacing w:val="-62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磁</w:t>
      </w:r>
      <w:r>
        <w:rPr>
          <w:rFonts w:ascii="SimHei" w:hAnsi="SimHei" w:eastAsia="SimHei" w:cs="SimHei"/>
          <w:sz w:val="20"/>
          <w:szCs w:val="20"/>
          <w:color w:val="231F20"/>
          <w:spacing w:val="-52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共</w:t>
      </w:r>
      <w:r>
        <w:rPr>
          <w:rFonts w:ascii="SimHei" w:hAnsi="SimHei" w:eastAsia="SimHei" w:cs="SimHei"/>
          <w:sz w:val="20"/>
          <w:szCs w:val="20"/>
          <w:color w:val="231F20"/>
          <w:spacing w:val="-5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振</w:t>
      </w:r>
      <w:r>
        <w:rPr>
          <w:rFonts w:ascii="SimHei" w:hAnsi="SimHei" w:eastAsia="SimHei" w:cs="SimHei"/>
          <w:sz w:val="20"/>
          <w:szCs w:val="20"/>
          <w:color w:val="231F20"/>
          <w:spacing w:val="-56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血</w:t>
      </w:r>
      <w:r>
        <w:rPr>
          <w:rFonts w:ascii="SimHei" w:hAnsi="SimHei" w:eastAsia="SimHei" w:cs="SimHei"/>
          <w:sz w:val="20"/>
          <w:szCs w:val="20"/>
          <w:color w:val="231F20"/>
          <w:spacing w:val="-5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管</w:t>
      </w:r>
      <w:r>
        <w:rPr>
          <w:rFonts w:ascii="SimHei" w:hAnsi="SimHei" w:eastAsia="SimHei" w:cs="SimHei"/>
          <w:sz w:val="20"/>
          <w:szCs w:val="20"/>
          <w:color w:val="231F20"/>
          <w:spacing w:val="-5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造</w:t>
      </w:r>
      <w:r>
        <w:rPr>
          <w:rFonts w:ascii="SimHei" w:hAnsi="SimHei" w:eastAsia="SimHei" w:cs="SimHei"/>
          <w:sz w:val="20"/>
          <w:szCs w:val="20"/>
          <w:color w:val="231F20"/>
          <w:spacing w:val="-56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影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（</w:t>
      </w:r>
      <w:r>
        <w:rPr>
          <w:rFonts w:ascii="Arial" w:hAnsi="Arial" w:eastAsia="Arial" w:cs="Arial"/>
          <w:sz w:val="20"/>
          <w:szCs w:val="20"/>
          <w:color w:val="231F20"/>
        </w:rPr>
        <w:t>MRA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）不推荐作为常规检查。</w:t>
      </w:r>
    </w:p>
    <w:p>
      <w:pPr>
        <w:ind w:left="73" w:firstLine="426"/>
        <w:spacing w:before="113" w:line="22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多普勒超声检查简便易行，床旁操作是腹部超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声检查的一大优势，尤其适用于行动不便的老年腹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痛患者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。腹部超声检查不仅能显示有无肠壁增厚、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肠管扩张、腹腔积液及腹腔游离气体，也可通过肠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系膜血流速率测定，间接判断肠系膜血管狭窄程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度，为进一步检查提供可靠信息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。但超声检查过程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可能会受肠气干扰，另外操作者的经验对检查结果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有直接影响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。腹部磁共振检查对空腔脏器显示不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CT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扫描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</w:t>
      </w:r>
      <w:r>
        <w:rPr>
          <w:rFonts w:ascii="Arial" w:hAnsi="Arial" w:eastAsia="Arial" w:cs="Arial"/>
          <w:sz w:val="20"/>
          <w:szCs w:val="20"/>
          <w:color w:val="231F20"/>
        </w:rPr>
        <w:t>MRA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对肠系膜血管的显示与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CTA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相</w:t>
      </w:r>
    </w:p>
    <w:p>
      <w:pPr>
        <w:spacing w:line="227" w:lineRule="auto"/>
        <w:sectPr>
          <w:type w:val="continuous"/>
          <w:pgSz w:w="12246" w:h="16498"/>
          <w:pgMar w:top="1221" w:right="1223" w:bottom="0" w:left="819" w:header="971" w:footer="0" w:gutter="0"/>
          <w:cols w:equalWidth="0" w:num="2">
            <w:col w:w="5420" w:space="100"/>
            <w:col w:w="4684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61"/>
        <w:rPr/>
      </w:pPr>
      <w:r>
        <w:pict>
          <v:shape id="_x0000_s30" style="position:absolute;margin-left:65.1968pt;margin-top:59.6176pt;mso-position-vertical-relative:page;mso-position-horizontal-relative:page;width:292.75pt;height:0.4pt;z-index:251675648;" o:allowincell="f" filled="false" strokecolor="#231F20" strokeweight="0.37pt" coordsize="5855,8" coordorigin="0,0" path="m0,3l5854,3e">
            <v:stroke joinstyle="miter" miterlimit="4"/>
          </v:shape>
        </w:pict>
      </w:r>
      <w:r/>
    </w:p>
    <w:p>
      <w:pPr>
        <w:sectPr>
          <w:headerReference w:type="default" r:id="rId7"/>
          <w:pgSz w:w="12246" w:h="16498"/>
          <w:pgMar w:top="1221" w:right="1224" w:bottom="0" w:left="819" w:header="971" w:footer="0" w:gutter="0"/>
          <w:cols w:equalWidth="0" w:num="1">
            <w:col w:w="10202" w:space="0"/>
          </w:cols>
        </w:sectPr>
        <w:rPr/>
      </w:pPr>
    </w:p>
    <w:p>
      <w:pPr>
        <w:ind w:left="491" w:right="474" w:firstLine="14"/>
        <w:spacing w:before="49" w:line="22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当，无放射性是其优势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。但检查耗时长，尤其是高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龄老人可因幽闭恐惧、体弱等限制不能耐受磁共振</w:t>
      </w:r>
    </w:p>
    <w:p>
      <w:pPr>
        <w:ind w:left="491"/>
        <w:spacing w:line="184" w:lineRule="auto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检查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。体内有金属植入者不能行磁共振检查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因</w:t>
      </w:r>
    </w:p>
    <w:p>
      <w:pPr>
        <w:ind w:left="486"/>
        <w:spacing w:before="53" w:line="18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此不推荐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MRA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作为结肠缺血的常规检查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［42］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</w:t>
      </w:r>
    </w:p>
    <w:p>
      <w:pPr>
        <w:ind w:left="914"/>
        <w:spacing w:before="153" w:line="211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指导意见</w:t>
      </w:r>
      <w:r>
        <w:rPr>
          <w:rFonts w:ascii="SimHei" w:hAnsi="SimHei" w:eastAsia="SimHei" w:cs="Sim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13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：结肠镜是结肠缺血诊断的重要</w:t>
      </w:r>
    </w:p>
    <w:p>
      <w:pPr>
        <w:ind w:left="491" w:right="474" w:firstLine="5"/>
        <w:spacing w:before="18" w:line="26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方法，对于血液动力学稳定且无穿孔、坏疽等检查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9"/>
        </w:rPr>
        <w:t>禁忌者，应尽早行结肠镜检查（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48 h</w:t>
      </w:r>
      <w:r>
        <w:rPr>
          <w:rFonts w:ascii="SimHei" w:hAnsi="SimHei" w:eastAsia="SimHei" w:cs="SimHei"/>
          <w:sz w:val="20"/>
          <w:szCs w:val="20"/>
          <w:color w:val="231F20"/>
          <w:spacing w:val="-9"/>
        </w:rPr>
        <w:t>内）。</w:t>
      </w:r>
    </w:p>
    <w:p>
      <w:pPr>
        <w:ind w:left="489" w:right="407" w:firstLine="420"/>
        <w:spacing w:before="95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结肠镜是结肠缺血诊断的重要方法，肠镜检查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能直接观察结肠黏膜状态并可获取组织标本行病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理学检查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［3，43］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。如无穿孔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、坏疽等检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查禁忌情况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下，应在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48 h 内尽早完成结肠镜检查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［37，44］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。对疑似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结肠缺血进行结肠镜检查前无须按常规进行肠道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准备，以防止肠腔内大量液体引起的并发症及多次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腹泻引起的低灌注状态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。检查时注气应该最小化，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避免气体过多致肠腔内压力过高加重肠壁缺血，首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选可吸收的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CO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-4"/>
        </w:rPr>
        <w:t>2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气体，降低肠穿孔风险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［5］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。对严重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结肠缺血，应在腹部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CT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评估病变的基础上行姑息</w:t>
      </w:r>
    </w:p>
    <w:p>
      <w:pPr>
        <w:ind w:left="489"/>
        <w:spacing w:line="184" w:lineRule="auto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性结肠镜检查，尽可能进镜至最接近口侧端的病变</w:t>
      </w:r>
    </w:p>
    <w:p>
      <w:pPr>
        <w:ind w:left="490" w:right="474" w:hanging="1"/>
        <w:spacing w:before="50" w:line="22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后及时终止检查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［45］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。若无结肠坏疽，建议行黏膜活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。治疗后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周复查结肠镜，如显示肠黏膜基本恢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复正常，有助于结肠缺血的诊断。</w:t>
      </w:r>
    </w:p>
    <w:p>
      <w:pPr>
        <w:ind w:left="491" w:right="473" w:firstLine="422"/>
        <w:spacing w:before="79" w:line="273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指导意见</w:t>
      </w:r>
      <w:r>
        <w:rPr>
          <w:rFonts w:ascii="SimHei" w:hAnsi="SimHei" w:eastAsia="SimHei" w:cs="Sim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14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：肠镜检查所见的出血性结节样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5"/>
        </w:rPr>
        <w:t>改变是结肠缺血早期内镜下一种典型表现。病变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界限清楚以及沿结肠纵向的线形溃疡，有助于结肠</w:t>
      </w:r>
      <w:r>
        <w:rPr>
          <w:rFonts w:ascii="SimHei" w:hAnsi="SimHei" w:eastAsia="SimHei" w:cs="SimHei"/>
          <w:sz w:val="20"/>
          <w:szCs w:val="20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缺血与其他疾病鉴别。</w:t>
      </w:r>
    </w:p>
    <w:p>
      <w:pPr>
        <w:ind w:left="487" w:right="408" w:firstLine="422"/>
        <w:spacing w:before="112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结肠镜下表现取决于缺血持续时间和缺血的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严重程度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。结肠缺血的内镜特征包括黏膜充血、水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肿、瘀斑，黏膜下出血，黏膜呈暗红色或黄色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，血管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网消失，可有部分黏膜坏死，继之黏膜脱落、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溃疡形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。在严重的缺血病例，结肠发生透壁梗死，镜下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可见灰绿色或黑色黏膜结节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。48 h 内肠镜检查时，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镜下所见的出血性结节改变是结肠缺血的典型表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现，由黏膜下出血或水肿形成所致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。黏膜下出血在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48 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后可以被溃疡所替代，随后逐渐修复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。病变肠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段与正常肠段之间界限清楚，一旦缺血改善，其症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状消失快，轻者病变恢复快，“两快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”特征是结肠缺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血与其他肠炎相鉴别的关键之一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［46］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</w:t>
      </w:r>
    </w:p>
    <w:p>
      <w:pPr>
        <w:ind w:left="488" w:right="473" w:firstLine="421"/>
        <w:spacing w:line="22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7462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890967</wp:posOffset>
            </wp:positionV>
            <wp:extent cx="2805668" cy="304216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结肠缺血内镜表现分 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期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［47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期：正常黏膜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内散在片状红斑；Ⅱ期：非坏死性溃疡伴黏膜出血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和水肿；Ⅲ期：深在的坏死性溃疡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。组织病理学改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变通常是非特异性的，一项对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616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例经临床+结肠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镜+病理确诊的结肠缺血病例分析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［31］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表明：病理表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 w:firstLine="3"/>
        <w:spacing w:before="43" w:line="22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  <w:w w:val="96"/>
        </w:rPr>
        <w:t>现包括炎症（51.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  <w:w w:val="96"/>
        </w:rPr>
        <w:t>1%）、溃疡（38.2%）、纤维化（26%）、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坏死（20.4%）等，而经典的“黏膜梗死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”和“鬼影细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”分别仅占 1.6%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0.2%。</w:t>
      </w:r>
    </w:p>
    <w:p>
      <w:pPr>
        <w:ind w:left="425"/>
        <w:spacing w:before="83" w:line="211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指导意见</w:t>
      </w:r>
      <w:r>
        <w:rPr>
          <w:rFonts w:ascii="SimHei" w:hAnsi="SimHei" w:eastAsia="SimHei" w:cs="Sim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15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：可逆型或轻中度结肠缺血的老</w:t>
      </w:r>
    </w:p>
    <w:p>
      <w:pPr>
        <w:ind w:left="6" w:right="81" w:firstLine="3"/>
        <w:spacing w:before="14" w:line="29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年患者，可予祛除病因、容量补充、应用扩血管药</w:t>
      </w:r>
      <w:r>
        <w:rPr>
          <w:rFonts w:ascii="SimHei" w:hAnsi="SimHei" w:eastAsia="SimHei" w:cs="SimHei"/>
          <w:sz w:val="20"/>
          <w:szCs w:val="20"/>
          <w:color w:val="231F20"/>
          <w:spacing w:val="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6"/>
        </w:rPr>
        <w:t>物、对症治疗、预防感染等处理。</w:t>
      </w:r>
    </w:p>
    <w:p>
      <w:pPr>
        <w:ind w:firstLine="427"/>
        <w:spacing w:before="118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多数可逆型结肠缺血经内科治疗预后良好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［3］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根据患者病情酌情采用合适的内科治疗手段，包括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吸氧、祛除病因、减轻肠道负荷、胃肠外营养支持、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抗生素治疗等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。吸氧、禁食可减轻肠道缺血缺氧，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使肠道充分休息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。腹胀或有肠梗阻表现者可胃肠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减压、肛管排气，降低肠腔压力，缓解结肠扩张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。保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持出入量平衡，补充血容量，改善肠道低灌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注，促进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局部代谢产物清除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。停用可能促发结肠缺血相关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的药物，如诱发便秘的药物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、缩血管药物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、降压药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［3，48］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。肠缺血及再灌注损伤导致肠黏膜屏障破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坏可引发肠道菌群移位，视具体病情可预防应用抗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生素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2~3 d，减少病原菌和细菌移位，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减轻缺血损伤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导致的全身炎症反应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［49］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。应用血管扩张药，如罂粟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碱、前列地尔或丹参增加微血管灌注以改善肠道血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供，疗程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3~7 d，少数患者需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。密切观察腹部症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状体征，持续监测血常规及血生化指标，直至病情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稳定。</w:t>
      </w:r>
    </w:p>
    <w:p>
      <w:pPr>
        <w:ind w:left="7" w:right="81" w:firstLine="418"/>
        <w:spacing w:before="72" w:line="241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指导意见</w:t>
      </w:r>
      <w:r>
        <w:rPr>
          <w:rFonts w:ascii="SimHei" w:hAnsi="SimHei" w:eastAsia="SimHei" w:cs="Sim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16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：视情应用抗凝药物，糖皮质激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素、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5-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氨基水杨酸制剂以及黏膜保护剂等对结肠缺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8"/>
        </w:rPr>
        <w:t>血治疗及预防复发的作用有待验证。</w:t>
      </w:r>
    </w:p>
    <w:p>
      <w:pPr>
        <w:ind w:right="81" w:firstLine="445"/>
        <w:spacing w:before="124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由于多数结肠缺血是非闭塞性缺血，故抗栓治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疗不作为常规推荐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［5］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。节段性、非坏疽型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结肠缺血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患者心脏来源栓塞更常见，有心血管疾病基础的结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肠缺血患者预防性抗凝或抗心律失常治疗可以降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低出院后心血管死亡风险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。因此，有上述情形的老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年患者在权衡出血和血栓风险后，可视情进行抗凝</w:t>
      </w:r>
    </w:p>
    <w:p>
      <w:pPr>
        <w:ind w:left="3"/>
        <w:spacing w:before="1" w:line="18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治疗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［5，50-51］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。不推荐糖皮质激素用于结肠缺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血的治</w:t>
      </w:r>
    </w:p>
    <w:p>
      <w:pPr>
        <w:ind w:right="81"/>
        <w:spacing w:before="55" w:line="22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疗和预防，糖皮质激素的全身应用可能加重缺血损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伤或引起结肠穿孔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［48］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。有报道抗菌药物和泼尼松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>龙联合静脉输注对重症结肠缺血有潜在保护作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［52］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。柳氮磺吡啶、氨基水杨酸对结肠缺血的治疗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作用尚有争议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7"/>
        </w:rPr>
        <w:t>［48］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。有研究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7"/>
        </w:rPr>
        <w:t>［53-54］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1"/>
        </w:rPr>
        <w:t>明，黏膜保护剂瑞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巴派特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、聚普瑞锌可减轻结肠缺血黏膜炎症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、糜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烂，促进黏膜损伤修复。</w:t>
      </w:r>
    </w:p>
    <w:p>
      <w:pPr>
        <w:ind w:left="3" w:right="81" w:firstLine="422"/>
        <w:spacing w:before="66" w:line="25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指导意见</w:t>
      </w:r>
      <w:r>
        <w:rPr>
          <w:rFonts w:ascii="SimHei" w:hAnsi="SimHei" w:eastAsia="SimHei" w:cs="Sim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17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：出现肠坏疽或孤立性右半结肠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缺血以及全结肠缺血合并腹膜炎、结肠狭窄等病情</w:t>
      </w:r>
    </w:p>
    <w:p>
      <w:pPr>
        <w:spacing w:line="251" w:lineRule="auto"/>
        <w:sectPr>
          <w:type w:val="continuous"/>
          <w:pgSz w:w="12246" w:h="16498"/>
          <w:pgMar w:top="1221" w:right="1224" w:bottom="0" w:left="819" w:header="971" w:footer="0" w:gutter="0"/>
          <w:cols w:equalWidth="0" w:num="2">
            <w:col w:w="5491" w:space="100"/>
            <w:col w:w="4611" w:space="0"/>
          </w:cols>
        </w:sectPr>
        <w:rPr>
          <w:rFonts w:ascii="SimHei" w:hAnsi="SimHei" w:eastAsia="SimHei" w:cs="SimHei"/>
          <w:sz w:val="20"/>
          <w:szCs w:val="20"/>
        </w:rPr>
      </w:pPr>
    </w:p>
    <w:p>
      <w:pPr>
        <w:spacing w:before="54"/>
        <w:rPr/>
      </w:pPr>
      <w:r>
        <w:pict>
          <v:shape id="_x0000_s36" style="position:absolute;margin-left:254.344pt;margin-top:59.6176pt;mso-position-vertical-relative:page;mso-position-horizontal-relative:page;width:292.75pt;height:0.4pt;z-index:251679744;" o:allowincell="f" filled="false" strokecolor="#231F20" strokeweight="0.37pt" coordsize="5855,8" coordorigin="0,0" path="m0,3l5854,3e">
            <v:stroke joinstyle="miter" miterlimit="4"/>
          </v:shape>
        </w:pict>
      </w:r>
      <w:r/>
    </w:p>
    <w:p>
      <w:pPr>
        <w:sectPr>
          <w:headerReference w:type="default" r:id="rId8"/>
          <w:pgSz w:w="12246" w:h="16498"/>
          <w:pgMar w:top="1221" w:right="1246" w:bottom="0" w:left="819" w:header="971" w:footer="0" w:gutter="0"/>
          <w:cols w:equalWidth="0" w:num="1">
            <w:col w:w="10179" w:space="0"/>
          </w:cols>
        </w:sectPr>
        <w:rPr/>
      </w:pPr>
    </w:p>
    <w:p>
      <w:pPr>
        <w:ind w:left="490"/>
        <w:spacing w:before="46" w:line="239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严重者，应考虑外科手术切除病变肠管。</w:t>
      </w:r>
    </w:p>
    <w:p>
      <w:pPr>
        <w:ind w:left="488" w:right="403" w:firstLine="421"/>
        <w:spacing w:before="170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结肠缺血发生肠坏死或重症全结肠炎患者如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果不手术治疗，病死率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100%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，手术后的病死率仍高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50%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左右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55-56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。因此，中度结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肠缺血患者应请外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科会诊，重度结肠缺血需要外科干预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。结肠缺血的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急诊手术适应证包括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2"/>
          <w:position w:val="8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2"/>
          <w:position w:val="8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12"/>
          <w:position w:val="8"/>
        </w:rPr>
        <w:t>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2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  <w:w w:val="22"/>
        </w:rPr>
        <w:t>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患者临床状况恶化，出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现腹膜炎、大量出血、肠梗阻、脓毒血症、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暴发性全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结肠炎伴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不伴中毒性巨结肠、影像显示门静脉气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体或肠壁积气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。限期手术适应证包括：急性节段性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结肠缺血治疗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2~3</w:t>
      </w:r>
      <w:r>
        <w:rPr>
          <w:rFonts w:ascii="Arial" w:hAnsi="Arial" w:eastAsia="Arial" w:cs="Arial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周后仍无改善，症状持续或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出现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蛋白丢失性肠病，貌似治愈但反复发作感染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。择期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手术适应证包括：症状性结肠狭窄、症状性节段性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结肠缺血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。慢性结肠狭窄时可考虑内镜下扩张或</w:t>
      </w:r>
    </w:p>
    <w:p>
      <w:pPr>
        <w:ind w:left="490"/>
        <w:spacing w:line="18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  <w:position w:val="-2"/>
        </w:rPr>
        <w:t>支架植入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6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7"/>
          <w:position w:val="6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6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-7"/>
          <w:position w:val="6"/>
        </w:rPr>
        <w:t>48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6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  <w:position w:val="-2"/>
        </w:rPr>
        <w:t>。</w:t>
      </w:r>
    </w:p>
    <w:p>
      <w:pPr>
        <w:ind w:left="914"/>
        <w:spacing w:before="150" w:line="239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指导意见</w:t>
      </w:r>
      <w:r>
        <w:rPr>
          <w:rFonts w:ascii="SimHei" w:hAnsi="SimHei" w:eastAsia="SimHei" w:cs="SimHei"/>
          <w:sz w:val="20"/>
          <w:szCs w:val="20"/>
          <w:color w:val="231F20"/>
          <w:spacing w:val="-3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18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：重视不良预后危险因素的管理，</w:t>
      </w:r>
    </w:p>
    <w:p>
      <w:pPr>
        <w:ind w:left="493"/>
        <w:spacing w:before="58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7"/>
          <w:position w:val="1"/>
        </w:rPr>
        <w:t>预防结肠缺血复发。</w:t>
      </w:r>
    </w:p>
    <w:p>
      <w:pPr>
        <w:ind w:left="489" w:right="324" w:firstLine="428"/>
        <w:spacing w:before="162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2"/>
        </w:rPr>
        <w:t>80%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以上的结肠缺血病变可逆，临床症状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通常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在数天内缓解，结肠病变在数周内愈合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57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。结肠病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变严重者愈合时间可能达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6</w:t>
      </w:r>
      <w:r>
        <w:rPr>
          <w:rFonts w:ascii="Arial" w:hAnsi="Arial" w:eastAsia="Arial" w:cs="Arial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周，愈合期患者通常无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症状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。但可复发，并且随着时间推移，复发率逐年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增加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。文献报道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5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5"/>
          <w:position w:val="8"/>
        </w:rPr>
        <w:t>58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  <w:w w:val="6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估计的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1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、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2~3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、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4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  <w:w w:val="91"/>
        </w:rPr>
        <w:t>、</w:t>
      </w:r>
      <w:r>
        <w:rPr>
          <w:rFonts w:ascii="Arial" w:hAnsi="Arial" w:eastAsia="Arial" w:cs="Arial"/>
          <w:sz w:val="20"/>
          <w:szCs w:val="20"/>
          <w:color w:val="231F20"/>
          <w:spacing w:val="-17"/>
          <w:w w:val="91"/>
        </w:rPr>
        <w:t>5~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6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年 的 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是 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3%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、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5%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、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6%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、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10%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5%~10%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病例发展成慢性，表现为慢性节段型肠炎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或结肠狭窄。</w:t>
      </w:r>
    </w:p>
    <w:p>
      <w:pPr>
        <w:ind w:left="490" w:right="402" w:firstLine="420"/>
        <w:spacing w:before="1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结肠缺血不良预后的危险因素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8"/>
        </w:rPr>
        <w:t>59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包括：孤立性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右半结肠缺血、高龄、合并疾病（慢阻肺、终末期肾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  <w:w w:val="99"/>
        </w:rPr>
        <w:t>病、菌血症、急性系膜缺血、高血压、糖尿病）、低血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压、心动过速、血液动力学不稳定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。对老年结肠缺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血的研究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49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显示，上述诸因素以及腹膜炎征象、血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乳酸和尿素氮升高、合并肿瘤或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HCV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感染均提示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预后不良。</w:t>
      </w:r>
    </w:p>
    <w:p>
      <w:pPr>
        <w:ind w:left="490" w:right="403" w:firstLine="423"/>
        <w:spacing w:before="1" w:line="22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老年结肠缺血复发的预防策略包括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1"/>
          <w:position w:val="8"/>
        </w:rPr>
        <w:t>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  <w:w w:val="22"/>
        </w:rPr>
        <w:t>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监控并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管理好上述各种危险因素，管理血压以确保最佳的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结肠灌注，积极治疗便秘维持大便通畅，在疾病或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运动时注意适当补充液体维持血容量，整理服药单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去除可能诱发缺血的药物等。</w:t>
      </w:r>
    </w:p>
    <w:p>
      <w:pPr>
        <w:ind w:left="855"/>
        <w:spacing w:before="70" w:line="20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11"/>
        </w:rPr>
        <w:t>执笔：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刘文徽；王刚石；吴本俨</w:t>
      </w:r>
    </w:p>
    <w:p>
      <w:pPr>
        <w:ind w:left="423" w:right="403" w:firstLine="429"/>
        <w:spacing w:before="32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drawing>
          <wp:anchor distT="0" distB="0" distL="0" distR="0" simplePos="0" relativeHeight="25167872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997187</wp:posOffset>
            </wp:positionV>
            <wp:extent cx="2805668" cy="304216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指导意见撰写组名单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（以姓氏汉语拼音排序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1"/>
          <w:w w:val="65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曹丰［国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家老年疾病临床医学研究中心（解放军总医院）老年心血管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5"/>
        </w:rPr>
        <w:t>］；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范利［国家老年疾病临床医学研究中心（解放军总医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院）老年心血管内科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5"/>
        </w:rPr>
        <w:t>］；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和水祥（西安交通大学第一附属医院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5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李姝（天津医科大学总医院消化内科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5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李小鹰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［国家老年疾病临床医学研究中心（解放军总医院）老年心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71"/>
        <w:spacing w:before="45" w:line="235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9"/>
        </w:rPr>
        <w:t>血管内科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0"/>
          <w:w w:val="70"/>
        </w:rPr>
        <w:t>］；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9"/>
        </w:rPr>
        <w:t>刘文徽（解放军总医院第二医学中心消化内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0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吕红（中国医学科学院 北京协和医学院 北京协和医院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马颖才（青海省人民医院消化内科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齐玲芝（吉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林省人民医院消化内科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  <w:w w:val="70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孙晓宁（海南医学院附属海南医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2"/>
        </w:rPr>
        <w:t>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9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2"/>
        </w:rPr>
        <w:t>万军（解放军总医院第二医学中心消化内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王炳元（中国医科大学附属第一医院消化内科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王芬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（中南大学湘雅三医院消化内科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王刚石［国家老年疾病临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床医学研究中心（解放军总医院）老年消化内科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0"/>
          <w:w w:val="71"/>
        </w:rPr>
        <w:t>］；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吴本俨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（解放军总医院第二医学中心消化内科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许国强（浙江大学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医学院附属第一医院消化内科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3"/>
          <w:w w:val="81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许乐（北京医院消化科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3"/>
          <w:w w:val="81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徐丽姝（广东省人民医院老年消化科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徐世平（解放军总医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院第二医学中心消化内科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  <w:w w:val="63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阎明（山东大学齐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鲁医院老年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消化科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杨立（解放军总医院第一医学中心放射科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杨云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生［解放军总医院第一医学中心消化内科医学部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国家老年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疾病临床医学研究中心（解放军总医院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5"/>
        </w:rPr>
        <w:t>）］；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于晓峰（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复旦大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学附属华东医院消化内科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  <w:w w:val="63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张志广（天津医科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大学第二医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  <w:w w:val="63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张子其（解放军总医院第二医学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中心消化内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郑松柏（复旦大学附属华东医院消化内科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祝喜萍（黑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龙江省医院消化内三科）</w:t>
      </w:r>
    </w:p>
    <w:p>
      <w:pPr>
        <w:ind w:firstLine="434"/>
        <w:spacing w:before="2" w:line="235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编审专家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（以姓氏汉语拼音排序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1"/>
          <w:w w:val="65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陈科全（广州医科大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2"/>
        </w:rPr>
        <w:t>学附属第一医院消化内科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9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2"/>
        </w:rPr>
        <w:t>付万发（北京老年医院消化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洪汝涛（安徽医大第一附属医院消化内科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黄雪（广西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医科大学第一附属医院老年消化科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9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霍晓辉（河北医科大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学第一医院消化内科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3"/>
          <w:w w:val="81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刘明东（南京鼓楼医院消化内科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3"/>
          <w:w w:val="81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刘庆民（山东省菏泽市立医院消化内科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宁晓暄（空军军医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大学西京医院老年病科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9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潘文胜（浙江省人民医院消化内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史丽萍（陕西省人民医院老年消化科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宋秋花（青海省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西宁市第一人民医院消化内科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9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谭诗云（武汉大学人民医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王晶桐（北京大学人民医院老年医学科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王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7"/>
        </w:rPr>
        <w:t>志津（北京解放军第三</w:t>
      </w:r>
      <w:r>
        <w:rPr>
          <w:rFonts w:ascii="Arial" w:hAnsi="Arial" w:eastAsia="Arial" w:cs="Arial"/>
          <w:sz w:val="17"/>
          <w:szCs w:val="17"/>
          <w:color w:val="231F20"/>
          <w:spacing w:val="17"/>
        </w:rPr>
        <w:t>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7"/>
        </w:rPr>
        <w:t>五医院消化科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7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7"/>
        </w:rPr>
        <w:t>习玲（山西医科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大学第一医院老年病科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9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熊枝繁（华中科技大学同济医学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院附属梨园医院消化内科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9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杨大平（贵州省人民医院消化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杨欣艳（解放军总医院第七医学中心消化内科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叶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梅（武汉大学中南医院消化内科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张玫（首都医科大学宣武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医院消化科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张文辉（北京大兴区人民医院消化科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张玉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（复旦大学附属华山医院老年医学科）</w:t>
      </w:r>
    </w:p>
    <w:p>
      <w:pPr>
        <w:ind w:left="74"/>
        <w:spacing w:line="20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8"/>
        </w:rPr>
        <w:t>利益冲突</w:t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所有作者声明无利益冲突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1712"/>
        <w:spacing w:before="55" w:line="230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2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献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647" w:right="56" w:hanging="423"/>
        <w:spacing w:before="64" w:line="22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施小明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新形势下我国老年人口面临的主要公共卫生挑战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[J].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中 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医 学 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2"/>
        </w:rPr>
        <w:t>,   2021,   101(44):   36</w:t>
      </w:r>
      <w:r>
        <w:rPr>
          <w:sz w:val="15"/>
          <w:szCs w:val="15"/>
          <w:color w:val="231F20"/>
          <w:spacing w:val="1"/>
        </w:rPr>
        <w:t>13-3619.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5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5"/>
        </w:rPr>
        <w:t>112137-2021100</w:t>
      </w:r>
      <w:r>
        <w:rPr>
          <w:sz w:val="15"/>
          <w:szCs w:val="15"/>
          <w:color w:val="231F20"/>
          <w:spacing w:val="4"/>
        </w:rPr>
        <w:t>8-02220.</w:t>
      </w:r>
    </w:p>
    <w:p>
      <w:pPr>
        <w:pStyle w:val="BodyText"/>
        <w:ind w:left="634" w:right="56" w:hanging="411"/>
        <w:spacing w:before="41" w:line="29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[2]      </w:t>
      </w:r>
      <w:r>
        <w:rPr>
          <w:sz w:val="15"/>
          <w:szCs w:val="15"/>
          <w:color w:val="231F20"/>
        </w:rPr>
        <w:t>Brandt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LJ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Feuerstadt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Blaszka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MC</w:t>
      </w:r>
      <w:r>
        <w:rPr>
          <w:sz w:val="15"/>
          <w:szCs w:val="15"/>
          <w:color w:val="231F20"/>
          <w:spacing w:val="9"/>
        </w:rPr>
        <w:t>.  </w:t>
      </w:r>
      <w:r>
        <w:rPr>
          <w:sz w:val="15"/>
          <w:szCs w:val="15"/>
          <w:color w:val="231F20"/>
        </w:rPr>
        <w:t>Anatomic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patterns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patient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characteristics,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clinical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outcomes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ischemic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colitis: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3"/>
        </w:rPr>
        <w:t>study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3"/>
        </w:rPr>
        <w:t>313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cases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supported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by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histology[J]. Am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2010,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105(10):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2245-2252;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quiz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225</w:t>
      </w:r>
      <w:r>
        <w:rPr>
          <w:sz w:val="15"/>
          <w:szCs w:val="15"/>
          <w:color w:val="231F20"/>
          <w:spacing w:val="4"/>
        </w:rPr>
        <w:t>3.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1038/</w:t>
      </w:r>
      <w:r>
        <w:rPr>
          <w:sz w:val="15"/>
          <w:szCs w:val="15"/>
          <w:color w:val="231F20"/>
        </w:rPr>
        <w:t>ajg</w:t>
      </w:r>
      <w:r>
        <w:rPr>
          <w:sz w:val="15"/>
          <w:szCs w:val="15"/>
          <w:color w:val="231F20"/>
          <w:spacing w:val="4"/>
        </w:rPr>
        <w:t>.2010.217.</w:t>
      </w:r>
    </w:p>
    <w:p>
      <w:pPr>
        <w:pStyle w:val="BodyText"/>
        <w:ind w:left="637" w:right="48" w:hanging="414"/>
        <w:spacing w:before="40" w:line="28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[3]       </w:t>
      </w:r>
      <w:r>
        <w:rPr>
          <w:sz w:val="15"/>
          <w:szCs w:val="15"/>
          <w:color w:val="231F20"/>
        </w:rPr>
        <w:t>Brandt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LJ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Feuerstadt  P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Longstreth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GF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ACG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clinical </w:t>
      </w:r>
      <w:r>
        <w:rPr>
          <w:sz w:val="15"/>
          <w:szCs w:val="15"/>
          <w:color w:val="231F20"/>
        </w:rPr>
        <w:t>guideline</w:t>
      </w:r>
      <w:r>
        <w:rPr>
          <w:sz w:val="15"/>
          <w:szCs w:val="15"/>
          <w:color w:val="231F20"/>
          <w:spacing w:val="7"/>
        </w:rPr>
        <w:t>:     </w:t>
      </w:r>
      <w:r>
        <w:rPr>
          <w:sz w:val="15"/>
          <w:szCs w:val="15"/>
          <w:color w:val="231F20"/>
        </w:rPr>
        <w:t>epidemiology</w:t>
      </w:r>
      <w:r>
        <w:rPr>
          <w:sz w:val="15"/>
          <w:szCs w:val="15"/>
          <w:color w:val="231F20"/>
          <w:spacing w:val="7"/>
        </w:rPr>
        <w:t>,    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factors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4"/>
        </w:rPr>
        <w:t xml:space="preserve">     </w:t>
      </w:r>
      <w:r>
        <w:rPr>
          <w:sz w:val="15"/>
          <w:szCs w:val="15"/>
          <w:color w:val="231F20"/>
        </w:rPr>
        <w:t>patterns</w:t>
      </w:r>
      <w:r>
        <w:rPr>
          <w:sz w:val="15"/>
          <w:szCs w:val="15"/>
          <w:color w:val="231F20"/>
          <w:spacing w:val="7"/>
        </w:rPr>
        <w:t xml:space="preserve">  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4"/>
        </w:rPr>
        <w:t>presentation,    diagnosis,    and   </w:t>
      </w:r>
      <w:r>
        <w:rPr>
          <w:sz w:val="15"/>
          <w:szCs w:val="15"/>
          <w:color w:val="231F20"/>
          <w:spacing w:val="3"/>
        </w:rPr>
        <w:t xml:space="preserve">  management    of    colon</w:t>
      </w:r>
    </w:p>
    <w:p>
      <w:pPr>
        <w:spacing w:line="287" w:lineRule="auto"/>
        <w:sectPr>
          <w:type w:val="continuous"/>
          <w:pgSz w:w="12246" w:h="16498"/>
          <w:pgMar w:top="1221" w:right="1246" w:bottom="0" w:left="819" w:header="971" w:footer="0" w:gutter="0"/>
          <w:cols w:equalWidth="0" w:num="2">
            <w:col w:w="5421" w:space="100"/>
            <w:col w:w="4659" w:space="0"/>
          </w:cols>
        </w:sectPr>
        <w:rPr>
          <w:sz w:val="15"/>
          <w:szCs w:val="15"/>
        </w:rPr>
      </w:pPr>
    </w:p>
    <w:p>
      <w:pPr>
        <w:spacing w:before="57"/>
        <w:rPr/>
      </w:pPr>
      <w:r>
        <w:pict>
          <v:shape id="_x0000_s44" style="position:absolute;margin-left:65.1968pt;margin-top:59.6176pt;mso-position-vertical-relative:page;mso-position-horizontal-relative:page;width:292.75pt;height:0.4pt;z-index:251682816;" o:allowincell="f" filled="false" strokecolor="#231F20" strokeweight="0.37pt" coordsize="5855,8" coordorigin="0,0" path="m0,3l5854,3e">
            <v:stroke joinstyle="miter" miterlimit="4"/>
          </v:shape>
        </w:pict>
      </w:r>
      <w:r/>
    </w:p>
    <w:p>
      <w:pPr>
        <w:sectPr>
          <w:headerReference w:type="default" r:id="rId9"/>
          <w:pgSz w:w="12246" w:h="16498"/>
          <w:pgMar w:top="1221" w:right="1265" w:bottom="0" w:left="819" w:header="971" w:footer="0" w:gutter="0"/>
          <w:cols w:equalWidth="0" w:num="1">
            <w:col w:w="10161" w:space="0"/>
          </w:cols>
        </w:sectPr>
        <w:rPr/>
      </w:pPr>
    </w:p>
    <w:p>
      <w:pPr>
        <w:pStyle w:val="BodyText"/>
        <w:ind w:left="1060" w:right="532" w:hanging="2"/>
        <w:spacing w:before="36" w:line="289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ischemia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(</w:t>
      </w:r>
      <w:r>
        <w:rPr>
          <w:sz w:val="15"/>
          <w:szCs w:val="15"/>
          <w:color w:val="231F20"/>
        </w:rPr>
        <w:t>CI</w:t>
      </w:r>
      <w:r>
        <w:rPr>
          <w:sz w:val="15"/>
          <w:szCs w:val="15"/>
          <w:color w:val="231F20"/>
          <w:spacing w:val="6"/>
        </w:rPr>
        <w:t>)[J].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6"/>
        </w:rPr>
        <w:t>2015,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6"/>
        </w:rPr>
        <w:t>110(1):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6"/>
        </w:rPr>
        <w:t>18‑44;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quiz</w:t>
      </w:r>
      <w:r>
        <w:rPr>
          <w:sz w:val="15"/>
          <w:szCs w:val="15"/>
          <w:color w:val="231F20"/>
          <w:spacing w:val="4"/>
        </w:rPr>
        <w:t xml:space="preserve"> 45.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1038/</w:t>
      </w:r>
      <w:r>
        <w:rPr>
          <w:sz w:val="15"/>
          <w:szCs w:val="15"/>
          <w:color w:val="231F20"/>
        </w:rPr>
        <w:t>ajg</w:t>
      </w:r>
      <w:r>
        <w:rPr>
          <w:sz w:val="15"/>
          <w:szCs w:val="15"/>
          <w:color w:val="231F20"/>
          <w:spacing w:val="4"/>
        </w:rPr>
        <w:t>.2014.395.</w:t>
      </w:r>
    </w:p>
    <w:p>
      <w:pPr>
        <w:pStyle w:val="BodyText"/>
        <w:ind w:left="1051" w:right="533" w:hanging="409"/>
        <w:spacing w:before="29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[4]</w:t>
      </w:r>
      <w:r>
        <w:rPr>
          <w:sz w:val="15"/>
          <w:szCs w:val="15"/>
          <w:color w:val="231F20"/>
        </w:rPr>
        <w:t xml:space="preserve">       Moszkowicz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Mariani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Tr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é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sallet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 </w:t>
      </w:r>
      <w:r>
        <w:rPr>
          <w:sz w:val="15"/>
          <w:szCs w:val="15"/>
          <w:color w:val="231F20"/>
        </w:rPr>
        <w:t>Ischemic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4"/>
        </w:rPr>
        <w:t>colitis: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the ABCs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 diagnosis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4"/>
        </w:rPr>
        <w:t>surgical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manage</w:t>
      </w:r>
      <w:r>
        <w:rPr>
          <w:sz w:val="15"/>
          <w:szCs w:val="15"/>
          <w:color w:val="231F20"/>
          <w:spacing w:val="3"/>
        </w:rPr>
        <w:t>ment[J].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    Visc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Surg</w:t>
      </w:r>
      <w:r>
        <w:rPr>
          <w:sz w:val="15"/>
          <w:szCs w:val="15"/>
          <w:color w:val="231F20"/>
          <w:spacing w:val="3"/>
        </w:rPr>
        <w:t>,    2013,    150</w:t>
      </w:r>
      <w:r>
        <w:rPr>
          <w:sz w:val="15"/>
          <w:szCs w:val="15"/>
          <w:color w:val="231F20"/>
          <w:spacing w:val="2"/>
        </w:rPr>
        <w:t>(1):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  <w:spacing w:val="2"/>
        </w:rPr>
        <w:t>19‑28.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     10.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2"/>
        </w:rPr>
        <w:t>1016/j.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jviscsurg</w:t>
      </w:r>
      <w:r>
        <w:rPr>
          <w:sz w:val="15"/>
          <w:szCs w:val="15"/>
          <w:color w:val="231F20"/>
          <w:spacing w:val="7"/>
        </w:rPr>
        <w:t>.2013.01.002.</w:t>
      </w:r>
    </w:p>
    <w:p>
      <w:pPr>
        <w:pStyle w:val="BodyText"/>
        <w:ind w:left="1056" w:right="534" w:hanging="415"/>
        <w:spacing w:before="42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[5]      </w:t>
      </w:r>
      <w:r>
        <w:rPr>
          <w:sz w:val="15"/>
          <w:szCs w:val="15"/>
          <w:color w:val="231F20"/>
        </w:rPr>
        <w:t>Cotter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TG</w:t>
      </w:r>
      <w:r>
        <w:rPr>
          <w:sz w:val="15"/>
          <w:szCs w:val="15"/>
          <w:color w:val="231F20"/>
          <w:spacing w:val="7"/>
        </w:rPr>
        <w:t>,   </w:t>
      </w:r>
      <w:r>
        <w:rPr>
          <w:sz w:val="15"/>
          <w:szCs w:val="15"/>
          <w:color w:val="231F20"/>
        </w:rPr>
        <w:t>Bledsoe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AC</w:t>
      </w:r>
      <w:r>
        <w:rPr>
          <w:sz w:val="15"/>
          <w:szCs w:val="15"/>
          <w:color w:val="231F20"/>
          <w:spacing w:val="7"/>
        </w:rPr>
        <w:t>,   </w:t>
      </w:r>
      <w:r>
        <w:rPr>
          <w:sz w:val="15"/>
          <w:szCs w:val="15"/>
          <w:color w:val="231F20"/>
        </w:rPr>
        <w:t>Sweetser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</w:rPr>
        <w:t>Colon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ischemia</w:t>
      </w:r>
      <w:r>
        <w:rPr>
          <w:sz w:val="15"/>
          <w:szCs w:val="15"/>
          <w:color w:val="231F20"/>
          <w:spacing w:val="7"/>
        </w:rPr>
        <w:t>: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an </w:t>
      </w:r>
      <w:r>
        <w:rPr>
          <w:sz w:val="15"/>
          <w:szCs w:val="15"/>
          <w:color w:val="231F20"/>
        </w:rPr>
        <w:t>update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clinicians</w:t>
      </w:r>
      <w:r>
        <w:rPr>
          <w:sz w:val="15"/>
          <w:szCs w:val="15"/>
          <w:color w:val="231F20"/>
          <w:spacing w:val="4"/>
        </w:rPr>
        <w:t>[J].   </w:t>
      </w:r>
      <w:r>
        <w:rPr>
          <w:sz w:val="15"/>
          <w:szCs w:val="15"/>
          <w:color w:val="231F20"/>
        </w:rPr>
        <w:t>Mayo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Proc</w:t>
      </w:r>
      <w:r>
        <w:rPr>
          <w:sz w:val="15"/>
          <w:szCs w:val="15"/>
          <w:color w:val="231F20"/>
          <w:spacing w:val="4"/>
        </w:rPr>
        <w:t>,   2016,   91(5):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671‑677.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1016/j.</w:t>
      </w:r>
      <w:r>
        <w:rPr>
          <w:sz w:val="15"/>
          <w:szCs w:val="15"/>
          <w:color w:val="231F20"/>
        </w:rPr>
        <w:t>mayocp</w:t>
      </w:r>
      <w:r>
        <w:rPr>
          <w:sz w:val="15"/>
          <w:szCs w:val="15"/>
          <w:color w:val="231F20"/>
          <w:spacing w:val="4"/>
        </w:rPr>
        <w:t>.2016.02.006.</w:t>
      </w:r>
    </w:p>
    <w:p>
      <w:pPr>
        <w:pStyle w:val="BodyText"/>
        <w:ind w:left="1052" w:right="537" w:hanging="411"/>
        <w:spacing w:before="42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[6]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北京协和医院世界卫生组织疾病分类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合作中心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疾病和有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</w:rPr>
        <w:t>关健康问题的国际统计分类</w:t>
      </w:r>
      <w:r>
        <w:rPr>
          <w:sz w:val="15"/>
          <w:szCs w:val="15"/>
          <w:color w:val="231F20"/>
          <w:spacing w:val="13"/>
        </w:rPr>
        <w:t>(</w:t>
      </w:r>
      <w:r>
        <w:rPr>
          <w:sz w:val="15"/>
          <w:szCs w:val="15"/>
          <w:color w:val="231F20"/>
        </w:rPr>
        <w:t>ICD</w:t>
      </w:r>
      <w:r>
        <w:rPr>
          <w:sz w:val="15"/>
          <w:szCs w:val="15"/>
          <w:color w:val="231F20"/>
          <w:spacing w:val="13"/>
        </w:rPr>
        <w:t>‑10)[M]</w:t>
      </w:r>
      <w:r>
        <w:rPr>
          <w:sz w:val="15"/>
          <w:szCs w:val="15"/>
          <w:color w:val="231F20"/>
          <w:spacing w:val="12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北京</w:t>
      </w:r>
      <w:r>
        <w:rPr>
          <w:sz w:val="15"/>
          <w:szCs w:val="15"/>
          <w:color w:val="231F20"/>
          <w:spacing w:val="12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人民卫生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出版社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5"/>
        </w:rPr>
        <w:t>2012:467.</w:t>
      </w:r>
    </w:p>
    <w:p>
      <w:pPr>
        <w:pStyle w:val="BodyText"/>
        <w:ind w:left="1056" w:right="529" w:hanging="415"/>
        <w:spacing w:before="1" w:line="295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[7]       Demetriou  G,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Nassar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A,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Subramonia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S.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"/>
        </w:rPr>
        <w:t>The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pathophysiology,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presentation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</w:rPr>
        <w:t>management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</w:rPr>
        <w:t>ischaemic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</w:rPr>
        <w:t xml:space="preserve"> colitis:    a </w:t>
      </w:r>
      <w:r>
        <w:rPr>
          <w:sz w:val="15"/>
          <w:szCs w:val="15"/>
          <w:color w:val="231F20"/>
        </w:rPr>
        <w:t>systematic  review[J].  World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Surg,   2020,  44(3):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927‑938.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10.1007/s00268‑019‑05248‑9.</w:t>
      </w:r>
    </w:p>
    <w:p>
      <w:pPr>
        <w:pStyle w:val="BodyText"/>
        <w:ind w:left="1057" w:right="534" w:hanging="415"/>
        <w:spacing w:before="40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[8]      </w:t>
      </w:r>
      <w:r>
        <w:rPr>
          <w:sz w:val="15"/>
          <w:szCs w:val="15"/>
          <w:color w:val="231F20"/>
        </w:rPr>
        <w:t>Yadav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4"/>
        </w:rPr>
        <w:t>,   </w:t>
      </w:r>
      <w:r>
        <w:rPr>
          <w:sz w:val="15"/>
          <w:szCs w:val="15"/>
          <w:color w:val="231F20"/>
        </w:rPr>
        <w:t>Dave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3"/>
        </w:rPr>
        <w:t>,   </w:t>
      </w:r>
      <w:r>
        <w:rPr>
          <w:sz w:val="15"/>
          <w:szCs w:val="15"/>
          <w:color w:val="231F20"/>
        </w:rPr>
        <w:t>Edakkanambeth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Varayil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3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 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population‑based</w:t>
      </w:r>
      <w:r>
        <w:rPr>
          <w:sz w:val="15"/>
          <w:szCs w:val="15"/>
          <w:color w:val="231F20"/>
          <w:spacing w:val="46"/>
        </w:rPr>
        <w:t xml:space="preserve"> </w:t>
      </w:r>
      <w:r>
        <w:rPr>
          <w:sz w:val="15"/>
          <w:szCs w:val="15"/>
          <w:color w:val="231F20"/>
          <w:spacing w:val="3"/>
        </w:rPr>
        <w:t>study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incidence,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risk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factors,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clinical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spectrum,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  <w:spacing w:val="3"/>
        </w:rPr>
        <w:t>outcomes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  <w:spacing w:val="3"/>
        </w:rPr>
        <w:t>of   ischemic    colitis[J].    Clin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Hepatol</w:t>
      </w:r>
      <w:r>
        <w:rPr>
          <w:sz w:val="15"/>
          <w:szCs w:val="15"/>
          <w:color w:val="231F20"/>
          <w:spacing w:val="6"/>
        </w:rPr>
        <w:t>,  2015,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6"/>
        </w:rPr>
        <w:t>13(4):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6"/>
        </w:rPr>
        <w:t>731‑738. e1‑6;  </w:t>
      </w:r>
      <w:r>
        <w:rPr>
          <w:sz w:val="15"/>
          <w:szCs w:val="15"/>
          <w:color w:val="231F20"/>
        </w:rPr>
        <w:t>quiz </w:t>
      </w:r>
      <w:r>
        <w:rPr>
          <w:sz w:val="15"/>
          <w:szCs w:val="15"/>
          <w:color w:val="231F20"/>
          <w:spacing w:val="4"/>
        </w:rPr>
        <w:t>e41.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1016/j.</w:t>
      </w:r>
      <w:r>
        <w:rPr>
          <w:sz w:val="15"/>
          <w:szCs w:val="15"/>
          <w:color w:val="231F20"/>
        </w:rPr>
        <w:t>cgh</w:t>
      </w:r>
      <w:r>
        <w:rPr>
          <w:sz w:val="15"/>
          <w:szCs w:val="15"/>
          <w:color w:val="231F20"/>
          <w:spacing w:val="4"/>
        </w:rPr>
        <w:t>.2014.07</w:t>
      </w:r>
      <w:r>
        <w:rPr>
          <w:sz w:val="15"/>
          <w:szCs w:val="15"/>
          <w:color w:val="231F20"/>
          <w:spacing w:val="3"/>
        </w:rPr>
        <w:t>.061.</w:t>
      </w:r>
    </w:p>
    <w:p>
      <w:pPr>
        <w:pStyle w:val="BodyText"/>
        <w:ind w:left="1057" w:right="533" w:hanging="416"/>
        <w:spacing w:before="43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[9]      Feuerstadt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P,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Brandt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LJ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2"/>
        </w:rPr>
        <w:t>Update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on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colon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ischemia: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recent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insights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advances</w:t>
      </w:r>
      <w:r>
        <w:rPr>
          <w:sz w:val="15"/>
          <w:szCs w:val="15"/>
          <w:color w:val="231F20"/>
          <w:spacing w:val="11"/>
        </w:rPr>
        <w:t>[J].  </w:t>
      </w:r>
      <w:r>
        <w:rPr>
          <w:sz w:val="15"/>
          <w:szCs w:val="15"/>
          <w:color w:val="231F20"/>
        </w:rPr>
        <w:t>Curr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Rep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  <w:spacing w:val="11"/>
        </w:rPr>
        <w:t>2015,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17(12): 45.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3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1007/s11894‑015‑0469‑6.</w:t>
      </w:r>
    </w:p>
    <w:p>
      <w:pPr>
        <w:pStyle w:val="BodyText"/>
        <w:ind w:left="1053" w:right="529" w:hanging="500"/>
        <w:spacing w:before="41" w:line="21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[10]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缺血性肠病诊治中国专家建议</w:t>
      </w:r>
      <w:r>
        <w:rPr>
          <w:sz w:val="15"/>
          <w:szCs w:val="15"/>
          <w:color w:val="231F20"/>
          <w:spacing w:val="4"/>
        </w:rPr>
        <w:t>(2011)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写作组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中华医学会老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年医学分会</w:t>
      </w:r>
      <w:r>
        <w:rPr>
          <w:sz w:val="15"/>
          <w:szCs w:val="15"/>
          <w:color w:val="231F20"/>
          <w:spacing w:val="-2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《中华老年医学杂志》编辑委员会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2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老年人缺血性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肠病诊治中国专家建议</w:t>
      </w:r>
      <w:r>
        <w:rPr>
          <w:sz w:val="15"/>
          <w:szCs w:val="15"/>
          <w:color w:val="231F20"/>
          <w:spacing w:val="5"/>
        </w:rPr>
        <w:t>(2011)[J].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中华老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年医学杂志</w:t>
      </w:r>
      <w:r>
        <w:rPr>
          <w:sz w:val="15"/>
          <w:szCs w:val="15"/>
          <w:color w:val="231F20"/>
          <w:spacing w:val="4"/>
        </w:rPr>
        <w:t>, 2011,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30(1): 1‑6.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 10.376</w:t>
      </w:r>
      <w:r>
        <w:rPr>
          <w:sz w:val="15"/>
          <w:szCs w:val="15"/>
          <w:color w:val="231F20"/>
        </w:rPr>
        <w:t>0/cma.j.issn.0254‑9026.2011.01.001.</w:t>
      </w:r>
    </w:p>
    <w:p>
      <w:pPr>
        <w:pStyle w:val="BodyText"/>
        <w:ind w:left="1065" w:right="533" w:hanging="512"/>
        <w:spacing w:before="41" w:line="22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[11]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袁凤仪</w:t>
      </w:r>
      <w:r>
        <w:rPr>
          <w:sz w:val="15"/>
          <w:szCs w:val="15"/>
          <w:color w:val="231F20"/>
          <w:spacing w:val="7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吴本俨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急性肠系膜缺血 </w:t>
      </w:r>
      <w:r>
        <w:rPr>
          <w:sz w:val="15"/>
          <w:szCs w:val="15"/>
          <w:color w:val="231F20"/>
          <w:spacing w:val="7"/>
        </w:rPr>
        <w:t>196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例临床特点分析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中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老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年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器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官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疾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病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2016,  15(4):  260‑264.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4"/>
        </w:rPr>
        <w:t>11915/j.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4"/>
        </w:rPr>
        <w:t>.1671‑5403.2016.04.062.</w:t>
      </w:r>
    </w:p>
    <w:p>
      <w:pPr>
        <w:pStyle w:val="BodyText"/>
        <w:ind w:left="1065" w:right="533" w:hanging="512"/>
        <w:spacing w:before="42" w:line="22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[12]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袁凤仪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吴本俨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266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例老年缺血性结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肠炎临床特点分析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[J].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中 华 保 健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医 学 杂 志 </w:t>
      </w:r>
      <w:r>
        <w:rPr>
          <w:sz w:val="15"/>
          <w:szCs w:val="15"/>
          <w:color w:val="231F20"/>
          <w:spacing w:val="2"/>
        </w:rPr>
        <w:t>, </w:t>
      </w:r>
      <w:r>
        <w:rPr>
          <w:sz w:val="15"/>
          <w:szCs w:val="15"/>
          <w:color w:val="231F20"/>
          <w:spacing w:val="1"/>
        </w:rPr>
        <w:t xml:space="preserve">  2016,   18(2):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1"/>
        </w:rPr>
        <w:t>117‑119.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10.3969/.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.1674‑3245.201</w:t>
      </w:r>
      <w:r>
        <w:rPr>
          <w:sz w:val="15"/>
          <w:szCs w:val="15"/>
          <w:color w:val="231F20"/>
          <w:spacing w:val="4"/>
        </w:rPr>
        <w:t>6.02.009.</w:t>
      </w:r>
    </w:p>
    <w:p>
      <w:pPr>
        <w:pStyle w:val="BodyText"/>
        <w:ind w:left="1056" w:right="534" w:hanging="503"/>
        <w:spacing w:before="42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[13]      </w:t>
      </w:r>
      <w:r>
        <w:rPr>
          <w:sz w:val="15"/>
          <w:szCs w:val="15"/>
          <w:color w:val="231F20"/>
        </w:rPr>
        <w:t>Hreinsson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JP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Gumundsson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Kalaitzakis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Lower </w:t>
      </w:r>
      <w:r>
        <w:rPr>
          <w:sz w:val="15"/>
          <w:szCs w:val="15"/>
          <w:color w:val="231F20"/>
          <w:spacing w:val="3"/>
        </w:rPr>
        <w:t>gastrointestinal     bleeding:      incidence,</w:t>
      </w:r>
      <w:r>
        <w:rPr>
          <w:sz w:val="15"/>
          <w:szCs w:val="15"/>
          <w:color w:val="231F20"/>
          <w:spacing w:val="9"/>
          <w:w w:val="102"/>
        </w:rPr>
        <w:t xml:space="preserve">     </w:t>
      </w:r>
      <w:r>
        <w:rPr>
          <w:sz w:val="15"/>
          <w:szCs w:val="15"/>
          <w:color w:val="231F20"/>
          <w:spacing w:val="3"/>
        </w:rPr>
        <w:t>etiology,    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outcomes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6"/>
        </w:rPr>
        <w:t xml:space="preserve">  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6"/>
        </w:rPr>
        <w:t xml:space="preserve">     </w:t>
      </w:r>
      <w:r>
        <w:rPr>
          <w:sz w:val="15"/>
          <w:szCs w:val="15"/>
          <w:color w:val="231F20"/>
        </w:rPr>
        <w:t>population</w:t>
      </w:r>
      <w:r>
        <w:rPr>
          <w:sz w:val="15"/>
          <w:szCs w:val="15"/>
          <w:color w:val="231F20"/>
          <w:spacing w:val="6"/>
        </w:rPr>
        <w:t>‑</w:t>
      </w:r>
      <w:r>
        <w:rPr>
          <w:sz w:val="15"/>
          <w:szCs w:val="15"/>
          <w:color w:val="231F20"/>
        </w:rPr>
        <w:t>based</w:t>
      </w:r>
      <w:r>
        <w:rPr>
          <w:sz w:val="15"/>
          <w:szCs w:val="15"/>
          <w:color w:val="231F20"/>
          <w:spacing w:val="6"/>
        </w:rPr>
        <w:t xml:space="preserve">     </w:t>
      </w:r>
      <w:r>
        <w:rPr>
          <w:sz w:val="15"/>
          <w:szCs w:val="15"/>
          <w:color w:val="231F20"/>
        </w:rPr>
        <w:t>setting</w:t>
      </w:r>
      <w:r>
        <w:rPr>
          <w:sz w:val="15"/>
          <w:szCs w:val="15"/>
          <w:color w:val="231F20"/>
          <w:spacing w:val="6"/>
        </w:rPr>
        <w:t>[J].   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</w:rPr>
        <w:t>J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Hepatol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2013,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25(1):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37‑43.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5"/>
        </w:rPr>
        <w:t>1097/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MEG</w:t>
      </w:r>
      <w:r>
        <w:rPr>
          <w:sz w:val="15"/>
          <w:szCs w:val="15"/>
          <w:color w:val="231F20"/>
          <w:spacing w:val="6"/>
        </w:rPr>
        <w:t>.0b013e32835948e3.</w:t>
      </w:r>
    </w:p>
    <w:p>
      <w:pPr>
        <w:pStyle w:val="BodyText"/>
        <w:ind w:left="1055" w:right="534" w:hanging="503"/>
        <w:spacing w:before="11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[14]      </w:t>
      </w:r>
      <w:r>
        <w:rPr>
          <w:sz w:val="15"/>
          <w:szCs w:val="15"/>
          <w:color w:val="231F20"/>
        </w:rPr>
        <w:t>Arroja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</w:rPr>
        <w:t>Cremers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I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Ramos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5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Acute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lower </w:t>
      </w:r>
      <w:r>
        <w:rPr>
          <w:sz w:val="15"/>
          <w:szCs w:val="15"/>
          <w:color w:val="231F20"/>
          <w:spacing w:val="4"/>
        </w:rPr>
        <w:t>gastrointestinal   bleeding </w:t>
      </w:r>
      <w:r>
        <w:rPr>
          <w:sz w:val="15"/>
          <w:szCs w:val="15"/>
          <w:color w:val="231F20"/>
          <w:spacing w:val="3"/>
        </w:rPr>
        <w:t xml:space="preserve">   management   in    Portugal:   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multicentric</w:t>
      </w:r>
      <w:r>
        <w:rPr>
          <w:sz w:val="15"/>
          <w:szCs w:val="15"/>
          <w:color w:val="231F20"/>
          <w:spacing w:val="4"/>
        </w:rPr>
        <w:t xml:space="preserve">     </w:t>
      </w:r>
      <w:r>
        <w:rPr>
          <w:sz w:val="15"/>
          <w:szCs w:val="15"/>
          <w:color w:val="231F20"/>
        </w:rPr>
        <w:t>prospective</w:t>
      </w:r>
      <w:r>
        <w:rPr>
          <w:sz w:val="15"/>
          <w:szCs w:val="15"/>
          <w:color w:val="231F20"/>
          <w:spacing w:val="4"/>
        </w:rPr>
        <w:t xml:space="preserve">      1‑</w:t>
      </w:r>
      <w:r>
        <w:rPr>
          <w:sz w:val="15"/>
          <w:szCs w:val="15"/>
          <w:color w:val="231F20"/>
        </w:rPr>
        <w:t>year</w:t>
      </w:r>
      <w:r>
        <w:rPr>
          <w:sz w:val="15"/>
          <w:szCs w:val="15"/>
          <w:color w:val="231F20"/>
          <w:spacing w:val="4"/>
        </w:rPr>
        <w:t xml:space="preserve">      </w:t>
      </w:r>
      <w:r>
        <w:rPr>
          <w:sz w:val="15"/>
          <w:szCs w:val="15"/>
          <w:color w:val="231F20"/>
        </w:rPr>
        <w:t>survey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4"/>
        </w:rPr>
        <w:t>[J].     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J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Hepatol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  <w:spacing w:val="5"/>
        </w:rPr>
        <w:t>2011,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  <w:spacing w:val="5"/>
        </w:rPr>
        <w:t>23(4):     317‑322.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6"/>
        </w:rPr>
        <w:t>1097/</w:t>
      </w:r>
      <w:r>
        <w:rPr>
          <w:sz w:val="15"/>
          <w:szCs w:val="15"/>
          <w:color w:val="231F20"/>
        </w:rPr>
        <w:t>MEG</w:t>
      </w:r>
      <w:r>
        <w:rPr>
          <w:sz w:val="15"/>
          <w:szCs w:val="15"/>
          <w:color w:val="231F20"/>
          <w:spacing w:val="6"/>
        </w:rPr>
        <w:t>.0b013e328344</w:t>
      </w:r>
      <w:r>
        <w:rPr>
          <w:sz w:val="15"/>
          <w:szCs w:val="15"/>
          <w:color w:val="231F20"/>
        </w:rPr>
        <w:t>ccb</w:t>
      </w:r>
      <w:r>
        <w:rPr>
          <w:sz w:val="15"/>
          <w:szCs w:val="15"/>
          <w:color w:val="231F20"/>
          <w:spacing w:val="5"/>
        </w:rPr>
        <w:t>5.</w:t>
      </w:r>
    </w:p>
    <w:p>
      <w:pPr>
        <w:pStyle w:val="BodyText"/>
        <w:ind w:left="1056" w:right="534" w:hanging="504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[15]      </w:t>
      </w:r>
      <w:r>
        <w:rPr>
          <w:sz w:val="15"/>
          <w:szCs w:val="15"/>
          <w:color w:val="231F20"/>
        </w:rPr>
        <w:t>Kolkman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</w:rPr>
        <w:t>JJ</w:t>
      </w:r>
      <w:r>
        <w:rPr>
          <w:sz w:val="15"/>
          <w:szCs w:val="15"/>
          <w:color w:val="231F20"/>
          <w:spacing w:val="5"/>
        </w:rPr>
        <w:t>,    </w:t>
      </w:r>
      <w:r>
        <w:rPr>
          <w:sz w:val="15"/>
          <w:szCs w:val="15"/>
          <w:color w:val="231F20"/>
        </w:rPr>
        <w:t>Mensink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PB</w:t>
      </w:r>
      <w:r>
        <w:rPr>
          <w:sz w:val="15"/>
          <w:szCs w:val="15"/>
          <w:color w:val="231F20"/>
          <w:spacing w:val="5"/>
        </w:rPr>
        <w:t>.     </w:t>
      </w:r>
      <w:r>
        <w:rPr>
          <w:sz w:val="15"/>
          <w:szCs w:val="15"/>
          <w:color w:val="231F20"/>
        </w:rPr>
        <w:t>Non</w:t>
      </w:r>
      <w:r>
        <w:rPr>
          <w:sz w:val="15"/>
          <w:szCs w:val="15"/>
          <w:color w:val="231F20"/>
          <w:spacing w:val="5"/>
        </w:rPr>
        <w:t>‑</w:t>
      </w:r>
      <w:r>
        <w:rPr>
          <w:sz w:val="15"/>
          <w:szCs w:val="15"/>
          <w:color w:val="231F20"/>
        </w:rPr>
        <w:t>occlusive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mesenteric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ischaemia:  a  common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4"/>
        </w:rPr>
        <w:t>disorder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4"/>
        </w:rPr>
        <w:t>in  gastro</w:t>
      </w:r>
      <w:r>
        <w:rPr>
          <w:sz w:val="15"/>
          <w:szCs w:val="15"/>
          <w:color w:val="231F20"/>
          <w:spacing w:val="3"/>
        </w:rPr>
        <w:t>enterology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intensive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care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1"/>
        </w:rPr>
        <w:t>[J].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Best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Pract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Res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11"/>
        </w:rPr>
        <w:t>2003,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17(3): 457‑473.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1016/s1521‑6918(03)00021‑0.</w:t>
      </w:r>
    </w:p>
    <w:p>
      <w:pPr>
        <w:pStyle w:val="BodyText"/>
        <w:ind w:left="1055" w:right="534" w:hanging="503"/>
        <w:spacing w:before="41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[16]       </w:t>
      </w:r>
      <w:r>
        <w:rPr>
          <w:sz w:val="15"/>
          <w:szCs w:val="15"/>
          <w:color w:val="231F20"/>
        </w:rPr>
        <w:t>Mensink</w:t>
      </w:r>
      <w:r>
        <w:rPr>
          <w:sz w:val="15"/>
          <w:szCs w:val="15"/>
          <w:color w:val="231F20"/>
          <w:spacing w:val="3"/>
        </w:rPr>
        <w:t xml:space="preserve">      </w:t>
      </w:r>
      <w:r>
        <w:rPr>
          <w:sz w:val="15"/>
          <w:szCs w:val="15"/>
          <w:color w:val="231F20"/>
        </w:rPr>
        <w:t>PB</w:t>
      </w:r>
      <w:r>
        <w:rPr>
          <w:sz w:val="15"/>
          <w:szCs w:val="15"/>
          <w:color w:val="231F20"/>
          <w:spacing w:val="3"/>
        </w:rPr>
        <w:t>,      </w:t>
      </w:r>
      <w:r>
        <w:rPr>
          <w:sz w:val="15"/>
          <w:szCs w:val="15"/>
          <w:color w:val="231F20"/>
        </w:rPr>
        <w:t>Moons</w:t>
      </w:r>
      <w:r>
        <w:rPr>
          <w:sz w:val="15"/>
          <w:szCs w:val="15"/>
          <w:color w:val="231F20"/>
          <w:spacing w:val="3"/>
        </w:rPr>
        <w:t xml:space="preserve">      </w:t>
      </w:r>
      <w:r>
        <w:rPr>
          <w:sz w:val="15"/>
          <w:szCs w:val="15"/>
          <w:color w:val="231F20"/>
        </w:rPr>
        <w:t>LM</w:t>
      </w:r>
      <w:r>
        <w:rPr>
          <w:sz w:val="15"/>
          <w:szCs w:val="15"/>
          <w:color w:val="231F20"/>
          <w:spacing w:val="3"/>
        </w:rPr>
        <w:t>,       </w:t>
      </w:r>
      <w:r>
        <w:rPr>
          <w:sz w:val="15"/>
          <w:szCs w:val="15"/>
          <w:color w:val="231F20"/>
        </w:rPr>
        <w:t>Kuipers</w:t>
      </w:r>
      <w:r>
        <w:rPr>
          <w:sz w:val="15"/>
          <w:szCs w:val="15"/>
          <w:color w:val="231F20"/>
          <w:spacing w:val="3"/>
        </w:rPr>
        <w:t xml:space="preserve">      </w:t>
      </w:r>
      <w:r>
        <w:rPr>
          <w:sz w:val="15"/>
          <w:szCs w:val="15"/>
          <w:color w:val="231F20"/>
        </w:rPr>
        <w:t>EJ</w:t>
      </w:r>
      <w:r>
        <w:rPr>
          <w:sz w:val="15"/>
          <w:szCs w:val="15"/>
          <w:color w:val="231F20"/>
          <w:spacing w:val="3"/>
        </w:rPr>
        <w:t>.      </w:t>
      </w:r>
      <w:r>
        <w:rPr>
          <w:sz w:val="15"/>
          <w:szCs w:val="15"/>
          <w:color w:val="231F20"/>
        </w:rPr>
        <w:t>Chronic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gastrointestinal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ischaemia</w:t>
      </w:r>
      <w:r>
        <w:rPr>
          <w:sz w:val="15"/>
          <w:szCs w:val="15"/>
          <w:color w:val="231F20"/>
          <w:spacing w:val="10"/>
        </w:rPr>
        <w:t>:    </w:t>
      </w:r>
      <w:r>
        <w:rPr>
          <w:sz w:val="15"/>
          <w:szCs w:val="15"/>
          <w:color w:val="231F20"/>
        </w:rPr>
        <w:t>shifting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paradigms</w:t>
      </w:r>
      <w:r>
        <w:rPr>
          <w:sz w:val="15"/>
          <w:szCs w:val="15"/>
          <w:color w:val="231F20"/>
          <w:spacing w:val="10"/>
        </w:rPr>
        <w:t>[J].    </w:t>
      </w:r>
      <w:r>
        <w:rPr>
          <w:sz w:val="15"/>
          <w:szCs w:val="15"/>
          <w:color w:val="231F20"/>
        </w:rPr>
        <w:t>Gut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4"/>
        </w:rPr>
        <w:t>2011,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4"/>
        </w:rPr>
        <w:t>60(5):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722‑737.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1136/</w:t>
      </w:r>
      <w:r>
        <w:rPr>
          <w:sz w:val="15"/>
          <w:szCs w:val="15"/>
          <w:color w:val="231F20"/>
        </w:rPr>
        <w:t>gut</w:t>
      </w:r>
      <w:r>
        <w:rPr>
          <w:sz w:val="15"/>
          <w:szCs w:val="15"/>
          <w:color w:val="231F20"/>
          <w:spacing w:val="4"/>
        </w:rPr>
        <w:t>.2009.1</w:t>
      </w:r>
      <w:r>
        <w:rPr>
          <w:sz w:val="15"/>
          <w:szCs w:val="15"/>
          <w:color w:val="231F20"/>
          <w:spacing w:val="3"/>
        </w:rPr>
        <w:t>99695.</w:t>
      </w:r>
    </w:p>
    <w:p>
      <w:pPr>
        <w:pStyle w:val="BodyText"/>
        <w:ind w:left="1057" w:right="535" w:hanging="505"/>
        <w:spacing w:before="43" w:line="3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[17]      </w:t>
      </w:r>
      <w:r>
        <w:rPr>
          <w:sz w:val="15"/>
          <w:szCs w:val="15"/>
          <w:color w:val="231F20"/>
        </w:rPr>
        <w:t>FitzGerald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</w:rPr>
        <w:t>JF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</w:rPr>
        <w:t>Hernandez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</w:rPr>
        <w:t>Iii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</w:rPr>
        <w:t>LO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</w:rPr>
        <w:t>Ischemic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</w:rPr>
        <w:t>colitis</w:t>
      </w:r>
      <w:r>
        <w:rPr>
          <w:sz w:val="15"/>
          <w:szCs w:val="15"/>
          <w:color w:val="231F20"/>
          <w:spacing w:val="9"/>
        </w:rPr>
        <w:t>[J].  </w:t>
      </w:r>
      <w:r>
        <w:rPr>
          <w:sz w:val="15"/>
          <w:szCs w:val="15"/>
          <w:color w:val="231F20"/>
        </w:rPr>
        <w:t>Clin </w:t>
      </w:r>
      <w:r>
        <w:rPr>
          <w:sz w:val="15"/>
          <w:szCs w:val="15"/>
          <w:color w:val="231F20"/>
        </w:rPr>
        <w:t>Colon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</w:rPr>
        <w:t>Rectal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</w:rPr>
        <w:t>Surg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2015,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28(2):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93‑98.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4"/>
        </w:rPr>
        <w:t>1055/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s‑0035‑1549099.</w:t>
      </w:r>
    </w:p>
    <w:p>
      <w:pPr>
        <w:pStyle w:val="BodyText"/>
        <w:ind w:left="1049" w:right="535" w:hanging="498"/>
        <w:spacing w:before="12" w:line="3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[18]      </w:t>
      </w:r>
      <w:r>
        <w:rPr>
          <w:sz w:val="15"/>
          <w:szCs w:val="15"/>
          <w:color w:val="231F20"/>
        </w:rPr>
        <w:t>Brandt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LJ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Boley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SJ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Colonic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ischemia</w:t>
      </w:r>
      <w:r>
        <w:rPr>
          <w:sz w:val="15"/>
          <w:szCs w:val="15"/>
          <w:color w:val="231F20"/>
          <w:spacing w:val="9"/>
        </w:rPr>
        <w:t>[J].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Surg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North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1992,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4"/>
        </w:rPr>
        <w:t>72(1):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203‑229.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1016/</w:t>
      </w:r>
      <w:r>
        <w:rPr>
          <w:sz w:val="15"/>
          <w:szCs w:val="15"/>
          <w:color w:val="231F20"/>
          <w:spacing w:val="3"/>
        </w:rPr>
        <w:t>s0039‑6109(16)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45635‑5.</w:t>
      </w:r>
    </w:p>
    <w:p>
      <w:pPr>
        <w:pStyle w:val="BodyText"/>
        <w:ind w:left="1055" w:right="535" w:hanging="504"/>
        <w:spacing w:before="11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[19]      </w:t>
      </w:r>
      <w:r>
        <w:rPr>
          <w:sz w:val="15"/>
          <w:szCs w:val="15"/>
          <w:color w:val="231F20"/>
        </w:rPr>
        <w:t>Elder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Lashner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BA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Solaiman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approach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to </w:t>
      </w:r>
      <w:r>
        <w:rPr>
          <w:sz w:val="15"/>
          <w:szCs w:val="15"/>
          <w:color w:val="231F20"/>
        </w:rPr>
        <w:t>colonic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ischemia</w:t>
      </w:r>
      <w:r>
        <w:rPr>
          <w:sz w:val="15"/>
          <w:szCs w:val="15"/>
          <w:color w:val="231F20"/>
          <w:spacing w:val="4"/>
        </w:rPr>
        <w:t>[J].    </w:t>
      </w:r>
      <w:r>
        <w:rPr>
          <w:sz w:val="15"/>
          <w:szCs w:val="15"/>
          <w:color w:val="231F20"/>
        </w:rPr>
        <w:t>Cleve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6"/>
          <w:w w:val="101"/>
        </w:rPr>
        <w:t xml:space="preserve"> 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4"/>
        </w:rPr>
        <w:t>2009,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4"/>
        </w:rPr>
        <w:t>76(7):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5"/>
        </w:rPr>
        <w:t>401‑409.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10.3949/</w:t>
      </w:r>
      <w:r>
        <w:rPr>
          <w:sz w:val="15"/>
          <w:szCs w:val="15"/>
          <w:color w:val="231F20"/>
        </w:rPr>
        <w:t>ccjm</w:t>
      </w:r>
      <w:r>
        <w:rPr>
          <w:sz w:val="15"/>
          <w:szCs w:val="15"/>
          <w:color w:val="231F20"/>
          <w:spacing w:val="5"/>
        </w:rPr>
        <w:t>.76a.0808</w:t>
      </w:r>
      <w:r>
        <w:rPr>
          <w:sz w:val="15"/>
          <w:szCs w:val="15"/>
          <w:color w:val="231F20"/>
          <w:spacing w:val="4"/>
        </w:rPr>
        <w:t>9.</w:t>
      </w:r>
    </w:p>
    <w:p>
      <w:pPr>
        <w:pStyle w:val="BodyText"/>
        <w:ind w:left="553"/>
        <w:spacing w:before="42" w:line="184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5"/>
          <w:position w:val="2"/>
        </w:rPr>
        <w:t>[20]      </w:t>
      </w:r>
      <w:r>
        <w:rPr>
          <w:sz w:val="15"/>
          <w:szCs w:val="15"/>
          <w:color w:val="231F20"/>
          <w:position w:val="2"/>
        </w:rPr>
        <w:t>Libby</w:t>
      </w:r>
      <w:r>
        <w:rPr>
          <w:sz w:val="15"/>
          <w:szCs w:val="15"/>
          <w:color w:val="231F20"/>
          <w:spacing w:val="5"/>
          <w:position w:val="2"/>
        </w:rPr>
        <w:t xml:space="preserve">   </w:t>
      </w:r>
      <w:r>
        <w:rPr>
          <w:sz w:val="15"/>
          <w:szCs w:val="15"/>
          <w:color w:val="231F20"/>
          <w:position w:val="2"/>
        </w:rPr>
        <w:t>P</w:t>
      </w:r>
      <w:r>
        <w:rPr>
          <w:sz w:val="15"/>
          <w:szCs w:val="15"/>
          <w:color w:val="231F20"/>
          <w:spacing w:val="5"/>
          <w:position w:val="2"/>
        </w:rPr>
        <w:t>,   </w:t>
      </w:r>
      <w:r>
        <w:rPr>
          <w:sz w:val="15"/>
          <w:szCs w:val="15"/>
          <w:color w:val="231F20"/>
          <w:position w:val="2"/>
        </w:rPr>
        <w:t>Buring</w:t>
      </w:r>
      <w:r>
        <w:rPr>
          <w:sz w:val="15"/>
          <w:szCs w:val="15"/>
          <w:color w:val="231F20"/>
          <w:spacing w:val="5"/>
          <w:position w:val="2"/>
        </w:rPr>
        <w:t xml:space="preserve">  </w:t>
      </w:r>
      <w:r>
        <w:rPr>
          <w:sz w:val="15"/>
          <w:szCs w:val="15"/>
          <w:color w:val="231F20"/>
          <w:position w:val="2"/>
        </w:rPr>
        <w:t>JE</w:t>
      </w:r>
      <w:r>
        <w:rPr>
          <w:sz w:val="15"/>
          <w:szCs w:val="15"/>
          <w:color w:val="231F20"/>
          <w:spacing w:val="5"/>
          <w:position w:val="2"/>
        </w:rPr>
        <w:t>,</w:t>
      </w:r>
      <w:r>
        <w:rPr>
          <w:sz w:val="15"/>
          <w:szCs w:val="15"/>
          <w:color w:val="231F20"/>
          <w:spacing w:val="13"/>
          <w:position w:val="2"/>
        </w:rPr>
        <w:t xml:space="preserve">  </w:t>
      </w:r>
      <w:r>
        <w:rPr>
          <w:sz w:val="15"/>
          <w:szCs w:val="15"/>
          <w:color w:val="231F20"/>
          <w:position w:val="2"/>
        </w:rPr>
        <w:t>Badimon</w:t>
      </w:r>
      <w:r>
        <w:rPr>
          <w:sz w:val="15"/>
          <w:szCs w:val="15"/>
          <w:color w:val="231F20"/>
          <w:spacing w:val="10"/>
          <w:w w:val="102"/>
          <w:position w:val="2"/>
        </w:rPr>
        <w:t xml:space="preserve">  </w:t>
      </w:r>
      <w:r>
        <w:rPr>
          <w:sz w:val="15"/>
          <w:szCs w:val="15"/>
          <w:color w:val="231F20"/>
          <w:position w:val="2"/>
        </w:rPr>
        <w:t>L</w:t>
      </w:r>
      <w:r>
        <w:rPr>
          <w:sz w:val="15"/>
          <w:szCs w:val="15"/>
          <w:color w:val="231F20"/>
          <w:spacing w:val="5"/>
          <w:position w:val="2"/>
        </w:rPr>
        <w:t>,  </w:t>
      </w:r>
      <w:r>
        <w:rPr>
          <w:sz w:val="15"/>
          <w:szCs w:val="15"/>
          <w:color w:val="231F20"/>
          <w:position w:val="2"/>
        </w:rPr>
        <w:t>et</w:t>
      </w:r>
      <w:r>
        <w:rPr>
          <w:sz w:val="15"/>
          <w:szCs w:val="15"/>
          <w:color w:val="231F20"/>
          <w:spacing w:val="8"/>
          <w:w w:val="101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al</w:t>
      </w:r>
      <w:r>
        <w:rPr>
          <w:sz w:val="15"/>
          <w:szCs w:val="15"/>
          <w:color w:val="231F20"/>
          <w:spacing w:val="5"/>
          <w:position w:val="2"/>
        </w:rPr>
        <w:t>.  </w:t>
      </w:r>
      <w:r>
        <w:rPr>
          <w:sz w:val="15"/>
          <w:szCs w:val="15"/>
          <w:color w:val="231F20"/>
          <w:position w:val="2"/>
        </w:rPr>
        <w:t>Atherosclerosis</w:t>
      </w:r>
      <w:r>
        <w:rPr>
          <w:sz w:val="15"/>
          <w:szCs w:val="15"/>
          <w:color w:val="231F20"/>
          <w:spacing w:val="-13"/>
          <w:position w:val="2"/>
        </w:rPr>
        <w:t xml:space="preserve"> </w:t>
      </w:r>
      <w:r>
        <w:rPr>
          <w:sz w:val="15"/>
          <w:szCs w:val="15"/>
          <w:color w:val="231F20"/>
          <w:spacing w:val="5"/>
          <w:position w:val="2"/>
        </w:rPr>
        <w:t>[J].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07" w:right="39" w:firstLine="2"/>
        <w:spacing w:before="35" w:line="309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Nat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Rev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Dis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Primers</w:t>
      </w:r>
      <w:r>
        <w:rPr>
          <w:sz w:val="15"/>
          <w:szCs w:val="15"/>
          <w:color w:val="231F20"/>
          <w:spacing w:val="3"/>
        </w:rPr>
        <w:t>,   2019,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  <w:spacing w:val="3"/>
        </w:rPr>
        <w:t>5(1):   56.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3"/>
        </w:rPr>
        <w:t>10.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3"/>
        </w:rPr>
        <w:t>1038/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s41572‑019‑0106‑z.</w:t>
      </w:r>
    </w:p>
    <w:p>
      <w:pPr>
        <w:pStyle w:val="BodyText"/>
        <w:ind w:left="506" w:right="38" w:hanging="504"/>
        <w:spacing w:before="1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[21]      </w:t>
      </w:r>
      <w:r>
        <w:rPr>
          <w:sz w:val="15"/>
          <w:szCs w:val="15"/>
          <w:color w:val="231F20"/>
        </w:rPr>
        <w:t>Wolf</w:t>
      </w:r>
      <w:r>
        <w:rPr>
          <w:sz w:val="15"/>
          <w:szCs w:val="15"/>
          <w:color w:val="231F20"/>
          <w:spacing w:val="3"/>
        </w:rPr>
        <w:t xml:space="preserve">    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3"/>
        </w:rPr>
        <w:t>,     </w:t>
      </w:r>
      <w:r>
        <w:rPr>
          <w:sz w:val="15"/>
          <w:szCs w:val="15"/>
          <w:color w:val="231F20"/>
        </w:rPr>
        <w:t>Ley</w:t>
      </w:r>
      <w:r>
        <w:rPr>
          <w:sz w:val="15"/>
          <w:szCs w:val="15"/>
          <w:color w:val="231F20"/>
          <w:spacing w:val="3"/>
        </w:rPr>
        <w:t xml:space="preserve">    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3"/>
        </w:rPr>
        <w:t>.     </w:t>
      </w:r>
      <w:r>
        <w:rPr>
          <w:sz w:val="15"/>
          <w:szCs w:val="15"/>
          <w:color w:val="231F20"/>
        </w:rPr>
        <w:t>Immunity</w:t>
      </w:r>
      <w:r>
        <w:rPr>
          <w:sz w:val="15"/>
          <w:szCs w:val="15"/>
          <w:color w:val="231F20"/>
          <w:spacing w:val="3"/>
        </w:rPr>
        <w:t xml:space="preserve">  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3"/>
        </w:rPr>
        <w:t xml:space="preserve">     </w:t>
      </w:r>
      <w:r>
        <w:rPr>
          <w:sz w:val="15"/>
          <w:szCs w:val="15"/>
          <w:color w:val="231F20"/>
        </w:rPr>
        <w:t>inflammation</w:t>
      </w:r>
      <w:r>
        <w:rPr>
          <w:sz w:val="15"/>
          <w:szCs w:val="15"/>
          <w:color w:val="231F20"/>
          <w:spacing w:val="3"/>
        </w:rPr>
        <w:t xml:space="preserve">  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atherosclerosis</w:t>
      </w:r>
      <w:r>
        <w:rPr>
          <w:sz w:val="15"/>
          <w:szCs w:val="15"/>
          <w:color w:val="231F20"/>
          <w:spacing w:val="5"/>
        </w:rPr>
        <w:t>[J].  </w:t>
      </w:r>
      <w:r>
        <w:rPr>
          <w:sz w:val="15"/>
          <w:szCs w:val="15"/>
          <w:color w:val="231F20"/>
        </w:rPr>
        <w:t>Circ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Res</w:t>
      </w:r>
      <w:r>
        <w:rPr>
          <w:sz w:val="15"/>
          <w:szCs w:val="15"/>
          <w:color w:val="231F20"/>
          <w:spacing w:val="5"/>
        </w:rPr>
        <w:t>,  2019,  124(</w:t>
      </w:r>
      <w:r>
        <w:rPr>
          <w:sz w:val="15"/>
          <w:szCs w:val="15"/>
          <w:color w:val="231F20"/>
          <w:spacing w:val="4"/>
        </w:rPr>
        <w:t>2):  315‑327.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10.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6"/>
        </w:rPr>
        <w:t>1161/</w:t>
      </w:r>
      <w:r>
        <w:rPr>
          <w:sz w:val="15"/>
          <w:szCs w:val="15"/>
          <w:color w:val="231F20"/>
        </w:rPr>
        <w:t>CIRCRESAHA</w:t>
      </w:r>
      <w:r>
        <w:rPr>
          <w:sz w:val="15"/>
          <w:szCs w:val="15"/>
          <w:color w:val="231F20"/>
          <w:spacing w:val="6"/>
        </w:rPr>
        <w:t>.118.313591.</w:t>
      </w:r>
    </w:p>
    <w:p>
      <w:pPr>
        <w:pStyle w:val="BodyText"/>
        <w:ind w:left="504" w:right="39" w:hanging="503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[22]      </w:t>
      </w:r>
      <w:r>
        <w:rPr>
          <w:sz w:val="15"/>
          <w:szCs w:val="15"/>
          <w:color w:val="231F20"/>
        </w:rPr>
        <w:t>Noh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Yang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SS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Jung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SW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</w:t>
      </w:r>
      <w:r>
        <w:rPr>
          <w:sz w:val="15"/>
          <w:szCs w:val="15"/>
          <w:color w:val="231F20"/>
        </w:rPr>
        <w:t>Poor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prognostic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factors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in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4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who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underwent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surgery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acute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non‑occlusive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ischemic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colitis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World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Emerg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Surg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7"/>
        </w:rPr>
        <w:t>2015,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10: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12.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7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4"/>
        </w:rPr>
        <w:t>1186/s13017‑015‑0003‑z.</w:t>
      </w:r>
    </w:p>
    <w:p>
      <w:pPr>
        <w:pStyle w:val="BodyText"/>
        <w:ind w:left="506" w:right="39" w:hanging="506"/>
        <w:spacing w:before="41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[23]     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7"/>
        </w:rPr>
        <w:t>.  </w:t>
      </w:r>
      <w:r>
        <w:rPr>
          <w:sz w:val="15"/>
          <w:szCs w:val="15"/>
          <w:color w:val="231F20"/>
        </w:rPr>
        <w:t>Vascular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</w:rPr>
        <w:t>abnormalities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the  colon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</w:rPr>
        <w:t>in </w:t>
      </w:r>
      <w:r>
        <w:rPr>
          <w:sz w:val="15"/>
          <w:szCs w:val="15"/>
          <w:color w:val="231F20"/>
        </w:rPr>
        <w:t>older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4"/>
        </w:rPr>
        <w:t>[J]. 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4"/>
        </w:rPr>
        <w:t xml:space="preserve">     </w:t>
      </w:r>
      <w:r>
        <w:rPr>
          <w:sz w:val="15"/>
          <w:szCs w:val="15"/>
          <w:color w:val="231F20"/>
        </w:rPr>
        <w:t>Geriatr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Soc</w:t>
      </w:r>
      <w:r>
        <w:rPr>
          <w:sz w:val="15"/>
          <w:szCs w:val="15"/>
          <w:color w:val="231F20"/>
          <w:spacing w:val="4"/>
        </w:rPr>
        <w:t>,     2001,    49(8):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1128‑1129.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1046/j.1532‑5415.2001.49223.x.</w:t>
      </w:r>
    </w:p>
    <w:p>
      <w:pPr>
        <w:pStyle w:val="BodyText"/>
        <w:ind w:left="504" w:right="35" w:hanging="504"/>
        <w:spacing w:before="42" w:line="300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[24]       Low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</w:rPr>
        <w:t>CC,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Hess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CN,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"/>
        </w:rPr>
        <w:t>Hiatt  WR,   et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al.   Clinical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-1"/>
        </w:rPr>
        <w:t>update: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cardiovascular  disease  in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diabetes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mellitus:  atherosclerotic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cardiovascular  disease  and  heart  failure  in  </w:t>
      </w:r>
      <w:r>
        <w:rPr>
          <w:sz w:val="15"/>
          <w:szCs w:val="15"/>
          <w:color w:val="231F20"/>
          <w:spacing w:val="-1"/>
        </w:rPr>
        <w:t>type  2  diabetes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mellitus</w:t>
      </w:r>
      <w:r>
        <w:rPr>
          <w:sz w:val="15"/>
          <w:szCs w:val="15"/>
          <w:color w:val="231F20"/>
          <w:spacing w:val="5"/>
        </w:rPr>
        <w:t>‑</w:t>
      </w:r>
      <w:r>
        <w:rPr>
          <w:sz w:val="15"/>
          <w:szCs w:val="15"/>
          <w:color w:val="231F20"/>
        </w:rPr>
        <w:t>mechanisms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3"/>
        </w:rPr>
        <w:t xml:space="preserve">         </w:t>
      </w:r>
      <w:r>
        <w:rPr>
          <w:sz w:val="15"/>
          <w:szCs w:val="15"/>
          <w:color w:val="231F20"/>
        </w:rPr>
        <w:t>management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4"/>
        </w:rPr>
        <w:t xml:space="preserve">         </w:t>
      </w:r>
      <w:r>
        <w:rPr>
          <w:sz w:val="15"/>
          <w:szCs w:val="15"/>
          <w:color w:val="231F20"/>
        </w:rPr>
        <w:t>and          clinical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considerations[J].   Circulation,   2016,   133(24):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2459‑2502. </w:t>
      </w:r>
      <w:r>
        <w:rPr>
          <w:sz w:val="15"/>
          <w:szCs w:val="15"/>
          <w:color w:val="231F20"/>
        </w:rPr>
        <w:t>DOI: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10.1161/CIRCULATIONAHA.116.022194.</w:t>
      </w:r>
    </w:p>
    <w:p>
      <w:pPr>
        <w:pStyle w:val="BodyText"/>
        <w:ind w:left="505" w:right="39" w:hanging="504"/>
        <w:spacing w:before="40" w:line="2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[25]      </w:t>
      </w:r>
      <w:r>
        <w:rPr>
          <w:sz w:val="15"/>
          <w:szCs w:val="15"/>
          <w:color w:val="231F20"/>
        </w:rPr>
        <w:t>Mosi</w:t>
      </w:r>
      <w:r>
        <w:rPr>
          <w:sz w:val="15"/>
          <w:szCs w:val="15"/>
          <w:color w:val="231F20"/>
          <w:spacing w:val="10"/>
        </w:rPr>
        <w:t>ń</w:t>
      </w:r>
      <w:r>
        <w:rPr>
          <w:sz w:val="15"/>
          <w:szCs w:val="15"/>
          <w:color w:val="231F20"/>
        </w:rPr>
        <w:t>ska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Fichna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Ischemic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colitis</w:t>
      </w:r>
      <w:r>
        <w:rPr>
          <w:sz w:val="15"/>
          <w:szCs w:val="15"/>
          <w:color w:val="231F20"/>
          <w:spacing w:val="10"/>
        </w:rPr>
        <w:t>: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current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diagnosis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4"/>
        </w:rPr>
        <w:t>[J].    </w:t>
      </w:r>
      <w:r>
        <w:rPr>
          <w:sz w:val="15"/>
          <w:szCs w:val="15"/>
          <w:color w:val="231F20"/>
        </w:rPr>
        <w:t>Curr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Drug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Targets</w:t>
      </w:r>
      <w:r>
        <w:rPr>
          <w:sz w:val="15"/>
          <w:szCs w:val="15"/>
          <w:color w:val="231F20"/>
          <w:spacing w:val="4"/>
        </w:rPr>
        <w:t>,     2015,    </w:t>
      </w:r>
      <w:r>
        <w:rPr>
          <w:sz w:val="15"/>
          <w:szCs w:val="15"/>
          <w:color w:val="231F20"/>
          <w:spacing w:val="3"/>
        </w:rPr>
        <w:t>16(3):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5"/>
        </w:rPr>
        <w:t>209‑218.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10.2174/13894501166661501131205</w:t>
      </w:r>
      <w:r>
        <w:rPr>
          <w:sz w:val="15"/>
          <w:szCs w:val="15"/>
          <w:color w:val="231F20"/>
          <w:spacing w:val="4"/>
        </w:rPr>
        <w:t>49.</w:t>
      </w:r>
    </w:p>
    <w:p>
      <w:pPr>
        <w:pStyle w:val="BodyText"/>
        <w:ind w:left="504" w:right="41" w:hanging="504"/>
        <w:spacing w:before="39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[26]</w:t>
      </w:r>
      <w:r>
        <w:rPr>
          <w:sz w:val="15"/>
          <w:szCs w:val="15"/>
          <w:color w:val="231F20"/>
          <w:spacing w:val="1"/>
        </w:rPr>
        <w:t xml:space="preserve">       </w:t>
      </w:r>
      <w:r>
        <w:rPr>
          <w:sz w:val="15"/>
          <w:szCs w:val="15"/>
          <w:color w:val="231F20"/>
        </w:rPr>
        <w:t>Flynn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sz w:val="15"/>
          <w:szCs w:val="15"/>
          <w:color w:val="231F20"/>
        </w:rPr>
        <w:t>AD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</w:rPr>
        <w:t>Valentine   JF</w:t>
      </w:r>
      <w:r>
        <w:rPr>
          <w:sz w:val="15"/>
          <w:szCs w:val="15"/>
          <w:color w:val="231F20"/>
          <w:spacing w:val="6"/>
        </w:rPr>
        <w:t>.   </w:t>
      </w:r>
      <w:r>
        <w:rPr>
          <w:sz w:val="15"/>
          <w:szCs w:val="15"/>
          <w:color w:val="231F20"/>
        </w:rPr>
        <w:t>Update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diagnosis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4"/>
        </w:rPr>
        <w:t>management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colon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is</w:t>
      </w:r>
      <w:r>
        <w:rPr>
          <w:sz w:val="15"/>
          <w:szCs w:val="15"/>
          <w:color w:val="231F20"/>
          <w:spacing w:val="3"/>
        </w:rPr>
        <w:t>chemia[J].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Curr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Treat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3"/>
        </w:rPr>
        <w:t>Options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  <w:spacing w:val="3"/>
        </w:rPr>
        <w:t>2016,    14(1):    128‑139.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 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1007/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s11938‑016‑0074‑2.</w:t>
      </w:r>
    </w:p>
    <w:p>
      <w:pPr>
        <w:pStyle w:val="BodyText"/>
        <w:ind w:left="503" w:right="40" w:hanging="503"/>
        <w:spacing w:before="11" w:line="22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[27]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姚健凤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虞阳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张伟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10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伴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有慢性便秘的老年缺血性结肠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炎的临床特点</w:t>
      </w:r>
      <w:r>
        <w:rPr>
          <w:sz w:val="15"/>
          <w:szCs w:val="15"/>
          <w:color w:val="231F20"/>
          <w:spacing w:val="8"/>
        </w:rPr>
        <w:t>[J].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中华老年多器官疾病杂志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2014,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13(3):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165‑169.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10.3724/</w:t>
      </w:r>
      <w:r>
        <w:rPr>
          <w:sz w:val="15"/>
          <w:szCs w:val="15"/>
          <w:color w:val="231F20"/>
        </w:rPr>
        <w:t>SP</w:t>
      </w:r>
      <w:r>
        <w:rPr>
          <w:sz w:val="15"/>
          <w:szCs w:val="15"/>
          <w:color w:val="231F20"/>
          <w:spacing w:val="4"/>
        </w:rPr>
        <w:t>.J.1264.2014.0004</w:t>
      </w:r>
      <w:r>
        <w:rPr>
          <w:sz w:val="15"/>
          <w:szCs w:val="15"/>
          <w:color w:val="231F20"/>
          <w:spacing w:val="3"/>
        </w:rPr>
        <w:t>0.</w:t>
      </w:r>
    </w:p>
    <w:p>
      <w:pPr>
        <w:pStyle w:val="BodyText"/>
        <w:ind w:left="504" w:right="40" w:hanging="504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[28]</w:t>
      </w:r>
      <w:r>
        <w:rPr>
          <w:sz w:val="15"/>
          <w:szCs w:val="15"/>
          <w:color w:val="231F20"/>
        </w:rPr>
        <w:t xml:space="preserve">       Cohen</w:t>
      </w:r>
      <w:r>
        <w:rPr>
          <w:sz w:val="15"/>
          <w:szCs w:val="15"/>
          <w:color w:val="231F20"/>
          <w:spacing w:val="5"/>
        </w:rPr>
        <w:t xml:space="preserve">      </w:t>
      </w:r>
      <w:r>
        <w:rPr>
          <w:sz w:val="15"/>
          <w:szCs w:val="15"/>
          <w:color w:val="231F20"/>
        </w:rPr>
        <w:t>DC</w:t>
      </w:r>
      <w:r>
        <w:rPr>
          <w:sz w:val="15"/>
          <w:szCs w:val="15"/>
          <w:color w:val="231F20"/>
          <w:spacing w:val="5"/>
        </w:rPr>
        <w:t>,      </w:t>
      </w:r>
      <w:r>
        <w:rPr>
          <w:sz w:val="15"/>
          <w:szCs w:val="15"/>
          <w:color w:val="231F20"/>
        </w:rPr>
        <w:t>Winstanley</w:t>
      </w:r>
      <w:r>
        <w:rPr>
          <w:sz w:val="15"/>
          <w:szCs w:val="15"/>
          <w:color w:val="231F20"/>
          <w:spacing w:val="3"/>
        </w:rPr>
        <w:t xml:space="preserve">   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5"/>
        </w:rPr>
        <w:t>,      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Engledow</w:t>
      </w:r>
      <w:r>
        <w:rPr>
          <w:sz w:val="15"/>
          <w:szCs w:val="15"/>
          <w:color w:val="231F20"/>
          <w:spacing w:val="4"/>
        </w:rPr>
        <w:t xml:space="preserve">   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4"/>
        </w:rPr>
        <w:t>,  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Marathon‑induced  ischemic   colitis: </w:t>
      </w:r>
      <w:r>
        <w:rPr>
          <w:sz w:val="15"/>
          <w:szCs w:val="15"/>
          <w:color w:val="231F20"/>
          <w:spacing w:val="3"/>
        </w:rPr>
        <w:t xml:space="preserve"> why  running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is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not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always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good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you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6"/>
        </w:rPr>
        <w:t>[J].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Emerg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6"/>
        </w:rPr>
        <w:t>2009,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27(2):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255.e5‑7.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1016/j.</w:t>
      </w:r>
      <w:r>
        <w:rPr>
          <w:sz w:val="15"/>
          <w:szCs w:val="15"/>
          <w:color w:val="231F20"/>
        </w:rPr>
        <w:t>ajem</w:t>
      </w:r>
      <w:r>
        <w:rPr>
          <w:sz w:val="15"/>
          <w:szCs w:val="15"/>
          <w:color w:val="231F20"/>
          <w:spacing w:val="4"/>
        </w:rPr>
        <w:t>.2008.06.033.</w:t>
      </w:r>
    </w:p>
    <w:p>
      <w:pPr>
        <w:pStyle w:val="BodyText"/>
        <w:ind w:left="509" w:right="38" w:hanging="507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[29]      </w:t>
      </w:r>
      <w:r>
        <w:rPr>
          <w:sz w:val="15"/>
          <w:szCs w:val="15"/>
          <w:color w:val="231F20"/>
        </w:rPr>
        <w:t>Theodoropoulou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</w:rPr>
        <w:t>Sfiridaki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</w:rPr>
        <w:t>Oustamanolakis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9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Genetic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risk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3"/>
        </w:rPr>
        <w:t>factors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 young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patients with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3"/>
        </w:rPr>
        <w:t>ischemic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colitis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Hepatol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2008,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6(8):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907‑911.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1016/j.</w:t>
      </w:r>
      <w:r>
        <w:rPr>
          <w:sz w:val="15"/>
          <w:szCs w:val="15"/>
          <w:color w:val="231F20"/>
        </w:rPr>
        <w:t>cgh</w:t>
      </w:r>
      <w:r>
        <w:rPr>
          <w:sz w:val="15"/>
          <w:szCs w:val="15"/>
          <w:color w:val="231F20"/>
          <w:spacing w:val="4"/>
        </w:rPr>
        <w:t>.2008.03.010.</w:t>
      </w:r>
    </w:p>
    <w:p>
      <w:pPr>
        <w:pStyle w:val="BodyText"/>
        <w:ind w:left="505" w:right="39" w:hanging="503"/>
        <w:spacing w:before="42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[30]</w:t>
      </w:r>
      <w:r>
        <w:rPr>
          <w:sz w:val="15"/>
          <w:szCs w:val="15"/>
          <w:color w:val="231F20"/>
        </w:rPr>
        <w:t xml:space="preserve">       Kinjo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Hokama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5"/>
        </w:rPr>
        <w:t>,    </w:t>
      </w:r>
      <w:r>
        <w:rPr>
          <w:sz w:val="15"/>
          <w:szCs w:val="15"/>
          <w:color w:val="231F20"/>
        </w:rPr>
        <w:t>Nakamura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4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Case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report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ischemic     enterocolitis     associated     with     coronavirus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disease</w:t>
      </w:r>
      <w:r>
        <w:rPr>
          <w:sz w:val="15"/>
          <w:szCs w:val="15"/>
          <w:color w:val="231F20"/>
          <w:spacing w:val="5"/>
        </w:rPr>
        <w:t xml:space="preserve">   2019:</w:t>
      </w:r>
      <w:r>
        <w:rPr>
          <w:sz w:val="15"/>
          <w:szCs w:val="15"/>
          <w:color w:val="231F20"/>
          <w:spacing w:val="25"/>
        </w:rPr>
        <w:t xml:space="preserve">  </w:t>
      </w:r>
      <w:r>
        <w:rPr>
          <w:sz w:val="15"/>
          <w:szCs w:val="15"/>
          <w:color w:val="231F20"/>
        </w:rPr>
        <w:t>two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case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reports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the </w:t>
      </w:r>
      <w:r>
        <w:rPr>
          <w:sz w:val="15"/>
          <w:szCs w:val="15"/>
          <w:color w:val="231F20"/>
        </w:rPr>
        <w:t>literature</w:t>
      </w:r>
      <w:r>
        <w:rPr>
          <w:sz w:val="15"/>
          <w:szCs w:val="15"/>
          <w:color w:val="231F20"/>
          <w:spacing w:val="3"/>
        </w:rPr>
        <w:t>[J].   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3"/>
        </w:rPr>
        <w:t xml:space="preserve">     </w:t>
      </w:r>
      <w:r>
        <w:rPr>
          <w:sz w:val="15"/>
          <w:szCs w:val="15"/>
          <w:color w:val="231F20"/>
        </w:rPr>
        <w:t>Trop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3"/>
        </w:rPr>
        <w:t xml:space="preserve">     </w:t>
      </w:r>
      <w:r>
        <w:rPr>
          <w:sz w:val="15"/>
          <w:szCs w:val="15"/>
          <w:color w:val="231F20"/>
        </w:rPr>
        <w:t>Hyg</w:t>
      </w:r>
      <w:r>
        <w:rPr>
          <w:sz w:val="15"/>
          <w:szCs w:val="15"/>
          <w:color w:val="231F20"/>
          <w:spacing w:val="3"/>
        </w:rPr>
        <w:t>,    2021,     104(5):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1655‑1658.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10.4269/</w:t>
      </w:r>
      <w:r>
        <w:rPr>
          <w:sz w:val="15"/>
          <w:szCs w:val="15"/>
          <w:color w:val="231F20"/>
        </w:rPr>
        <w:t>ajtmh</w:t>
      </w:r>
      <w:r>
        <w:rPr>
          <w:sz w:val="15"/>
          <w:szCs w:val="15"/>
          <w:color w:val="231F20"/>
          <w:spacing w:val="5"/>
        </w:rPr>
        <w:t>.20‑1084.</w:t>
      </w:r>
    </w:p>
    <w:p>
      <w:pPr>
        <w:pStyle w:val="BodyText"/>
        <w:ind w:left="501" w:right="34" w:hanging="500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[31]       Champagne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BJ,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Lee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EC,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Val</w:t>
      </w:r>
      <w:r>
        <w:rPr>
          <w:sz w:val="15"/>
          <w:szCs w:val="15"/>
          <w:color w:val="231F20"/>
          <w:spacing w:val="-1"/>
        </w:rPr>
        <w:t>erian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B,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Incidence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"/>
        </w:rPr>
        <w:t>of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"/>
        </w:rPr>
        <w:t>colonic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ischemia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after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repair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ruptured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abdominal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aortic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aneurysm </w:t>
      </w:r>
      <w:r>
        <w:rPr>
          <w:sz w:val="15"/>
          <w:szCs w:val="15"/>
          <w:color w:val="231F20"/>
        </w:rPr>
        <w:t>with  endograft[J].  J  Am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</w:rPr>
        <w:t>Coll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Surg,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2007,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204(4):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597‑602. </w:t>
      </w:r>
      <w:r>
        <w:rPr>
          <w:sz w:val="15"/>
          <w:szCs w:val="15"/>
          <w:color w:val="231F20"/>
        </w:rPr>
        <w:t>DOI: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10.1016/j.jamcollsurg.2007.01.030.</w:t>
      </w:r>
    </w:p>
    <w:p>
      <w:pPr>
        <w:pStyle w:val="BodyText"/>
        <w:ind w:left="505" w:right="30" w:hanging="504"/>
        <w:spacing w:before="41" w:line="3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[32]       </w:t>
      </w:r>
      <w:r>
        <w:rPr>
          <w:sz w:val="15"/>
          <w:szCs w:val="15"/>
          <w:color w:val="231F20"/>
        </w:rPr>
        <w:t>Fenster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3"/>
        </w:rPr>
        <w:t>,   </w:t>
      </w:r>
      <w:r>
        <w:rPr>
          <w:sz w:val="15"/>
          <w:szCs w:val="15"/>
          <w:color w:val="231F20"/>
        </w:rPr>
        <w:t>Feuerstadt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2"/>
        </w:rPr>
        <w:t>,   </w:t>
      </w:r>
      <w:r>
        <w:rPr>
          <w:sz w:val="15"/>
          <w:szCs w:val="15"/>
          <w:color w:val="231F20"/>
        </w:rPr>
        <w:t>Brandt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LJ</w:t>
      </w:r>
      <w:r>
        <w:rPr>
          <w:sz w:val="15"/>
          <w:szCs w:val="15"/>
          <w:color w:val="231F20"/>
          <w:spacing w:val="2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2"/>
        </w:rPr>
        <w:t>.    </w:t>
      </w:r>
      <w:r>
        <w:rPr>
          <w:sz w:val="15"/>
          <w:szCs w:val="15"/>
          <w:color w:val="231F20"/>
        </w:rPr>
        <w:t>Real</w:t>
      </w:r>
      <w:r>
        <w:rPr>
          <w:sz w:val="15"/>
          <w:szCs w:val="15"/>
          <w:color w:val="231F20"/>
          <w:spacing w:val="2"/>
        </w:rPr>
        <w:t>‑</w:t>
      </w:r>
      <w:r>
        <w:rPr>
          <w:sz w:val="15"/>
          <w:szCs w:val="15"/>
          <w:color w:val="231F20"/>
        </w:rPr>
        <w:t>world </w:t>
      </w:r>
      <w:r>
        <w:rPr>
          <w:sz w:val="15"/>
          <w:szCs w:val="15"/>
          <w:color w:val="231F20"/>
          <w:spacing w:val="3"/>
        </w:rPr>
        <w:t>multicentre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3"/>
        </w:rPr>
        <w:t>experience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of  the   pathological   features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colonic   ischaemia   and   their   relationship   to   symptom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duration</w:t>
      </w:r>
      <w:r>
        <w:rPr>
          <w:sz w:val="15"/>
          <w:szCs w:val="15"/>
          <w:color w:val="231F20"/>
          <w:spacing w:val="9"/>
        </w:rPr>
        <w:t>,   </w:t>
      </w:r>
      <w:r>
        <w:rPr>
          <w:sz w:val="15"/>
          <w:szCs w:val="15"/>
          <w:color w:val="231F20"/>
        </w:rPr>
        <w:t>disease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distribution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outcome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9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Colorectal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Dis</w:t>
      </w:r>
      <w:r>
        <w:rPr>
          <w:sz w:val="15"/>
          <w:szCs w:val="15"/>
          <w:color w:val="231F20"/>
          <w:spacing w:val="4"/>
        </w:rPr>
        <w:t>,  2018,  20(12):  1132‑1141.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4"/>
        </w:rPr>
        <w:t>1111/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codi</w:t>
      </w:r>
      <w:r>
        <w:rPr>
          <w:sz w:val="15"/>
          <w:szCs w:val="15"/>
          <w:color w:val="231F20"/>
          <w:spacing w:val="6"/>
        </w:rPr>
        <w:t>.14323.</w:t>
      </w:r>
    </w:p>
    <w:p>
      <w:pPr>
        <w:pStyle w:val="BodyText"/>
        <w:ind w:left="505" w:right="39" w:hanging="504"/>
        <w:spacing w:before="10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[33]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吴本俨</w:t>
      </w:r>
      <w:r>
        <w:rPr>
          <w:sz w:val="15"/>
          <w:szCs w:val="15"/>
          <w:color w:val="231F20"/>
          <w:spacing w:val="10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徐世平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老年人缺血性结肠炎的特点和处理策略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[J].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胃 肠 病 学 </w:t>
      </w:r>
      <w:r>
        <w:rPr>
          <w:sz w:val="15"/>
          <w:szCs w:val="15"/>
          <w:color w:val="231F20"/>
          <w:spacing w:val="2"/>
        </w:rPr>
        <w:t>,   2018,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2"/>
        </w:rPr>
        <w:t>23(6):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2"/>
        </w:rPr>
        <w:t>327‑329.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2"/>
        </w:rPr>
        <w:t>10.3969/j.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.1008‑7125.2018.06.002.</w:t>
      </w:r>
    </w:p>
    <w:p>
      <w:pPr>
        <w:pStyle w:val="BodyText"/>
        <w:ind w:left="504" w:right="40" w:hanging="503"/>
        <w:spacing w:before="9" w:line="30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[34]      </w:t>
      </w:r>
      <w:r>
        <w:rPr>
          <w:sz w:val="15"/>
          <w:szCs w:val="15"/>
          <w:color w:val="231F20"/>
        </w:rPr>
        <w:t>Ten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Heggeler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LB</w:t>
      </w:r>
      <w:r>
        <w:rPr>
          <w:sz w:val="15"/>
          <w:szCs w:val="15"/>
          <w:color w:val="231F20"/>
          <w:spacing w:val="3"/>
        </w:rPr>
        <w:t>,   </w:t>
      </w:r>
      <w:r>
        <w:rPr>
          <w:sz w:val="15"/>
          <w:szCs w:val="15"/>
          <w:color w:val="231F20"/>
        </w:rPr>
        <w:t>van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Dam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LJ</w:t>
      </w:r>
      <w:r>
        <w:rPr>
          <w:sz w:val="15"/>
          <w:szCs w:val="15"/>
          <w:color w:val="231F20"/>
          <w:spacing w:val="3"/>
        </w:rPr>
        <w:t>,   </w:t>
      </w:r>
      <w:r>
        <w:rPr>
          <w:sz w:val="15"/>
          <w:szCs w:val="15"/>
          <w:color w:val="231F20"/>
        </w:rPr>
        <w:t>Bijlsma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 </w:t>
      </w:r>
      <w:r>
        <w:rPr>
          <w:sz w:val="15"/>
          <w:szCs w:val="15"/>
          <w:color w:val="231F20"/>
        </w:rPr>
        <w:t>Colon </w:t>
      </w:r>
      <w:r>
        <w:rPr>
          <w:sz w:val="15"/>
          <w:szCs w:val="15"/>
          <w:color w:val="231F20"/>
          <w:spacing w:val="3"/>
        </w:rPr>
        <w:t>ischemia:  Right‑sided  colon  involvement  has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3"/>
        </w:rPr>
        <w:t>different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presentation,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  <w:spacing w:val="4"/>
        </w:rPr>
        <w:t>etiology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11"/>
          <w:w w:val="101"/>
        </w:rPr>
        <w:t xml:space="preserve">   </w:t>
      </w:r>
      <w:r>
        <w:rPr>
          <w:sz w:val="15"/>
          <w:szCs w:val="15"/>
          <w:color w:val="231F20"/>
          <w:spacing w:val="4"/>
        </w:rPr>
        <w:t>worse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  <w:spacing w:val="4"/>
        </w:rPr>
        <w:t>o</w:t>
      </w:r>
      <w:r>
        <w:rPr>
          <w:sz w:val="15"/>
          <w:szCs w:val="15"/>
          <w:color w:val="231F20"/>
          <w:spacing w:val="3"/>
        </w:rPr>
        <w:t>utcome.   A    large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retrospective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cohort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study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3"/>
        </w:rPr>
        <w:t>histology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proven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3"/>
        </w:rPr>
        <w:t>patients[</w:t>
      </w:r>
      <w:r>
        <w:rPr>
          <w:sz w:val="15"/>
          <w:szCs w:val="15"/>
          <w:color w:val="231F20"/>
          <w:spacing w:val="2"/>
        </w:rPr>
        <w:t>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Best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</w:rPr>
        <w:t>Pract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</w:rPr>
        <w:t>Res  Clin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2017,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31(1):  111‑117.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1016/j.</w:t>
      </w:r>
      <w:r>
        <w:rPr>
          <w:sz w:val="15"/>
          <w:szCs w:val="15"/>
          <w:color w:val="231F20"/>
        </w:rPr>
        <w:t>bpg</w:t>
      </w:r>
      <w:r>
        <w:rPr>
          <w:sz w:val="15"/>
          <w:szCs w:val="15"/>
          <w:color w:val="231F20"/>
          <w:spacing w:val="4"/>
        </w:rPr>
        <w:t>.2016.12.004.</w:t>
      </w:r>
    </w:p>
    <w:p>
      <w:pPr>
        <w:pStyle w:val="BodyText"/>
        <w:spacing w:before="42" w:line="184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4"/>
          <w:position w:val="2"/>
        </w:rPr>
        <w:t>[35]</w:t>
      </w:r>
      <w:r>
        <w:rPr>
          <w:sz w:val="15"/>
          <w:szCs w:val="15"/>
          <w:color w:val="231F20"/>
          <w:position w:val="2"/>
        </w:rPr>
        <w:t xml:space="preserve">       Feuerstadt</w:t>
      </w:r>
      <w:r>
        <w:rPr>
          <w:sz w:val="15"/>
          <w:szCs w:val="15"/>
          <w:color w:val="231F20"/>
          <w:spacing w:val="12"/>
          <w:w w:val="101"/>
          <w:position w:val="2"/>
        </w:rPr>
        <w:t xml:space="preserve">   </w:t>
      </w:r>
      <w:r>
        <w:rPr>
          <w:sz w:val="15"/>
          <w:szCs w:val="15"/>
          <w:color w:val="231F20"/>
          <w:position w:val="2"/>
        </w:rPr>
        <w:t>P</w:t>
      </w:r>
      <w:r>
        <w:rPr>
          <w:sz w:val="15"/>
          <w:szCs w:val="15"/>
          <w:color w:val="231F20"/>
          <w:spacing w:val="4"/>
          <w:position w:val="2"/>
        </w:rPr>
        <w:t>,   </w:t>
      </w:r>
      <w:r>
        <w:rPr>
          <w:sz w:val="15"/>
          <w:szCs w:val="15"/>
          <w:color w:val="231F20"/>
          <w:position w:val="2"/>
        </w:rPr>
        <w:t>Aroniadis</w:t>
      </w:r>
      <w:r>
        <w:rPr>
          <w:sz w:val="15"/>
          <w:szCs w:val="15"/>
          <w:color w:val="231F20"/>
          <w:spacing w:val="4"/>
          <w:position w:val="2"/>
        </w:rPr>
        <w:t xml:space="preserve">    </w:t>
      </w:r>
      <w:r>
        <w:rPr>
          <w:sz w:val="15"/>
          <w:szCs w:val="15"/>
          <w:color w:val="231F20"/>
          <w:position w:val="2"/>
        </w:rPr>
        <w:t>O</w:t>
      </w:r>
      <w:r>
        <w:rPr>
          <w:sz w:val="15"/>
          <w:szCs w:val="15"/>
          <w:color w:val="231F20"/>
          <w:spacing w:val="4"/>
          <w:position w:val="2"/>
        </w:rPr>
        <w:t>,    </w:t>
      </w:r>
      <w:r>
        <w:rPr>
          <w:sz w:val="15"/>
          <w:szCs w:val="15"/>
          <w:color w:val="231F20"/>
          <w:position w:val="2"/>
        </w:rPr>
        <w:t>Brandt</w:t>
      </w:r>
      <w:r>
        <w:rPr>
          <w:sz w:val="15"/>
          <w:szCs w:val="15"/>
          <w:color w:val="231F20"/>
          <w:spacing w:val="4"/>
          <w:position w:val="2"/>
        </w:rPr>
        <w:t xml:space="preserve">    </w:t>
      </w:r>
      <w:r>
        <w:rPr>
          <w:sz w:val="15"/>
          <w:szCs w:val="15"/>
          <w:color w:val="231F20"/>
          <w:position w:val="2"/>
        </w:rPr>
        <w:t>LJ</w:t>
      </w:r>
      <w:r>
        <w:rPr>
          <w:sz w:val="15"/>
          <w:szCs w:val="15"/>
          <w:color w:val="231F20"/>
          <w:spacing w:val="4"/>
          <w:position w:val="2"/>
        </w:rPr>
        <w:t>.    </w:t>
      </w:r>
      <w:r>
        <w:rPr>
          <w:sz w:val="15"/>
          <w:szCs w:val="15"/>
          <w:color w:val="231F20"/>
          <w:position w:val="2"/>
        </w:rPr>
        <w:t>Features</w:t>
      </w:r>
      <w:r>
        <w:rPr>
          <w:sz w:val="15"/>
          <w:szCs w:val="15"/>
          <w:color w:val="231F20"/>
          <w:spacing w:val="10"/>
          <w:position w:val="2"/>
        </w:rPr>
        <w:t xml:space="preserve">   </w:t>
      </w:r>
      <w:r>
        <w:rPr>
          <w:sz w:val="15"/>
          <w:szCs w:val="15"/>
          <w:color w:val="231F20"/>
          <w:position w:val="2"/>
        </w:rPr>
        <w:t>and</w:t>
      </w:r>
    </w:p>
    <w:p>
      <w:pPr>
        <w:spacing w:line="184" w:lineRule="exact"/>
        <w:sectPr>
          <w:type w:val="continuous"/>
          <w:pgSz w:w="12246" w:h="16498"/>
          <w:pgMar w:top="1221" w:right="1265" w:bottom="0" w:left="819" w:header="971" w:footer="0" w:gutter="0"/>
          <w:cols w:equalWidth="0" w:num="2">
            <w:col w:w="5554" w:space="100"/>
            <w:col w:w="4507" w:space="0"/>
          </w:cols>
        </w:sectPr>
        <w:rPr>
          <w:sz w:val="15"/>
          <w:szCs w:val="15"/>
        </w:rPr>
      </w:pPr>
    </w:p>
    <w:p>
      <w:pPr>
        <w:spacing w:before="57"/>
        <w:rPr/>
      </w:pPr>
      <w:r>
        <w:pict>
          <v:shape id="_x0000_s52" style="position:absolute;margin-left:254.344pt;margin-top:59.6176pt;mso-position-vertical-relative:page;mso-position-horizontal-relative:page;width:292.75pt;height:0.4pt;z-index:251685888;" o:allowincell="f" filled="false" strokecolor="#231F20" strokeweight="0.37pt" coordsize="5855,8" coordorigin="0,0" path="m0,3l5854,3e">
            <v:stroke joinstyle="miter" miterlimit="4"/>
          </v:shape>
        </w:pict>
      </w:r>
      <w:r/>
    </w:p>
    <w:p>
      <w:pPr>
        <w:sectPr>
          <w:headerReference w:type="default" r:id="rId10"/>
          <w:pgSz w:w="12246" w:h="16498"/>
          <w:pgMar w:top="1221" w:right="1298" w:bottom="0" w:left="819" w:header="971" w:footer="0" w:gutter="0"/>
          <w:cols w:equalWidth="0" w:num="1">
            <w:col w:w="10127" w:space="0"/>
          </w:cols>
        </w:sectPr>
        <w:rPr/>
      </w:pPr>
    </w:p>
    <w:p>
      <w:pPr>
        <w:pStyle w:val="BodyText"/>
        <w:ind w:left="1058" w:right="533" w:firstLine="1"/>
        <w:spacing w:before="37" w:line="294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outcomes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ischemia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isolated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to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right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side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 the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colon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when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accompanied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or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followed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3"/>
        </w:rPr>
        <w:t>by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acute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mesenteric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</w:rPr>
        <w:t>ischemia</w:t>
      </w:r>
      <w:r>
        <w:rPr>
          <w:sz w:val="15"/>
          <w:szCs w:val="15"/>
          <w:color w:val="231F20"/>
          <w:spacing w:val="16"/>
        </w:rPr>
        <w:t>[J].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Hepatol</w:t>
      </w:r>
      <w:r>
        <w:rPr>
          <w:sz w:val="15"/>
          <w:szCs w:val="15"/>
          <w:color w:val="231F20"/>
          <w:spacing w:val="16"/>
        </w:rPr>
        <w:t>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16"/>
        </w:rPr>
        <w:t>2015,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13(11):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1962‑1968.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1016/j.</w:t>
      </w:r>
      <w:r>
        <w:rPr>
          <w:sz w:val="15"/>
          <w:szCs w:val="15"/>
          <w:color w:val="231F20"/>
        </w:rPr>
        <w:t>cgh</w:t>
      </w:r>
      <w:r>
        <w:rPr>
          <w:sz w:val="15"/>
          <w:szCs w:val="15"/>
          <w:color w:val="231F20"/>
          <w:spacing w:val="4"/>
        </w:rPr>
        <w:t>.2015</w:t>
      </w:r>
      <w:r>
        <w:rPr>
          <w:sz w:val="15"/>
          <w:szCs w:val="15"/>
          <w:color w:val="231F20"/>
          <w:spacing w:val="3"/>
        </w:rPr>
        <w:t>.04.011.</w:t>
      </w:r>
    </w:p>
    <w:p>
      <w:pPr>
        <w:pStyle w:val="BodyText"/>
        <w:ind w:left="1055" w:right="532" w:hanging="502"/>
        <w:spacing w:before="30" w:line="21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[36]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廖亮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王薇</w:t>
      </w:r>
      <w:r>
        <w:rPr>
          <w:sz w:val="15"/>
          <w:szCs w:val="15"/>
          <w:color w:val="231F20"/>
          <w:spacing w:val="10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许乐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孤立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性右半结肠缺血性结肠炎预后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分析</w:t>
      </w:r>
      <w:r>
        <w:rPr>
          <w:sz w:val="15"/>
          <w:szCs w:val="15"/>
          <w:color w:val="231F20"/>
          <w:spacing w:val="6"/>
        </w:rPr>
        <w:t>[J].</w:t>
      </w:r>
      <w:r>
        <w:rPr>
          <w:sz w:val="15"/>
          <w:szCs w:val="15"/>
          <w:color w:val="231F20"/>
          <w:spacing w:val="42"/>
          <w:w w:val="10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中华老年多器官疾病杂志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2015,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14(5):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326‑328.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5"/>
        </w:rPr>
        <w:t>11915/j.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.1671‑5</w:t>
      </w:r>
      <w:r>
        <w:rPr>
          <w:sz w:val="15"/>
          <w:szCs w:val="15"/>
          <w:color w:val="231F20"/>
          <w:spacing w:val="4"/>
        </w:rPr>
        <w:t>403.2015.05.075.</w:t>
      </w:r>
    </w:p>
    <w:p>
      <w:pPr>
        <w:pStyle w:val="BodyText"/>
        <w:ind w:left="1057" w:right="533" w:hanging="504"/>
        <w:spacing w:before="38" w:line="3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[37]</w:t>
      </w:r>
      <w:r>
        <w:rPr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</w:rPr>
        <w:t>Maimone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De</w:t>
      </w:r>
      <w:r>
        <w:rPr>
          <w:sz w:val="15"/>
          <w:szCs w:val="15"/>
          <w:color w:val="231F20"/>
          <w:spacing w:val="8"/>
          <w:w w:val="101"/>
        </w:rPr>
        <w:t xml:space="preserve">   </w:t>
      </w:r>
      <w:r>
        <w:rPr>
          <w:sz w:val="15"/>
          <w:szCs w:val="15"/>
          <w:color w:val="231F20"/>
        </w:rPr>
        <w:t>Ceglie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5"/>
        </w:rPr>
        <w:t>,    </w:t>
      </w:r>
      <w:r>
        <w:rPr>
          <w:sz w:val="15"/>
          <w:szCs w:val="15"/>
          <w:color w:val="231F20"/>
        </w:rPr>
        <w:t>Siersema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PD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  </w:t>
      </w:r>
      <w:r>
        <w:rPr>
          <w:sz w:val="15"/>
          <w:szCs w:val="15"/>
          <w:color w:val="231F20"/>
        </w:rPr>
        <w:t>Colon </w:t>
      </w:r>
      <w:r>
        <w:rPr>
          <w:sz w:val="15"/>
          <w:szCs w:val="15"/>
          <w:color w:val="231F20"/>
          <w:spacing w:val="3"/>
        </w:rPr>
        <w:t>ischemia:  A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comprehensive  review[J].   Clin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3"/>
        </w:rPr>
        <w:t>Res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Hepatol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3"/>
        </w:rPr>
        <w:t>,   2021,    45(6):    101592.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 10.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3"/>
        </w:rPr>
        <w:t>1016/j.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clinre</w:t>
      </w:r>
      <w:r>
        <w:rPr>
          <w:sz w:val="15"/>
          <w:szCs w:val="15"/>
          <w:color w:val="231F20"/>
          <w:spacing w:val="5"/>
        </w:rPr>
        <w:t>.2020.101592.</w:t>
      </w:r>
    </w:p>
    <w:p>
      <w:pPr>
        <w:pStyle w:val="BodyText"/>
        <w:ind w:left="1052" w:right="533" w:hanging="499"/>
        <w:spacing w:before="7" w:line="29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[38]</w:t>
      </w:r>
      <w:r>
        <w:rPr>
          <w:sz w:val="15"/>
          <w:szCs w:val="15"/>
          <w:color w:val="231F20"/>
          <w:spacing w:val="1"/>
        </w:rPr>
        <w:t xml:space="preserve">       </w:t>
      </w:r>
      <w:r>
        <w:rPr>
          <w:sz w:val="15"/>
          <w:szCs w:val="15"/>
          <w:color w:val="231F20"/>
        </w:rPr>
        <w:t>Montoro</w:t>
      </w:r>
      <w:r>
        <w:rPr>
          <w:sz w:val="15"/>
          <w:szCs w:val="15"/>
          <w:color w:val="231F20"/>
          <w:spacing w:val="10"/>
          <w:w w:val="102"/>
        </w:rPr>
        <w:t xml:space="preserve">   </w:t>
      </w:r>
      <w:r>
        <w:rPr>
          <w:sz w:val="15"/>
          <w:szCs w:val="15"/>
          <w:color w:val="231F20"/>
        </w:rPr>
        <w:t>MA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0"/>
          <w:w w:val="101"/>
        </w:rPr>
        <w:t xml:space="preserve">   </w:t>
      </w:r>
      <w:r>
        <w:rPr>
          <w:sz w:val="15"/>
          <w:szCs w:val="15"/>
          <w:color w:val="231F20"/>
        </w:rPr>
        <w:t>Brandt</w:t>
      </w:r>
      <w:r>
        <w:rPr>
          <w:sz w:val="15"/>
          <w:szCs w:val="15"/>
          <w:color w:val="231F20"/>
          <w:spacing w:val="10"/>
          <w:w w:val="101"/>
        </w:rPr>
        <w:t xml:space="preserve">   </w:t>
      </w:r>
      <w:r>
        <w:rPr>
          <w:sz w:val="15"/>
          <w:szCs w:val="15"/>
          <w:color w:val="231F20"/>
        </w:rPr>
        <w:t>LJ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0"/>
          <w:w w:val="101"/>
        </w:rPr>
        <w:t xml:space="preserve">   </w:t>
      </w:r>
      <w:r>
        <w:rPr>
          <w:sz w:val="15"/>
          <w:szCs w:val="15"/>
          <w:color w:val="231F20"/>
        </w:rPr>
        <w:t>Santolaria</w:t>
      </w:r>
      <w:r>
        <w:rPr>
          <w:sz w:val="15"/>
          <w:szCs w:val="15"/>
          <w:color w:val="231F20"/>
          <w:spacing w:val="10"/>
          <w:w w:val="101"/>
        </w:rPr>
        <w:t xml:space="preserve"> 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    </w:t>
      </w:r>
      <w:r>
        <w:rPr>
          <w:sz w:val="15"/>
          <w:szCs w:val="15"/>
          <w:color w:val="231F20"/>
        </w:rPr>
        <w:t>Clinical </w:t>
      </w:r>
      <w:r>
        <w:rPr>
          <w:sz w:val="15"/>
          <w:szCs w:val="15"/>
          <w:color w:val="231F20"/>
          <w:spacing w:val="4"/>
        </w:rPr>
        <w:t>patterns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outcomes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4"/>
        </w:rPr>
        <w:t>ischae</w:t>
      </w:r>
      <w:r>
        <w:rPr>
          <w:sz w:val="15"/>
          <w:szCs w:val="15"/>
          <w:color w:val="231F20"/>
          <w:spacing w:val="3"/>
        </w:rPr>
        <w:t>mic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colitis: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results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of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Working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Group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Study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Ischaemi</w:t>
      </w:r>
      <w:r>
        <w:rPr>
          <w:sz w:val="15"/>
          <w:szCs w:val="15"/>
          <w:color w:val="231F20"/>
          <w:spacing w:val="2"/>
        </w:rPr>
        <w:t>c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2"/>
        </w:rPr>
        <w:t>Colitis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Spain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(</w:t>
      </w:r>
      <w:r>
        <w:rPr>
          <w:sz w:val="15"/>
          <w:szCs w:val="15"/>
          <w:color w:val="231F20"/>
        </w:rPr>
        <w:t>CIE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4"/>
        </w:rPr>
        <w:t>)   [J].    </w:t>
      </w:r>
      <w:r>
        <w:rPr>
          <w:sz w:val="15"/>
          <w:szCs w:val="15"/>
          <w:color w:val="231F20"/>
        </w:rPr>
        <w:t>Scand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4"/>
        </w:rPr>
        <w:t>,    2</w:t>
      </w:r>
      <w:r>
        <w:rPr>
          <w:sz w:val="15"/>
          <w:szCs w:val="15"/>
          <w:color w:val="231F20"/>
          <w:spacing w:val="3"/>
        </w:rPr>
        <w:t>011,    46(2):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236‑246.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10.3109/003655</w:t>
      </w:r>
      <w:r>
        <w:rPr>
          <w:sz w:val="15"/>
          <w:szCs w:val="15"/>
          <w:color w:val="231F20"/>
          <w:spacing w:val="4"/>
        </w:rPr>
        <w:t>21.2010.525794.</w:t>
      </w:r>
    </w:p>
    <w:p>
      <w:pPr>
        <w:pStyle w:val="BodyText"/>
        <w:ind w:left="1058" w:right="534" w:hanging="506"/>
        <w:spacing w:before="37" w:line="3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[39]      </w:t>
      </w:r>
      <w:r>
        <w:rPr>
          <w:sz w:val="15"/>
          <w:szCs w:val="15"/>
          <w:color w:val="231F20"/>
        </w:rPr>
        <w:t>Paterno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McGillicuddy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EA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Schuster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KM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Ischemic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colitis</w:t>
      </w:r>
      <w:r>
        <w:rPr>
          <w:sz w:val="15"/>
          <w:szCs w:val="15"/>
          <w:color w:val="231F20"/>
          <w:spacing w:val="11"/>
        </w:rPr>
        <w:t>: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</w:rPr>
        <w:t>factors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</w:rPr>
        <w:t>eventual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surgery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1"/>
        </w:rPr>
        <w:t>[J]. 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</w:rPr>
        <w:t>Surg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2010,  200(5):  646‑650.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8"/>
        </w:rPr>
        <w:t>:  10.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8"/>
        </w:rPr>
        <w:t>1016/j.</w:t>
      </w:r>
      <w:r>
        <w:rPr>
          <w:sz w:val="15"/>
          <w:szCs w:val="15"/>
          <w:color w:val="231F20"/>
        </w:rPr>
        <w:t>amjsurg</w:t>
      </w:r>
      <w:r>
        <w:rPr>
          <w:sz w:val="15"/>
          <w:szCs w:val="15"/>
          <w:color w:val="231F20"/>
          <w:spacing w:val="8"/>
        </w:rPr>
        <w:t>.2010.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07.005.</w:t>
      </w:r>
    </w:p>
    <w:p>
      <w:pPr>
        <w:pStyle w:val="BodyText"/>
        <w:ind w:left="1055" w:right="537" w:hanging="503"/>
        <w:spacing w:before="6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[40]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袁雁雯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杨立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多排螺旋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检查缺血性结肠炎临床价值分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析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医学影像学杂志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2016,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26(4):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4"/>
        </w:rPr>
        <w:t>683‑686.</w:t>
      </w:r>
    </w:p>
    <w:p>
      <w:pPr>
        <w:pStyle w:val="BodyText"/>
        <w:ind w:left="1056" w:right="534" w:hanging="504"/>
        <w:spacing w:before="1" w:line="29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[41]      Menke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J.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Diagnostic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accuracy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multidetector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CT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acute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mesenteric</w:t>
      </w:r>
      <w:r>
        <w:rPr>
          <w:sz w:val="15"/>
          <w:szCs w:val="15"/>
          <w:color w:val="231F20"/>
          <w:spacing w:val="5"/>
        </w:rPr>
        <w:t xml:space="preserve">        </w:t>
      </w:r>
      <w:r>
        <w:rPr>
          <w:sz w:val="15"/>
          <w:szCs w:val="15"/>
          <w:color w:val="231F20"/>
        </w:rPr>
        <w:t>ischemia</w:t>
      </w:r>
      <w:r>
        <w:rPr>
          <w:sz w:val="15"/>
          <w:szCs w:val="15"/>
          <w:color w:val="231F20"/>
          <w:spacing w:val="5"/>
        </w:rPr>
        <w:t>:        </w:t>
      </w:r>
      <w:r>
        <w:rPr>
          <w:sz w:val="15"/>
          <w:szCs w:val="15"/>
          <w:color w:val="231F20"/>
        </w:rPr>
        <w:t>systematic</w:t>
      </w:r>
      <w:r>
        <w:rPr>
          <w:sz w:val="15"/>
          <w:szCs w:val="15"/>
          <w:color w:val="231F20"/>
          <w:spacing w:val="5"/>
        </w:rPr>
        <w:t xml:space="preserve">       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5"/>
        </w:rPr>
        <w:t xml:space="preserve">     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5"/>
        </w:rPr>
        <w:t>‑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11"/>
          <w:w w:val="103"/>
        </w:rPr>
        <w:t xml:space="preserve">  </w:t>
      </w:r>
      <w:r>
        <w:rPr>
          <w:sz w:val="15"/>
          <w:szCs w:val="15"/>
          <w:color w:val="231F20"/>
        </w:rPr>
        <w:t>Radiology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5"/>
        </w:rPr>
        <w:t>2010,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256(1):  93‑101.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4"/>
        </w:rPr>
        <w:t>1148/</w:t>
      </w:r>
      <w:r>
        <w:rPr>
          <w:sz w:val="15"/>
          <w:szCs w:val="15"/>
          <w:color w:val="231F20"/>
        </w:rPr>
        <w:t>radiol</w:t>
      </w:r>
      <w:r>
        <w:rPr>
          <w:sz w:val="15"/>
          <w:szCs w:val="15"/>
          <w:color w:val="231F20"/>
          <w:spacing w:val="4"/>
        </w:rPr>
        <w:t>.10091938.</w:t>
      </w:r>
    </w:p>
    <w:p>
      <w:pPr>
        <w:pStyle w:val="BodyText"/>
        <w:ind w:left="1056" w:right="535" w:hanging="504"/>
        <w:spacing w:before="37" w:line="2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[42]      </w:t>
      </w:r>
      <w:r>
        <w:rPr>
          <w:sz w:val="15"/>
          <w:szCs w:val="15"/>
          <w:color w:val="231F20"/>
        </w:rPr>
        <w:t>Mazzei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MA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Guerrini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Cioffi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Squitieri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Magnetic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resonance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imaging: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there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3"/>
        </w:rPr>
        <w:t>role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clinical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management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acute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ischemic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colitis</w:t>
      </w:r>
      <w:r>
        <w:rPr>
          <w:sz w:val="15"/>
          <w:szCs w:val="15"/>
          <w:color w:val="231F20"/>
          <w:spacing w:val="14"/>
        </w:rPr>
        <w:t>?[J].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World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14"/>
        </w:rPr>
        <w:t>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14"/>
        </w:rPr>
        <w:t>2013,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19(8):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4"/>
        </w:rPr>
        <w:t>1256‑1263.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10.3748/</w:t>
      </w:r>
      <w:r>
        <w:rPr>
          <w:sz w:val="15"/>
          <w:szCs w:val="15"/>
          <w:color w:val="231F20"/>
        </w:rPr>
        <w:t>wjg</w:t>
      </w:r>
      <w:r>
        <w:rPr>
          <w:sz w:val="15"/>
          <w:szCs w:val="15"/>
          <w:color w:val="231F20"/>
          <w:spacing w:val="4"/>
        </w:rPr>
        <w:t>.v19.i8.1256.</w:t>
      </w:r>
    </w:p>
    <w:p>
      <w:pPr>
        <w:pStyle w:val="BodyText"/>
        <w:ind w:left="1055" w:right="535" w:hanging="504"/>
        <w:spacing w:before="38" w:line="28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[43]      </w:t>
      </w:r>
      <w:r>
        <w:rPr>
          <w:sz w:val="15"/>
          <w:szCs w:val="15"/>
          <w:color w:val="231F20"/>
        </w:rPr>
        <w:t>Brandt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LJ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Feuerstadt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4"/>
        </w:rPr>
        <w:t>.  </w:t>
      </w:r>
      <w:r>
        <w:rPr>
          <w:sz w:val="15"/>
          <w:szCs w:val="15"/>
          <w:color w:val="231F20"/>
        </w:rPr>
        <w:t>Beyond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low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flow</w:t>
      </w:r>
      <w:r>
        <w:rPr>
          <w:sz w:val="15"/>
          <w:szCs w:val="15"/>
          <w:color w:val="231F20"/>
          <w:spacing w:val="4"/>
        </w:rPr>
        <w:t>:  </w:t>
      </w:r>
      <w:r>
        <w:rPr>
          <w:sz w:val="15"/>
          <w:szCs w:val="15"/>
          <w:color w:val="231F20"/>
        </w:rPr>
        <w:t>how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i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manage </w:t>
      </w:r>
      <w:r>
        <w:rPr>
          <w:sz w:val="15"/>
          <w:szCs w:val="15"/>
          <w:color w:val="231F20"/>
        </w:rPr>
        <w:t>ischemic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</w:rPr>
        <w:t>colitis</w:t>
      </w:r>
      <w:r>
        <w:rPr>
          <w:sz w:val="15"/>
          <w:szCs w:val="15"/>
          <w:color w:val="231F20"/>
          <w:spacing w:val="8"/>
        </w:rPr>
        <w:t>[J].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8"/>
        </w:rPr>
        <w:t>2016,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8"/>
        </w:rPr>
        <w:t>111(12):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4"/>
        </w:rPr>
        <w:t>1672‑1674.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1038/</w:t>
      </w:r>
      <w:r>
        <w:rPr>
          <w:sz w:val="15"/>
          <w:szCs w:val="15"/>
          <w:color w:val="231F20"/>
        </w:rPr>
        <w:t>ajg</w:t>
      </w:r>
      <w:r>
        <w:rPr>
          <w:sz w:val="15"/>
          <w:szCs w:val="15"/>
          <w:color w:val="231F20"/>
          <w:spacing w:val="4"/>
        </w:rPr>
        <w:t>.2016.456.</w:t>
      </w:r>
    </w:p>
    <w:p>
      <w:pPr>
        <w:pStyle w:val="BodyText"/>
        <w:ind w:left="1058" w:right="533" w:hanging="507"/>
        <w:spacing w:before="39" w:line="29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[44]</w:t>
      </w:r>
      <w:r>
        <w:rPr>
          <w:sz w:val="15"/>
          <w:szCs w:val="15"/>
          <w:color w:val="231F20"/>
          <w:spacing w:val="1"/>
        </w:rPr>
        <w:t xml:space="preserve">       </w:t>
      </w:r>
      <w:r>
        <w:rPr>
          <w:sz w:val="15"/>
          <w:szCs w:val="15"/>
          <w:color w:val="231F20"/>
        </w:rPr>
        <w:t>Feuerstadt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4"/>
        </w:rPr>
        <w:t>,   </w:t>
      </w:r>
      <w:r>
        <w:rPr>
          <w:sz w:val="15"/>
          <w:szCs w:val="15"/>
          <w:color w:val="231F20"/>
        </w:rPr>
        <w:t>Aroniadis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O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Brandt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LJ</w:t>
      </w:r>
      <w:r>
        <w:rPr>
          <w:sz w:val="15"/>
          <w:szCs w:val="15"/>
          <w:color w:val="231F20"/>
          <w:spacing w:val="4"/>
        </w:rPr>
        <w:t>.    </w:t>
      </w:r>
      <w:r>
        <w:rPr>
          <w:sz w:val="15"/>
          <w:szCs w:val="15"/>
          <w:color w:val="231F20"/>
        </w:rPr>
        <w:t>Features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3"/>
        </w:rPr>
        <w:t>outcomes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ischemia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isolated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to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right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side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 the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colon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when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accompanied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or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followed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3"/>
        </w:rPr>
        <w:t>by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acute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mesenteric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</w:rPr>
        <w:t>ischemia</w:t>
      </w:r>
      <w:r>
        <w:rPr>
          <w:sz w:val="15"/>
          <w:szCs w:val="15"/>
          <w:color w:val="231F20"/>
          <w:spacing w:val="16"/>
        </w:rPr>
        <w:t>[J].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Hepatol</w:t>
      </w:r>
      <w:r>
        <w:rPr>
          <w:sz w:val="15"/>
          <w:szCs w:val="15"/>
          <w:color w:val="231F20"/>
          <w:spacing w:val="16"/>
        </w:rPr>
        <w:t>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16"/>
        </w:rPr>
        <w:t>2015,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13(11):1962‑1968.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1016/j.</w:t>
      </w:r>
      <w:r>
        <w:rPr>
          <w:sz w:val="15"/>
          <w:szCs w:val="15"/>
          <w:color w:val="231F20"/>
        </w:rPr>
        <w:t>cgh</w:t>
      </w:r>
      <w:r>
        <w:rPr>
          <w:sz w:val="15"/>
          <w:szCs w:val="15"/>
          <w:color w:val="231F20"/>
          <w:spacing w:val="4"/>
        </w:rPr>
        <w:t>.2015.04.011.</w:t>
      </w:r>
    </w:p>
    <w:p>
      <w:pPr>
        <w:pStyle w:val="BodyText"/>
        <w:ind w:left="1059" w:right="533" w:hanging="506"/>
        <w:spacing w:before="37" w:line="29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[45]      </w:t>
      </w:r>
      <w:r>
        <w:rPr>
          <w:sz w:val="15"/>
          <w:szCs w:val="15"/>
          <w:color w:val="231F20"/>
        </w:rPr>
        <w:t>Beppu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Osada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Nagahara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Relationship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between </w:t>
      </w:r>
      <w:r>
        <w:rPr>
          <w:sz w:val="15"/>
          <w:szCs w:val="15"/>
          <w:color w:val="231F20"/>
          <w:spacing w:val="3"/>
        </w:rPr>
        <w:t>endoscopic   findings   and   clinical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  <w:spacing w:val="3"/>
        </w:rPr>
        <w:t>severity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3"/>
        </w:rPr>
        <w:t>ischemic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colitis</w:t>
      </w:r>
      <w:r>
        <w:rPr>
          <w:sz w:val="15"/>
          <w:szCs w:val="15"/>
          <w:color w:val="231F20"/>
          <w:spacing w:val="5"/>
        </w:rPr>
        <w:t>[J].   </w:t>
      </w:r>
      <w:r>
        <w:rPr>
          <w:sz w:val="15"/>
          <w:szCs w:val="15"/>
          <w:color w:val="231F20"/>
        </w:rPr>
        <w:t>Intern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5"/>
        </w:rPr>
        <w:t>,   2011,   5</w:t>
      </w:r>
      <w:r>
        <w:rPr>
          <w:sz w:val="15"/>
          <w:szCs w:val="15"/>
          <w:color w:val="231F20"/>
          <w:spacing w:val="4"/>
        </w:rPr>
        <w:t>0(20):   2263‑2267.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8"/>
        </w:rPr>
        <w:t>10.2169/</w:t>
      </w:r>
      <w:r>
        <w:rPr>
          <w:sz w:val="15"/>
          <w:szCs w:val="15"/>
          <w:color w:val="231F20"/>
        </w:rPr>
        <w:t>internalmedicine</w:t>
      </w:r>
      <w:r>
        <w:rPr>
          <w:sz w:val="15"/>
          <w:szCs w:val="15"/>
          <w:color w:val="231F20"/>
          <w:spacing w:val="8"/>
        </w:rPr>
        <w:t>.50.5349.</w:t>
      </w:r>
    </w:p>
    <w:p>
      <w:pPr>
        <w:pStyle w:val="BodyText"/>
        <w:ind w:left="1054" w:right="534" w:hanging="502"/>
        <w:spacing w:before="39" w:line="2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[46]       </w:t>
      </w:r>
      <w:r>
        <w:rPr>
          <w:sz w:val="15"/>
          <w:szCs w:val="15"/>
          <w:color w:val="231F20"/>
        </w:rPr>
        <w:t>Favier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sz w:val="15"/>
          <w:szCs w:val="15"/>
          <w:color w:val="231F20"/>
        </w:rPr>
        <w:t>Bonneau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HP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Tran   Minh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</w:rPr>
        <w:t>V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 </w:t>
      </w:r>
      <w:r>
        <w:rPr>
          <w:sz w:val="15"/>
          <w:szCs w:val="15"/>
          <w:color w:val="231F20"/>
        </w:rPr>
        <w:t>Endoscopic </w:t>
      </w:r>
      <w:r>
        <w:rPr>
          <w:sz w:val="15"/>
          <w:szCs w:val="15"/>
          <w:color w:val="231F20"/>
          <w:spacing w:val="3"/>
        </w:rPr>
        <w:t>diagnosis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  <w:spacing w:val="3"/>
        </w:rPr>
        <w:t>of   regressive    ischemic    colitis.    Endoscopic,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histologic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arteriographic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correlations[J].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Nouv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Presse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1976,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5(2):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77‑79.</w:t>
      </w:r>
    </w:p>
    <w:p>
      <w:pPr>
        <w:pStyle w:val="BodyText"/>
        <w:ind w:left="1056" w:right="526" w:hanging="504"/>
        <w:spacing w:before="39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[47]      </w:t>
      </w:r>
      <w:r>
        <w:rPr>
          <w:sz w:val="15"/>
          <w:szCs w:val="15"/>
          <w:color w:val="231F20"/>
        </w:rPr>
        <w:t>Milluzzo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SM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Correale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Marco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Leukocytes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creatinine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may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predict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s</w:t>
      </w:r>
      <w:r>
        <w:rPr>
          <w:sz w:val="15"/>
          <w:szCs w:val="15"/>
          <w:color w:val="231F20"/>
          <w:spacing w:val="3"/>
        </w:rPr>
        <w:t>everity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3"/>
        </w:rPr>
        <w:t>guide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management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ischemic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colitis</w:t>
      </w:r>
      <w:r>
        <w:rPr>
          <w:sz w:val="15"/>
          <w:szCs w:val="15"/>
          <w:color w:val="231F20"/>
          <w:spacing w:val="5"/>
        </w:rPr>
        <w:t>[J].    </w:t>
      </w:r>
      <w:r>
        <w:rPr>
          <w:sz w:val="15"/>
          <w:szCs w:val="15"/>
          <w:color w:val="231F20"/>
        </w:rPr>
        <w:t>Ann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5"/>
        </w:rPr>
        <w:t>,     2021,    34(2):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10"/>
        <w:spacing w:before="35" w:line="184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4"/>
          <w:position w:val="2"/>
        </w:rPr>
        <w:t>202‑207.</w:t>
      </w:r>
      <w:r>
        <w:rPr>
          <w:sz w:val="15"/>
          <w:szCs w:val="15"/>
          <w:color w:val="231F20"/>
          <w:spacing w:val="28"/>
          <w:w w:val="102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DOI</w:t>
      </w:r>
      <w:r>
        <w:rPr>
          <w:sz w:val="15"/>
          <w:szCs w:val="15"/>
          <w:color w:val="231F20"/>
          <w:spacing w:val="4"/>
          <w:position w:val="2"/>
        </w:rPr>
        <w:t>:</w:t>
      </w:r>
      <w:r>
        <w:rPr>
          <w:sz w:val="15"/>
          <w:szCs w:val="15"/>
          <w:color w:val="231F20"/>
          <w:spacing w:val="16"/>
          <w:w w:val="102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10.20524/</w:t>
      </w:r>
      <w:r>
        <w:rPr>
          <w:sz w:val="15"/>
          <w:szCs w:val="15"/>
          <w:color w:val="231F20"/>
          <w:position w:val="2"/>
        </w:rPr>
        <w:t>aog</w:t>
      </w:r>
      <w:r>
        <w:rPr>
          <w:sz w:val="15"/>
          <w:szCs w:val="15"/>
          <w:color w:val="231F20"/>
          <w:spacing w:val="4"/>
          <w:position w:val="2"/>
        </w:rPr>
        <w:t>.2021.0577.</w:t>
      </w:r>
    </w:p>
    <w:p>
      <w:pPr>
        <w:pStyle w:val="BodyText"/>
        <w:ind w:left="502" w:right="6" w:hanging="501"/>
        <w:spacing w:before="38" w:line="3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[48]      </w:t>
      </w:r>
      <w:r>
        <w:rPr>
          <w:sz w:val="15"/>
          <w:szCs w:val="15"/>
          <w:color w:val="231F20"/>
        </w:rPr>
        <w:t>Xu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Xiong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8"/>
        </w:rPr>
        <w:t>, 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  </w:t>
      </w:r>
      <w:r>
        <w:rPr>
          <w:sz w:val="15"/>
          <w:szCs w:val="15"/>
          <w:color w:val="231F20"/>
        </w:rPr>
        <w:t>Diagnostic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methods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</w:rPr>
        <w:t>drug </w:t>
      </w:r>
      <w:r>
        <w:rPr>
          <w:sz w:val="15"/>
          <w:szCs w:val="15"/>
          <w:color w:val="231F20"/>
        </w:rPr>
        <w:t>therapies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in    patients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ischemic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colitis</w:t>
      </w:r>
      <w:r>
        <w:rPr>
          <w:sz w:val="15"/>
          <w:szCs w:val="15"/>
          <w:color w:val="231F20"/>
          <w:spacing w:val="7"/>
        </w:rPr>
        <w:t>[J].    </w:t>
      </w:r>
      <w:r>
        <w:rPr>
          <w:sz w:val="15"/>
          <w:szCs w:val="15"/>
          <w:color w:val="231F20"/>
        </w:rPr>
        <w:t>Int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Colorectal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Dis</w:t>
      </w:r>
      <w:r>
        <w:rPr>
          <w:sz w:val="15"/>
          <w:szCs w:val="15"/>
          <w:color w:val="231F20"/>
          <w:spacing w:val="3"/>
        </w:rPr>
        <w:t>,    2021,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  <w:spacing w:val="3"/>
        </w:rPr>
        <w:t>36(1):    47‑56. 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 10.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3"/>
        </w:rPr>
        <w:t>1007/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s00384‑020‑03739‑z.</w:t>
      </w:r>
    </w:p>
    <w:p>
      <w:pPr>
        <w:pStyle w:val="BodyText"/>
        <w:ind w:left="504" w:right="2" w:hanging="504"/>
        <w:spacing w:before="5" w:line="29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[49]       Mosele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M,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"/>
        </w:rPr>
        <w:t>Cardin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F,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"/>
        </w:rPr>
        <w:t>Inelmen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EM,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"/>
        </w:rPr>
        <w:t>Ischemic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colitis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"/>
        </w:rPr>
        <w:t>in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elderly:  predictors  of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the  disease  and  prognostic </w:t>
      </w:r>
      <w:r>
        <w:rPr>
          <w:sz w:val="15"/>
          <w:szCs w:val="15"/>
          <w:color w:val="231F20"/>
          <w:spacing w:val="-1"/>
        </w:rPr>
        <w:t xml:space="preserve"> factors  to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negative   outcome[J].   Scand   J   Gastroen</w:t>
      </w:r>
      <w:r>
        <w:rPr>
          <w:sz w:val="15"/>
          <w:szCs w:val="15"/>
          <w:color w:val="231F20"/>
          <w:spacing w:val="-1"/>
        </w:rPr>
        <w:t>terol,   2010,   45(4):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428‑433.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10.3109/00365520903513225.</w:t>
      </w:r>
    </w:p>
    <w:p>
      <w:pPr>
        <w:pStyle w:val="BodyText"/>
        <w:ind w:left="505" w:right="6" w:hanging="504"/>
        <w:spacing w:before="38" w:line="2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[50]      </w:t>
      </w:r>
      <w:r>
        <w:rPr>
          <w:sz w:val="15"/>
          <w:szCs w:val="15"/>
          <w:color w:val="231F20"/>
        </w:rPr>
        <w:t>Hourmand</w:t>
      </w:r>
      <w:r>
        <w:rPr>
          <w:sz w:val="15"/>
          <w:szCs w:val="15"/>
          <w:color w:val="231F20"/>
          <w:spacing w:val="4"/>
        </w:rPr>
        <w:t>‑</w:t>
      </w:r>
      <w:r>
        <w:rPr>
          <w:sz w:val="15"/>
          <w:szCs w:val="15"/>
          <w:color w:val="231F20"/>
        </w:rPr>
        <w:t>Ollivier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I</w:t>
      </w:r>
      <w:r>
        <w:rPr>
          <w:sz w:val="15"/>
          <w:szCs w:val="15"/>
          <w:color w:val="231F20"/>
          <w:spacing w:val="4"/>
        </w:rPr>
        <w:t>,   </w:t>
      </w:r>
      <w:r>
        <w:rPr>
          <w:sz w:val="15"/>
          <w:szCs w:val="15"/>
          <w:color w:val="231F20"/>
        </w:rPr>
        <w:t>Bouin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4"/>
        </w:rPr>
        <w:t>,   </w:t>
      </w:r>
      <w:r>
        <w:rPr>
          <w:sz w:val="15"/>
          <w:szCs w:val="15"/>
          <w:color w:val="231F20"/>
        </w:rPr>
        <w:t>Saloux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4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 </w:t>
      </w:r>
      <w:r>
        <w:rPr>
          <w:sz w:val="15"/>
          <w:szCs w:val="15"/>
          <w:color w:val="231F20"/>
        </w:rPr>
        <w:t>Cardiac </w:t>
      </w:r>
      <w:r>
        <w:rPr>
          <w:sz w:val="15"/>
          <w:szCs w:val="15"/>
          <w:color w:val="231F20"/>
          <w:spacing w:val="3"/>
        </w:rPr>
        <w:t>sources   of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embolism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should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3"/>
        </w:rPr>
        <w:t>be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routinely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screened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ischemic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colitis</w:t>
      </w:r>
      <w:r>
        <w:rPr>
          <w:sz w:val="15"/>
          <w:szCs w:val="15"/>
          <w:color w:val="231F20"/>
          <w:spacing w:val="5"/>
        </w:rPr>
        <w:t>[J].   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5"/>
        </w:rPr>
        <w:t>,   2003,    98(7):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4"/>
        </w:rPr>
        <w:t>1573‑1577.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1111/j.1572‑0241.2003.07483.x.</w:t>
      </w:r>
    </w:p>
    <w:p>
      <w:pPr>
        <w:pStyle w:val="BodyText"/>
        <w:ind w:left="498" w:right="7" w:hanging="498"/>
        <w:spacing w:before="37" w:line="28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[51]      </w:t>
      </w:r>
      <w:r>
        <w:rPr>
          <w:sz w:val="15"/>
          <w:szCs w:val="15"/>
          <w:color w:val="231F20"/>
        </w:rPr>
        <w:t>Huguier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Barrier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Boelle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PY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Ischemic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colitis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Surg</w:t>
      </w:r>
      <w:r>
        <w:rPr>
          <w:sz w:val="15"/>
          <w:szCs w:val="15"/>
          <w:color w:val="231F20"/>
          <w:spacing w:val="3"/>
        </w:rPr>
        <w:t>,   2006,    192(5):    679‑6</w:t>
      </w:r>
      <w:r>
        <w:rPr>
          <w:sz w:val="15"/>
          <w:szCs w:val="15"/>
          <w:color w:val="231F20"/>
          <w:spacing w:val="2"/>
        </w:rPr>
        <w:t>84.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    10.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2"/>
        </w:rPr>
        <w:t>1016/j.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amjsurg</w:t>
      </w:r>
      <w:r>
        <w:rPr>
          <w:sz w:val="15"/>
          <w:szCs w:val="15"/>
          <w:color w:val="231F20"/>
          <w:spacing w:val="6"/>
        </w:rPr>
        <w:t>.2005.09.018.</w:t>
      </w:r>
    </w:p>
    <w:p>
      <w:pPr>
        <w:pStyle w:val="BodyText"/>
        <w:ind w:left="504" w:right="7" w:hanging="504"/>
        <w:spacing w:before="38" w:line="3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[52]      Kruis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W,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Schi</w:t>
      </w:r>
      <w:r>
        <w:rPr>
          <w:sz w:val="15"/>
          <w:szCs w:val="15"/>
          <w:color w:val="231F20"/>
          <w:spacing w:val="3"/>
        </w:rPr>
        <w:t>ff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3"/>
        </w:rPr>
        <w:t>M.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Combination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3"/>
        </w:rPr>
        <w:t>treatment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antibiotics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glucocorticosteroids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for   severe   ischemic   col</w:t>
      </w:r>
      <w:r>
        <w:rPr>
          <w:sz w:val="15"/>
          <w:szCs w:val="15"/>
          <w:color w:val="231F20"/>
          <w:spacing w:val="2"/>
        </w:rPr>
        <w:t>itis[J].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Digestion</w:t>
      </w:r>
      <w:r>
        <w:rPr>
          <w:sz w:val="15"/>
          <w:szCs w:val="15"/>
          <w:color w:val="231F20"/>
          <w:spacing w:val="3"/>
        </w:rPr>
        <w:t>,     2020,     101(5):     500‑505. 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  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1159/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000501515.</w:t>
      </w:r>
    </w:p>
    <w:p>
      <w:pPr>
        <w:pStyle w:val="BodyText"/>
        <w:ind w:left="502" w:right="4" w:hanging="503"/>
        <w:spacing w:before="8" w:line="29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[53]      </w:t>
      </w:r>
      <w:r>
        <w:rPr>
          <w:sz w:val="15"/>
          <w:szCs w:val="15"/>
          <w:color w:val="231F20"/>
        </w:rPr>
        <w:t>Matsumoto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Tsuji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Shirahama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Rebamipide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enema </w:t>
      </w:r>
      <w:r>
        <w:rPr>
          <w:sz w:val="15"/>
          <w:szCs w:val="15"/>
          <w:color w:val="231F20"/>
        </w:rPr>
        <w:t>therapy</w:t>
      </w:r>
      <w:r>
        <w:rPr>
          <w:sz w:val="15"/>
          <w:szCs w:val="15"/>
          <w:color w:val="231F20"/>
          <w:spacing w:val="7"/>
        </w:rPr>
        <w:t xml:space="preserve">    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7"/>
        </w:rPr>
        <w:t xml:space="preserve">      </w:t>
      </w:r>
      <w:r>
        <w:rPr>
          <w:sz w:val="15"/>
          <w:szCs w:val="15"/>
          <w:color w:val="231F20"/>
        </w:rPr>
        <w:t>left</w:t>
      </w:r>
      <w:r>
        <w:rPr>
          <w:sz w:val="15"/>
          <w:szCs w:val="15"/>
          <w:color w:val="231F20"/>
          <w:spacing w:val="7"/>
        </w:rPr>
        <w:t>‑</w:t>
      </w:r>
      <w:r>
        <w:rPr>
          <w:sz w:val="15"/>
          <w:szCs w:val="15"/>
          <w:color w:val="231F20"/>
        </w:rPr>
        <w:t>sided</w:t>
      </w:r>
      <w:r>
        <w:rPr>
          <w:sz w:val="15"/>
          <w:szCs w:val="15"/>
          <w:color w:val="231F20"/>
          <w:spacing w:val="7"/>
        </w:rPr>
        <w:t xml:space="preserve">      </w:t>
      </w:r>
      <w:r>
        <w:rPr>
          <w:sz w:val="15"/>
          <w:szCs w:val="15"/>
          <w:color w:val="231F20"/>
        </w:rPr>
        <w:t>ischemic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colitis</w:t>
      </w:r>
      <w:r>
        <w:rPr>
          <w:sz w:val="15"/>
          <w:szCs w:val="15"/>
          <w:color w:val="231F20"/>
          <w:spacing w:val="6"/>
        </w:rPr>
        <w:t xml:space="preserve">      </w:t>
      </w:r>
      <w:r>
        <w:rPr>
          <w:sz w:val="15"/>
          <w:szCs w:val="15"/>
          <w:color w:val="231F20"/>
        </w:rPr>
        <w:t>patients </w:t>
      </w:r>
      <w:r>
        <w:rPr>
          <w:sz w:val="15"/>
          <w:szCs w:val="15"/>
          <w:color w:val="231F20"/>
        </w:rPr>
        <w:t>accompanied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by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ulcers</w:t>
      </w:r>
      <w:r>
        <w:rPr>
          <w:sz w:val="15"/>
          <w:szCs w:val="15"/>
          <w:color w:val="231F20"/>
          <w:spacing w:val="9"/>
        </w:rPr>
        <w:t>:   </w:t>
      </w:r>
      <w:r>
        <w:rPr>
          <w:sz w:val="15"/>
          <w:szCs w:val="15"/>
          <w:color w:val="231F20"/>
        </w:rPr>
        <w:t>open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label</w:t>
      </w:r>
      <w:r>
        <w:rPr>
          <w:sz w:val="15"/>
          <w:szCs w:val="15"/>
          <w:color w:val="231F20"/>
          <w:spacing w:val="9"/>
          <w:w w:val="102"/>
        </w:rPr>
        <w:t xml:space="preserve">  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9"/>
        </w:rPr>
        <w:t>[J].   </w:t>
      </w:r>
      <w:r>
        <w:rPr>
          <w:sz w:val="15"/>
          <w:szCs w:val="15"/>
          <w:color w:val="231F20"/>
        </w:rPr>
        <w:t>World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5"/>
        </w:rPr>
        <w:t>,  2008,  14(25):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4059‑4064.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5"/>
        </w:rPr>
        <w:t>10.3748/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wjg</w:t>
      </w:r>
      <w:r>
        <w:rPr>
          <w:sz w:val="15"/>
          <w:szCs w:val="15"/>
          <w:color w:val="231F20"/>
          <w:spacing w:val="5"/>
        </w:rPr>
        <w:t>.14.4059.</w:t>
      </w:r>
    </w:p>
    <w:p>
      <w:pPr>
        <w:pStyle w:val="BodyText"/>
        <w:ind w:left="505" w:hanging="503"/>
        <w:spacing w:before="39" w:line="21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[54]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刘文徽</w:t>
      </w:r>
      <w:r>
        <w:rPr>
          <w:sz w:val="15"/>
          <w:szCs w:val="15"/>
          <w:color w:val="231F20"/>
          <w:spacing w:val="6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王昌正</w:t>
      </w:r>
      <w:r>
        <w:rPr>
          <w:sz w:val="15"/>
          <w:szCs w:val="15"/>
          <w:color w:val="231F20"/>
          <w:spacing w:val="6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马金霞</w:t>
      </w:r>
      <w:r>
        <w:rPr>
          <w:sz w:val="15"/>
          <w:szCs w:val="15"/>
          <w:color w:val="231F20"/>
          <w:spacing w:val="6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聚普瑞锌治疗大鼠缺血性结肠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炎的实验研究</w:t>
      </w:r>
      <w:r>
        <w:rPr>
          <w:sz w:val="15"/>
          <w:szCs w:val="15"/>
          <w:color w:val="231F20"/>
          <w:spacing w:val="9"/>
        </w:rPr>
        <w:t>[J].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胃肠病学和肝病学杂志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9"/>
        </w:rPr>
        <w:t>2020,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29(10):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1151‑1155.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1"/>
        </w:rPr>
        <w:t>10.3969/j.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1"/>
        </w:rPr>
        <w:t>.1006‑5709</w:t>
      </w:r>
      <w:r>
        <w:rPr>
          <w:sz w:val="15"/>
          <w:szCs w:val="15"/>
          <w:color w:val="231F20"/>
        </w:rPr>
        <w:t>.2020.10.015.</w:t>
      </w:r>
    </w:p>
    <w:p>
      <w:pPr>
        <w:pStyle w:val="BodyText"/>
        <w:ind w:left="506" w:right="4" w:hanging="503"/>
        <w:spacing w:before="37" w:line="29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[55]</w:t>
      </w:r>
      <w:r>
        <w:rPr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</w:rPr>
        <w:t>Castleberry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AW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Turley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</w:rPr>
        <w:t>RS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</w:rPr>
        <w:t>Hanna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</w:rPr>
        <w:t>JM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A   10‑</w:t>
      </w:r>
      <w:r>
        <w:rPr>
          <w:sz w:val="15"/>
          <w:szCs w:val="15"/>
          <w:color w:val="231F20"/>
        </w:rPr>
        <w:t>year </w:t>
      </w:r>
      <w:r>
        <w:rPr>
          <w:sz w:val="15"/>
          <w:szCs w:val="15"/>
          <w:color w:val="231F20"/>
          <w:spacing w:val="4"/>
        </w:rPr>
        <w:t>longitudinal  analysis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of  surgical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mana</w:t>
      </w:r>
      <w:r>
        <w:rPr>
          <w:sz w:val="15"/>
          <w:szCs w:val="15"/>
          <w:color w:val="231F20"/>
          <w:spacing w:val="3"/>
        </w:rPr>
        <w:t>gement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acute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ischemic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colitis</w:t>
      </w:r>
      <w:r>
        <w:rPr>
          <w:sz w:val="15"/>
          <w:szCs w:val="15"/>
          <w:color w:val="231F20"/>
          <w:spacing w:val="5"/>
        </w:rPr>
        <w:t>[J]. 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Gastrointest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Surg</w:t>
      </w:r>
      <w:r>
        <w:rPr>
          <w:sz w:val="15"/>
          <w:szCs w:val="15"/>
          <w:color w:val="231F20"/>
          <w:spacing w:val="5"/>
        </w:rPr>
        <w:t>,    2013,    </w:t>
      </w:r>
      <w:r>
        <w:rPr>
          <w:sz w:val="15"/>
          <w:szCs w:val="15"/>
          <w:color w:val="231F20"/>
          <w:spacing w:val="4"/>
        </w:rPr>
        <w:t>17(4):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784‑792.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1007/s11605‑012‑2117‑x.</w:t>
      </w:r>
    </w:p>
    <w:p>
      <w:pPr>
        <w:pStyle w:val="BodyText"/>
        <w:ind w:left="507" w:right="4" w:hanging="504"/>
        <w:spacing w:before="36" w:line="29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[56]      </w:t>
      </w:r>
      <w:r>
        <w:rPr>
          <w:sz w:val="15"/>
          <w:szCs w:val="15"/>
          <w:color w:val="231F20"/>
        </w:rPr>
        <w:t>Antolovic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3"/>
        </w:rPr>
        <w:t>,   </w:t>
      </w:r>
      <w:r>
        <w:rPr>
          <w:sz w:val="15"/>
          <w:szCs w:val="15"/>
          <w:color w:val="231F20"/>
        </w:rPr>
        <w:t>Koch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3"/>
        </w:rPr>
        <w:t>,   </w:t>
      </w:r>
      <w:r>
        <w:rPr>
          <w:sz w:val="15"/>
          <w:szCs w:val="15"/>
          <w:color w:val="231F20"/>
        </w:rPr>
        <w:t>Hinz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U</w:t>
      </w:r>
      <w:r>
        <w:rPr>
          <w:sz w:val="15"/>
          <w:szCs w:val="15"/>
          <w:color w:val="231F20"/>
          <w:spacing w:val="3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 </w:t>
      </w:r>
      <w:r>
        <w:rPr>
          <w:sz w:val="15"/>
          <w:szCs w:val="15"/>
          <w:color w:val="231F20"/>
        </w:rPr>
        <w:t>Ischemic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colitis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factors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postoperative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mortality</w:t>
      </w:r>
      <w:r>
        <w:rPr>
          <w:sz w:val="15"/>
          <w:szCs w:val="15"/>
          <w:color w:val="231F20"/>
          <w:spacing w:val="9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Langenbecks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</w:rPr>
        <w:t>Arch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Surg</w:t>
      </w:r>
      <w:r>
        <w:rPr>
          <w:sz w:val="15"/>
          <w:szCs w:val="15"/>
          <w:color w:val="231F20"/>
          <w:spacing w:val="5"/>
        </w:rPr>
        <w:t>,   2008,   393(4):   507‑512.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4"/>
        </w:rPr>
        <w:t>1007/s00423‑008‑0300‑z.</w:t>
      </w:r>
    </w:p>
    <w:p>
      <w:pPr>
        <w:pStyle w:val="BodyText"/>
        <w:ind w:left="508" w:hanging="506"/>
        <w:spacing w:before="37" w:line="28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[</w:t>
      </w:r>
      <w:r>
        <w:rPr>
          <w:sz w:val="15"/>
          <w:szCs w:val="15"/>
          <w:color w:val="231F20"/>
        </w:rPr>
        <w:t>57]       O′Neill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S, Yalamarthi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S.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Systematic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revie</w:t>
      </w:r>
      <w:r>
        <w:rPr>
          <w:sz w:val="15"/>
          <w:szCs w:val="15"/>
          <w:color w:val="231F20"/>
          <w:spacing w:val="-1"/>
        </w:rPr>
        <w:t>w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of the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managemen</w:t>
      </w:r>
      <w:r>
        <w:rPr>
          <w:sz w:val="15"/>
          <w:szCs w:val="15"/>
          <w:color w:val="231F20"/>
        </w:rPr>
        <w:t>t </w:t>
      </w:r>
      <w:r>
        <w:rPr>
          <w:sz w:val="15"/>
          <w:szCs w:val="15"/>
          <w:color w:val="231F20"/>
        </w:rPr>
        <w:t>of    ischaemic     colitis[J].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Colorectal     Dis,    2</w:t>
      </w:r>
      <w:r>
        <w:rPr>
          <w:sz w:val="15"/>
          <w:szCs w:val="15"/>
          <w:color w:val="231F20"/>
          <w:spacing w:val="-1"/>
        </w:rPr>
        <w:t>012,     14(11):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1"/>
        </w:rPr>
        <w:t>e751‑e763.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 10.1111/j.1463‑1318.2</w:t>
      </w:r>
      <w:r>
        <w:rPr>
          <w:sz w:val="15"/>
          <w:szCs w:val="15"/>
          <w:color w:val="231F20"/>
        </w:rPr>
        <w:t>012.03171.x.</w:t>
      </w:r>
    </w:p>
    <w:p>
      <w:pPr>
        <w:pStyle w:val="BodyText"/>
        <w:ind w:left="506" w:right="4" w:hanging="503"/>
        <w:spacing w:before="37" w:line="29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[58]</w:t>
      </w:r>
      <w:r>
        <w:rPr>
          <w:sz w:val="15"/>
          <w:szCs w:val="15"/>
          <w:color w:val="231F20"/>
          <w:spacing w:val="1"/>
        </w:rPr>
        <w:t xml:space="preserve">       </w:t>
      </w:r>
      <w:r>
        <w:rPr>
          <w:sz w:val="15"/>
          <w:szCs w:val="15"/>
          <w:color w:val="231F20"/>
        </w:rPr>
        <w:t>Longstreth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GF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Yao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JF</w:t>
      </w:r>
      <w:r>
        <w:rPr>
          <w:sz w:val="15"/>
          <w:szCs w:val="15"/>
          <w:color w:val="231F20"/>
          <w:spacing w:val="5"/>
        </w:rPr>
        <w:t>.   </w:t>
      </w:r>
      <w:r>
        <w:rPr>
          <w:sz w:val="15"/>
          <w:szCs w:val="15"/>
          <w:color w:val="231F20"/>
        </w:rPr>
        <w:t>Epidemiology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features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4"/>
        </w:rPr>
        <w:t>high‑risk   factors</w:t>
      </w:r>
      <w:r>
        <w:rPr>
          <w:sz w:val="15"/>
          <w:szCs w:val="15"/>
          <w:color w:val="231F20"/>
          <w:spacing w:val="3"/>
        </w:rPr>
        <w:t>,   and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3"/>
        </w:rPr>
        <w:t>outcome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3"/>
        </w:rPr>
        <w:t>of   acute   large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3"/>
        </w:rPr>
        <w:t>bowel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ischemia</w:t>
      </w:r>
      <w:r>
        <w:rPr>
          <w:sz w:val="15"/>
          <w:szCs w:val="15"/>
          <w:color w:val="231F20"/>
          <w:spacing w:val="7"/>
        </w:rPr>
        <w:t>[J].  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Hepatol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  <w:spacing w:val="7"/>
        </w:rPr>
        <w:t>2009,</w:t>
      </w:r>
      <w:r>
        <w:rPr>
          <w:sz w:val="15"/>
          <w:szCs w:val="15"/>
          <w:color w:val="231F20"/>
          <w:spacing w:val="9"/>
          <w:w w:val="102"/>
        </w:rPr>
        <w:t xml:space="preserve">   </w:t>
      </w:r>
      <w:r>
        <w:rPr>
          <w:sz w:val="15"/>
          <w:szCs w:val="15"/>
          <w:color w:val="231F20"/>
          <w:spacing w:val="7"/>
        </w:rPr>
        <w:t>7(10):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1075‑1080.</w:t>
      </w:r>
      <w:r>
        <w:rPr>
          <w:sz w:val="15"/>
          <w:szCs w:val="15"/>
          <w:color w:val="231F20"/>
          <w:spacing w:val="1"/>
        </w:rPr>
        <w:t xml:space="preserve">      </w:t>
      </w:r>
      <w:r>
        <w:rPr>
          <w:sz w:val="15"/>
          <w:szCs w:val="15"/>
          <w:color w:val="231F20"/>
          <w:spacing w:val="3"/>
        </w:rPr>
        <w:t>e1‑2;</w:t>
      </w:r>
      <w:r>
        <w:rPr>
          <w:sz w:val="15"/>
          <w:szCs w:val="15"/>
          <w:color w:val="231F20"/>
          <w:spacing w:val="1"/>
        </w:rPr>
        <w:t xml:space="preserve">       </w:t>
      </w:r>
      <w:r>
        <w:rPr>
          <w:sz w:val="15"/>
          <w:szCs w:val="15"/>
          <w:color w:val="231F20"/>
        </w:rPr>
        <w:t>quiz</w:t>
      </w:r>
      <w:r>
        <w:rPr>
          <w:sz w:val="15"/>
          <w:szCs w:val="15"/>
          <w:color w:val="231F20"/>
          <w:spacing w:val="3"/>
        </w:rPr>
        <w:t xml:space="preserve">       1023.   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2"/>
        </w:rPr>
        <w:t xml:space="preserve">       10.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2"/>
        </w:rPr>
        <w:t>1016/j.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cgh</w:t>
      </w:r>
      <w:r>
        <w:rPr>
          <w:sz w:val="15"/>
          <w:szCs w:val="15"/>
          <w:color w:val="231F20"/>
          <w:spacing w:val="5"/>
        </w:rPr>
        <w:t>.2009.05.026.</w:t>
      </w:r>
    </w:p>
    <w:p>
      <w:pPr>
        <w:pStyle w:val="BodyText"/>
        <w:ind w:left="506" w:right="4" w:hanging="504"/>
        <w:spacing w:before="38" w:line="29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[59]      </w:t>
      </w:r>
      <w:r>
        <w:rPr>
          <w:sz w:val="15"/>
          <w:szCs w:val="15"/>
          <w:color w:val="231F20"/>
        </w:rPr>
        <w:t>Sun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Yang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predictors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severity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ischaemic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colitis: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systematic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review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2823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from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5"/>
        </w:rPr>
        <w:t>22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studies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Colorectal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Dis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5"/>
        </w:rPr>
        <w:t>2016,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18(10):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949‑958.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1111/</w:t>
      </w:r>
      <w:r>
        <w:rPr>
          <w:sz w:val="15"/>
          <w:szCs w:val="15"/>
          <w:color w:val="231F20"/>
        </w:rPr>
        <w:t>codi</w:t>
      </w:r>
      <w:r>
        <w:rPr>
          <w:sz w:val="15"/>
          <w:szCs w:val="15"/>
          <w:color w:val="231F20"/>
          <w:spacing w:val="4"/>
        </w:rPr>
        <w:t>.13389.</w:t>
      </w:r>
    </w:p>
    <w:sectPr>
      <w:type w:val="continuous"/>
      <w:pgSz w:w="12246" w:h="16498"/>
      <w:pgMar w:top="1221" w:right="1298" w:bottom="0" w:left="819" w:header="971" w:footer="0" w:gutter="0"/>
      <w:cols w:equalWidth="0" w:num="2">
        <w:col w:w="5554" w:space="100"/>
        <w:col w:w="447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175pt;margin-top:260.882pt;mso-position-vertical-relative:page;mso-position-horizontal-relative:page;width:267pt;height:306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87"/>
      <w:spacing w:before="36" w:line="189" w:lineRule="auto"/>
      <w:rPr>
        <w:rFonts w:ascii="Arial" w:hAnsi="Arial" w:eastAsia="Arial" w:cs="Arial"/>
        <w:sz w:val="15"/>
        <w:szCs w:val="15"/>
      </w:rPr>
    </w:pPr>
    <w:r>
      <w:pict>
        <v:shape id="WordPictureWatermark8" style="position:absolute;margin-left:175pt;margin-top:260.882pt;mso-position-vertical-relative:page;mso-position-horizontal-relative:page;width:267pt;height:306pt;z-index:-251657216;" o:allowincell="f" filled="false" stroked="false" type="#_x0000_t75">
          <v:imagedata o:title="" r:id="rId1"/>
        </v:shape>
      </w:pict>
    </w:r>
    <w:r>
      <w:pict>
        <v:shape id="_x0000_s10" style="position:absolute;margin-left:24.5598pt;margin-top:1.90553pt;mso-position-vertical-relative:text;mso-position-horizontal-relative:text;width:33.95pt;height:13.15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07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2"/>
                    <w:w w:val="110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37"/>
                    <w:w w:val="10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2"/>
                    <w:w w:val="110"/>
                  </w:rPr>
                  <w:t>640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2"/>
                    <w:w w:val="110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中华内科杂志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2023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年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62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卷第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期  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Chin J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Intern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Med, June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2023,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Vol.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62,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9" w:lineRule="auto"/>
      <w:rPr>
        <w:rFonts w:ascii="Arial" w:hAnsi="Arial" w:eastAsia="Arial" w:cs="Arial"/>
        <w:sz w:val="15"/>
        <w:szCs w:val="15"/>
      </w:rPr>
    </w:pPr>
    <w:r>
      <w:pict>
        <v:shape id="WordPictureWatermark14" style="position:absolute;margin-left:175pt;margin-top:260.882pt;mso-position-vertical-relative:page;mso-position-horizontal-relative:page;width:267pt;height:306pt;z-index:-251655168;" o:allowincell="f" filled="false" stroked="false" type="#_x0000_t75">
          <v:imagedata o:title="" r:id="rId1"/>
        </v:shape>
      </w:pict>
    </w:r>
    <w:r>
      <w:pict>
        <v:shape id="_x0000_s16" style="position:absolute;margin-left:475.111pt;margin-top:1.90553pt;mso-position-vertical-relative:text;mso-position-horizontal-relative:text;width:33.95pt;height:13.15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07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6"/>
                    <w:w w:val="104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37"/>
                    <w:w w:val="10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6"/>
                    <w:w w:val="104"/>
                  </w:rPr>
                  <w:t>641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6"/>
                    <w:w w:val="104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中华内科杂志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2023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年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62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卷第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期  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Chin J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Intern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Med, June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2023,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Vol.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62,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87"/>
      <w:spacing w:before="36" w:line="189" w:lineRule="auto"/>
      <w:rPr>
        <w:rFonts w:ascii="Arial" w:hAnsi="Arial" w:eastAsia="Arial" w:cs="Arial"/>
        <w:sz w:val="15"/>
        <w:szCs w:val="15"/>
      </w:rPr>
    </w:pPr>
    <w:r>
      <w:pict>
        <v:shape id="WordPictureWatermark20" style="position:absolute;margin-left:175pt;margin-top:260.882pt;mso-position-vertical-relative:page;mso-position-horizontal-relative:page;width:267pt;height:306pt;z-index:-251653120;" o:allowincell="f" filled="false" stroked="false" type="#_x0000_t75">
          <v:imagedata o:title="" r:id="rId1"/>
        </v:shape>
      </w:pict>
    </w:r>
    <w:r>
      <w:pict>
        <v:shape id="_x0000_s22" style="position:absolute;margin-left:24.5598pt;margin-top:1.90553pt;mso-position-vertical-relative:text;mso-position-horizontal-relative:text;width:33.95pt;height:13.15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07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1"/>
                    <w:w w:val="111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39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1"/>
                    <w:w w:val="111"/>
                  </w:rPr>
                  <w:t>642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1"/>
                    <w:w w:val="111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中华内科杂志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2023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年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62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卷第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期  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Chin J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Intern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Med, June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2023,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Vol.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62,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9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26" style="position:absolute;margin-left:175pt;margin-top:260.882pt;mso-position-vertical-relative:page;mso-position-horizontal-relative:page;width:267pt;height:306pt;z-index:-251651072;" o:allowincell="f" filled="false" stroked="false" type="#_x0000_t75">
          <v:imagedata o:title="" r:id="rId1"/>
        </v:shape>
      </w:pict>
    </w:r>
    <w:r>
      <w:pict>
        <v:shape id="_x0000_s28" style="position:absolute;margin-left:475.111pt;margin-top:1.90553pt;mso-position-vertical-relative:text;mso-position-horizontal-relative:text;width:33.95pt;height:13.15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07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5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40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5"/>
                  </w:rPr>
                  <w:t>643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5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中华内科杂志 2023 年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16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6 月第 62 卷第 6 期    Chin J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Int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ern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Med, June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2023, Vol.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62,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No.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6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87"/>
      <w:spacing w:before="36" w:line="189" w:lineRule="auto"/>
      <w:rPr>
        <w:rFonts w:ascii="Arial" w:hAnsi="Arial" w:eastAsia="Arial" w:cs="Arial"/>
        <w:sz w:val="15"/>
        <w:szCs w:val="15"/>
      </w:rPr>
    </w:pPr>
    <w:r>
      <w:pict>
        <v:shape id="WordPictureWatermark32" style="position:absolute;margin-left:175pt;margin-top:260.882pt;mso-position-vertical-relative:page;mso-position-horizontal-relative:page;width:267pt;height:306pt;z-index:-251649024;" o:allowincell="f" filled="false" stroked="false" type="#_x0000_t75">
          <v:imagedata o:title="" r:id="rId1"/>
        </v:shape>
      </w:pict>
    </w:r>
    <w:r>
      <w:pict>
        <v:shape id="_x0000_s34" style="position:absolute;margin-left:24.5598pt;margin-top:1.90553pt;mso-position-vertical-relative:text;mso-position-horizontal-relative:text;width:33.95pt;height:13.15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07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0"/>
                    <w:w w:val="113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37"/>
                    <w:w w:val="10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0"/>
                    <w:w w:val="113"/>
                  </w:rPr>
                  <w:t>644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0"/>
                    <w:w w:val="113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中华内科杂志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2023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年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62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卷第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期  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Chin J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Intern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Med, June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2023,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Vol.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62,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9" w:lineRule="auto"/>
      <w:rPr>
        <w:rFonts w:ascii="Arial" w:hAnsi="Arial" w:eastAsia="Arial" w:cs="Arial"/>
        <w:sz w:val="15"/>
        <w:szCs w:val="15"/>
      </w:rPr>
    </w:pPr>
    <w:r>
      <w:pict>
        <v:shape id="WordPictureWatermark38" style="position:absolute;margin-left:175pt;margin-top:260.882pt;mso-position-vertical-relative:page;mso-position-horizontal-relative:page;width:267pt;height:306pt;z-index:-251645952;" o:allowincell="f" filled="false" stroked="false" type="#_x0000_t75">
          <v:imagedata o:title="" r:id="rId1"/>
        </v:shape>
      </w:pict>
    </w:r>
    <w:r>
      <w:pict>
        <v:shape id="WordPictureWatermark40" style="position:absolute;margin-left:40.9952pt;margin-top:761.949pt;mso-position-vertical-relative:page;mso-position-horizontal-relative:page;width:220.95pt;height:24pt;z-index:-251646976;" o:allowincell="f" filled="false" stroked="false" type="#_x0000_t75">
          <v:imagedata o:title="" r:id="rId2"/>
        </v:shape>
      </w:pict>
    </w:r>
    <w:r>
      <w:pict>
        <v:shape id="_x0000_s42" style="position:absolute;margin-left:475.111pt;margin-top:1.90553pt;mso-position-vertical-relative:text;mso-position-horizontal-relative:text;width:33.95pt;height:13.15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07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2"/>
                    <w:w w:val="110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37"/>
                    <w:w w:val="10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2"/>
                    <w:w w:val="110"/>
                  </w:rPr>
                  <w:t>645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2"/>
                    <w:w w:val="110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中华内科杂志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2023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年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62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卷第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期  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Chin J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Intern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Med, June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2023,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Vol.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62,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6" w:line="189" w:lineRule="auto"/>
      <w:jc w:val="right"/>
      <w:rPr>
        <w:rFonts w:ascii="Arial" w:hAnsi="Arial" w:eastAsia="Arial" w:cs="Arial"/>
        <w:sz w:val="15"/>
        <w:szCs w:val="15"/>
      </w:rPr>
    </w:pPr>
    <w:r>
      <w:pict>
        <v:shape id="WordPictureWatermark46" style="position:absolute;margin-left:175pt;margin-top:260.882pt;mso-position-vertical-relative:page;mso-position-horizontal-relative:page;width:267pt;height:306pt;z-index:-251643904;" o:allowincell="f" filled="false" stroked="false" type="#_x0000_t75">
          <v:imagedata o:title="" r:id="rId1"/>
        </v:shape>
      </w:pict>
    </w:r>
    <w:r>
      <w:pict>
        <v:shape id="WordPictureWatermark48" style="position:absolute;margin-left:40.9952pt;margin-top:761.949pt;mso-position-vertical-relative:page;mso-position-horizontal-relative:page;width:220.95pt;height:24pt;z-index:-251642880;" o:allowincell="f" filled="false" stroked="false" type="#_x0000_t75">
          <v:imagedata o:title="" r:id="rId2"/>
        </v:shape>
      </w:pict>
    </w:r>
    <w:r>
      <w:pict>
        <v:shape id="_x0000_s50" style="position:absolute;margin-left:24.5598pt;margin-top:1.90553pt;mso-position-vertical-relative:text;mso-position-horizontal-relative:text;width:33.95pt;height:13.15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07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2"/>
                    <w:w w:val="110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37"/>
                    <w:w w:val="10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2"/>
                    <w:w w:val="110"/>
                  </w:rPr>
                  <w:t>646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2"/>
                    <w:w w:val="110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中华内科杂志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2023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年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1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62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卷第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期  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Chin J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Intern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6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Med, June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2023,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Vol.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62,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mbria" w:hAnsi="Cambria" w:eastAsia="Cambria" w:cs="Cambria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7.xml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header" Target="header8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方正飞翔8.2 XML版 8.2.0.1730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老年人结肠缺血诊治中国专家指导意见</dc:title>
  <dc:subject>中华内科杂志2023年06期</dc:subject>
  <dc:creator>中华医学会消化病学分会老年消化协作组</dc:creator>
  <cp:keywords>结肠炎，缺血性; 老年人; 诊断; 治疗学</cp:keywords>
  <dcterms:created xsi:type="dcterms:W3CDTF">2023-06-05T14:51:30Z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2025-10-29T09:28:47</vt:filetime>
  </property>
</Properties>
</file>