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13"/>
        <w:rPr/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-3139</wp:posOffset>
            </wp:positionV>
            <wp:extent cx="7775956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59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2246" w:h="17179"/>
          <w:pgMar w:top="0" w:right="0" w:bottom="0" w:left="0" w:header="0" w:footer="0" w:gutter="0"/>
          <w:cols w:equalWidth="0" w:num="1">
            <w:col w:w="12246" w:space="0"/>
          </w:cols>
        </w:sectPr>
        <w:rPr/>
      </w:pPr>
    </w:p>
    <w:p>
      <w:pPr>
        <w:pStyle w:val="BodyText"/>
        <w:ind w:left="1472"/>
        <w:spacing w:before="36" w:line="20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1"/>
        </w:rPr>
        <w:t>156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中国实用外科杂志 2025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年2月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45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7"/>
        </w:rPr>
        <w:t>2期</w:t>
      </w:r>
    </w:p>
    <w:p>
      <w:pPr>
        <w:spacing w:line="256" w:lineRule="auto"/>
        <w:sectPr>
          <w:type w:val="continuous"/>
          <w:pgSz w:w="12246" w:h="17179"/>
          <w:pgMar w:top="0" w:right="0" w:bottom="0" w:left="0" w:header="0" w:footer="0" w:gutter="0"/>
          <w:cols w:equalWidth="0" w:num="2">
            <w:col w:w="7392" w:space="100"/>
            <w:col w:w="4754" w:space="0"/>
          </w:cols>
        </w:sectPr>
        <w:rPr>
          <w:rFonts w:ascii="SimSun" w:hAnsi="SimSun" w:eastAsia="SimSun" w:cs="SimSun"/>
          <w:sz w:val="15"/>
          <w:szCs w:val="15"/>
        </w:rPr>
      </w:pPr>
    </w:p>
    <w:p>
      <w:pPr>
        <w:ind w:left="1458"/>
        <w:spacing w:before="237" w:line="21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8"/>
          <w:w w:val="139"/>
        </w:rPr>
        <w:t>指南与共识</w:t>
      </w:r>
    </w:p>
    <w:p>
      <w:pPr>
        <w:ind w:left="1454"/>
        <w:spacing w:before="69" w:line="230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7"/>
          <w:position w:val="1"/>
        </w:rPr>
        <w:t>DOI:10.19538/j.cjps.issn100</w:t>
      </w:r>
      <w:r>
        <w:rPr>
          <w:rFonts w:ascii="SimSun" w:hAnsi="SimSun" w:eastAsia="SimSun" w:cs="SimSun"/>
          <w:sz w:val="17"/>
          <w:szCs w:val="17"/>
          <w:color w:val="231F20"/>
          <w:spacing w:val="-8"/>
          <w:position w:val="1"/>
        </w:rPr>
        <w:t>5-2208.2025.02.05</w:t>
      </w:r>
    </w:p>
    <w:p>
      <w:pPr>
        <w:pStyle w:val="BodyText"/>
        <w:ind w:left="1947"/>
        <w:spacing w:before="338" w:line="180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8"/>
        </w:rPr>
        <w:t>减重代谢手术治疗肥胖症合并多囊卵巢综合征</w:t>
      </w:r>
    </w:p>
    <w:p>
      <w:pPr>
        <w:pStyle w:val="BodyText"/>
        <w:ind w:left="3845"/>
        <w:spacing w:before="1" w:line="201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8"/>
        </w:rPr>
        <w:t>中国专家共识（</w:t>
      </w:r>
      <w:r>
        <w:rPr>
          <w:rFonts w:ascii="SimSun" w:hAnsi="SimSun" w:eastAsia="SimSun" w:cs="SimSun"/>
          <w:sz w:val="41"/>
          <w:szCs w:val="41"/>
          <w:color w:val="231F20"/>
          <w:spacing w:val="-8"/>
        </w:rPr>
        <w:t>2025</w:t>
      </w:r>
      <w:r>
        <w:rPr>
          <w:sz w:val="41"/>
          <w:szCs w:val="41"/>
          <w:color w:val="231F20"/>
          <w:spacing w:val="-8"/>
        </w:rPr>
        <w:t>年版）</w:t>
      </w:r>
    </w:p>
    <w:p>
      <w:pPr>
        <w:ind w:left="4062"/>
        <w:spacing w:before="224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8"/>
        </w:rPr>
        <w:t>中华医学会外科学分会甲状腺及代谢外科学组</w:t>
      </w:r>
    </w:p>
    <w:p>
      <w:pPr>
        <w:ind w:left="3537"/>
        <w:spacing w:before="59" w:line="237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8"/>
        </w:rPr>
        <w:t>中国医师协会外科医师分会肥胖和代谢病外科专家工作组</w:t>
      </w:r>
    </w:p>
    <w:p>
      <w:pPr>
        <w:ind w:left="4482"/>
        <w:spacing w:before="61" w:line="238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7"/>
        </w:rPr>
        <w:t>中国医药教育协会代谢病专业委员会</w:t>
      </w:r>
    </w:p>
    <w:p>
      <w:pPr>
        <w:ind w:left="4464"/>
        <w:spacing w:before="60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8"/>
        </w:rPr>
        <w:t>生殖医学与子代健康全国重点实验室</w:t>
      </w:r>
    </w:p>
    <w:p>
      <w:pPr>
        <w:spacing w:before="97"/>
        <w:rPr/>
      </w:pPr>
      <w:r/>
    </w:p>
    <w:p>
      <w:pPr>
        <w:sectPr>
          <w:type w:val="continuous"/>
          <w:pgSz w:w="12246" w:h="17179"/>
          <w:pgMar w:top="0" w:right="0" w:bottom="0" w:left="0" w:header="0" w:footer="0" w:gutter="0"/>
          <w:cols w:equalWidth="0" w:num="1">
            <w:col w:w="12246" w:space="0"/>
          </w:cols>
        </w:sectPr>
        <w:rPr/>
      </w:pPr>
    </w:p>
    <w:p>
      <w:pPr>
        <w:pStyle w:val="BodyText"/>
        <w:ind w:left="1439" w:right="237" w:firstLine="15"/>
        <w:spacing w:before="65" w:line="314" w:lineRule="auto"/>
        <w:rPr>
          <w:rFonts w:ascii="Arial" w:hAnsi="Arial" w:eastAsia="Arial" w:cs="Arial"/>
        </w:rPr>
      </w:pPr>
      <w:r>
        <w:rPr>
          <w:color w:val="231F20"/>
          <w:spacing w:val="-5"/>
        </w:rPr>
        <w:t>Chinese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expert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consensus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-5"/>
        </w:rPr>
        <w:t>on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6"/>
        </w:rPr>
        <w:t>bariatric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6"/>
        </w:rPr>
        <w:t>metabolic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-6"/>
        </w:rPr>
        <w:t>surgery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in  the  treatment  of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5"/>
        </w:rPr>
        <w:t>obesity  complicated  w</w:t>
      </w:r>
      <w:r>
        <w:rPr>
          <w:color w:val="231F20"/>
          <w:spacing w:val="-6"/>
        </w:rPr>
        <w:t>ith  polycystic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ovary   syndrome   (2025   e</w:t>
      </w:r>
      <w:r>
        <w:rPr>
          <w:color w:val="231F20"/>
          <w:spacing w:val="-6"/>
        </w:rPr>
        <w:t>dition)          </w:t>
      </w:r>
      <w:r>
        <w:rPr>
          <w:rFonts w:ascii="Arial" w:hAnsi="Arial" w:eastAsia="Arial" w:cs="Arial"/>
          <w:i/>
          <w:iCs/>
          <w:color w:val="231F20"/>
          <w:spacing w:val="-6"/>
        </w:rPr>
        <w:t>Chinese   Society   of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Thyroid</w:t>
      </w:r>
      <w:r>
        <w:rPr>
          <w:rFonts w:ascii="Arial" w:hAnsi="Arial" w:eastAsia="Arial" w:cs="Arial"/>
          <w:i/>
          <w:iCs/>
          <w:color w:val="231F20"/>
          <w:spacing w:val="49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and</w:t>
      </w:r>
      <w:r>
        <w:rPr>
          <w:rFonts w:ascii="Arial" w:hAnsi="Arial" w:eastAsia="Arial" w:cs="Arial"/>
          <w:i/>
          <w:iCs/>
          <w:color w:val="231F20"/>
          <w:spacing w:val="3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Metabolism</w:t>
      </w:r>
      <w:r>
        <w:rPr>
          <w:rFonts w:ascii="Arial" w:hAnsi="Arial" w:eastAsia="Arial" w:cs="Arial"/>
          <w:i/>
          <w:iCs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Surgery,  Chinese</w:t>
      </w:r>
      <w:r>
        <w:rPr>
          <w:rFonts w:ascii="Arial" w:hAnsi="Arial" w:eastAsia="Arial" w:cs="Arial"/>
          <w:i/>
          <w:iCs/>
          <w:color w:val="231F20"/>
          <w:spacing w:val="3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Society</w:t>
      </w:r>
      <w:r>
        <w:rPr>
          <w:rFonts w:ascii="Arial" w:hAnsi="Arial" w:eastAsia="Arial" w:cs="Arial"/>
          <w:i/>
          <w:iCs/>
          <w:color w:val="231F20"/>
          <w:spacing w:val="3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of</w:t>
      </w:r>
      <w:r>
        <w:rPr>
          <w:rFonts w:ascii="Arial" w:hAnsi="Arial" w:eastAsia="Arial" w:cs="Arial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Surgery,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Chinese</w:t>
      </w:r>
      <w:r>
        <w:rPr>
          <w:rFonts w:ascii="Arial" w:hAnsi="Arial" w:eastAsia="Arial" w:cs="Arial"/>
          <w:i/>
          <w:iCs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Medical</w:t>
      </w:r>
      <w:r>
        <w:rPr>
          <w:rFonts w:ascii="Arial" w:hAnsi="Arial" w:eastAsia="Arial" w:cs="Arial"/>
          <w:i/>
          <w:iCs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Assoc</w:t>
      </w:r>
      <w:r>
        <w:rPr>
          <w:rFonts w:ascii="Arial" w:hAnsi="Arial" w:eastAsia="Arial" w:cs="Arial"/>
          <w:i/>
          <w:iCs/>
          <w:color w:val="231F20"/>
          <w:spacing w:val="-7"/>
        </w:rPr>
        <w:t>iation;  Chinese</w:t>
      </w:r>
      <w:r>
        <w:rPr>
          <w:rFonts w:ascii="Arial" w:hAnsi="Arial" w:eastAsia="Arial" w:cs="Arial"/>
          <w:i/>
          <w:iCs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Society for</w:t>
      </w:r>
      <w:r>
        <w:rPr>
          <w:rFonts w:ascii="Arial" w:hAnsi="Arial" w:eastAsia="Arial" w:cs="Arial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7"/>
        </w:rPr>
        <w:t>Metabolic  &amp;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7"/>
        </w:rPr>
        <w:t>Bariatric   Surgery,    Chinese</w:t>
      </w:r>
      <w:r>
        <w:rPr>
          <w:rFonts w:ascii="Arial" w:hAnsi="Arial" w:eastAsia="Arial" w:cs="Arial"/>
          <w:i/>
          <w:iCs/>
          <w:color w:val="231F20"/>
          <w:spacing w:val="5"/>
        </w:rPr>
        <w:t xml:space="preserve">   </w:t>
      </w:r>
      <w:r>
        <w:rPr>
          <w:rFonts w:ascii="Arial" w:hAnsi="Arial" w:eastAsia="Arial" w:cs="Arial"/>
          <w:i/>
          <w:iCs/>
          <w:color w:val="231F20"/>
          <w:spacing w:val="-7"/>
        </w:rPr>
        <w:t>College   of   Surgeons,    Chin</w:t>
      </w:r>
      <w:r>
        <w:rPr>
          <w:rFonts w:ascii="Arial" w:hAnsi="Arial" w:eastAsia="Arial" w:cs="Arial"/>
          <w:i/>
          <w:iCs/>
          <w:color w:val="231F20"/>
          <w:spacing w:val="-8"/>
        </w:rPr>
        <w:t>ese</w:t>
      </w:r>
      <w:r>
        <w:rPr>
          <w:rFonts w:ascii="Arial" w:hAnsi="Arial" w:eastAsia="Arial" w:cs="Arial"/>
          <w:i/>
          <w:iCs/>
          <w:color w:val="231F20"/>
          <w:spacing w:val="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Medical</w:t>
      </w:r>
      <w:r>
        <w:rPr>
          <w:rFonts w:ascii="Arial" w:hAnsi="Arial" w:eastAsia="Arial" w:cs="Arial"/>
          <w:i/>
          <w:iCs/>
          <w:color w:val="231F20"/>
          <w:spacing w:val="16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Doctor</w:t>
      </w:r>
      <w:r>
        <w:rPr>
          <w:rFonts w:ascii="Arial" w:hAnsi="Arial" w:eastAsia="Arial" w:cs="Arial"/>
          <w:i/>
          <w:iCs/>
          <w:color w:val="231F20"/>
          <w:spacing w:val="9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Association;</w:t>
      </w:r>
      <w:r>
        <w:rPr>
          <w:rFonts w:ascii="Arial" w:hAnsi="Arial" w:eastAsia="Arial" w:cs="Arial"/>
          <w:i/>
          <w:iCs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Metabolic</w:t>
      </w:r>
      <w:r>
        <w:rPr>
          <w:rFonts w:ascii="Arial" w:hAnsi="Arial" w:eastAsia="Arial" w:cs="Arial"/>
          <w:i/>
          <w:iCs/>
          <w:color w:val="231F20"/>
          <w:spacing w:val="13"/>
          <w:w w:val="101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Disease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4"/>
          <w:w w:val="96"/>
        </w:rPr>
        <w:t>Professional</w:t>
      </w:r>
      <w:r>
        <w:rPr>
          <w:rFonts w:ascii="Arial" w:hAnsi="Arial" w:eastAsia="Arial" w:cs="Arial"/>
          <w:i/>
          <w:iCs/>
          <w:color w:val="231F20"/>
        </w:rPr>
        <w:t xml:space="preserve">  </w:t>
      </w:r>
      <w:r>
        <w:rPr>
          <w:rFonts w:ascii="Arial" w:hAnsi="Arial" w:eastAsia="Arial" w:cs="Arial"/>
          <w:i/>
          <w:iCs/>
          <w:color w:val="231F20"/>
          <w:spacing w:val="-5"/>
        </w:rPr>
        <w:t>Committee</w:t>
      </w:r>
      <w:r>
        <w:rPr>
          <w:rFonts w:ascii="Arial" w:hAnsi="Arial" w:eastAsia="Arial" w:cs="Arial"/>
          <w:i/>
          <w:iCs/>
          <w:color w:val="231F20"/>
          <w:spacing w:val="17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of Chinese</w:t>
      </w:r>
      <w:r>
        <w:rPr>
          <w:rFonts w:ascii="Arial" w:hAnsi="Arial" w:eastAsia="Arial" w:cs="Arial"/>
          <w:i/>
          <w:iCs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Medical</w:t>
      </w:r>
      <w:r>
        <w:rPr>
          <w:rFonts w:ascii="Arial" w:hAnsi="Arial" w:eastAsia="Arial" w:cs="Arial"/>
          <w:i/>
          <w:i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Ed</w:t>
      </w:r>
      <w:r>
        <w:rPr>
          <w:rFonts w:ascii="Arial" w:hAnsi="Arial" w:eastAsia="Arial" w:cs="Arial"/>
          <w:i/>
          <w:iCs/>
          <w:color w:val="231F20"/>
          <w:spacing w:val="-6"/>
        </w:rPr>
        <w:t>ucation Association;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National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Key Laboratory of</w:t>
      </w:r>
      <w:r>
        <w:rPr>
          <w:rFonts w:ascii="Arial" w:hAnsi="Arial" w:eastAsia="Arial" w:cs="Arial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Reproductive Medicine and</w:t>
      </w:r>
      <w:r>
        <w:rPr>
          <w:rFonts w:ascii="Arial" w:hAnsi="Arial" w:eastAsia="Arial" w:cs="Arial"/>
          <w:i/>
          <w:iCs/>
          <w:color w:val="231F20"/>
          <w:spacing w:val="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6"/>
        </w:rPr>
        <w:t>Offspring Health</w:t>
      </w:r>
      <w:r>
        <w:rPr>
          <w:rFonts w:ascii="Arial" w:hAnsi="Arial" w:eastAsia="Arial" w:cs="Arial"/>
          <w:i/>
          <w:iCs/>
          <w:color w:val="231F20"/>
        </w:rPr>
        <w:t xml:space="preserve">    </w:t>
      </w:r>
      <w:r>
        <w:rPr>
          <w:rFonts w:ascii="Arial" w:hAnsi="Arial" w:eastAsia="Arial" w:cs="Arial"/>
          <w:i/>
          <w:iCs/>
          <w:color w:val="231F20"/>
          <w:spacing w:val="-4"/>
        </w:rPr>
        <w:t>Corresponding authors: HU San-yuan, E-mail: husanyuan1962</w:t>
      </w:r>
      <w:r>
        <w:rPr>
          <w:rFonts w:ascii="Arial" w:hAnsi="Arial" w:eastAsia="Arial" w:cs="Arial"/>
          <w:i/>
          <w:iCs/>
          <w:color w:val="231F20"/>
          <w:spacing w:val="7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1"/>
        </w:rPr>
        <w:t>@hotmail. com; LIU  Jin-gang,  E-mail:  liujg51347@hotmail.</w:t>
      </w:r>
      <w:r>
        <w:rPr>
          <w:rFonts w:ascii="Arial" w:hAnsi="Arial" w:eastAsia="Arial" w:cs="Arial"/>
          <w:i/>
          <w:iCs/>
          <w:color w:val="231F20"/>
          <w:spacing w:val="1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com;</w:t>
      </w:r>
      <w:r>
        <w:rPr>
          <w:rFonts w:ascii="Arial" w:hAnsi="Arial" w:eastAsia="Arial" w:cs="Arial"/>
          <w:i/>
          <w:iCs/>
          <w:color w:val="231F20"/>
          <w:spacing w:val="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ZHU</w:t>
      </w:r>
      <w:r>
        <w:rPr>
          <w:rFonts w:ascii="Arial" w:hAnsi="Arial" w:eastAsia="Arial" w:cs="Arial"/>
          <w:i/>
          <w:iCs/>
          <w:color w:val="231F20"/>
          <w:spacing w:val="14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Shai-hong,</w:t>
      </w:r>
      <w:r>
        <w:rPr>
          <w:rFonts w:ascii="Arial" w:hAnsi="Arial" w:eastAsia="Arial" w:cs="Arial"/>
          <w:i/>
          <w:iCs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E-mail:</w:t>
      </w:r>
      <w:r>
        <w:rPr>
          <w:rFonts w:ascii="Arial" w:hAnsi="Arial" w:eastAsia="Arial" w:cs="Arial"/>
          <w:i/>
          <w:iCs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shzhu@csu</w:t>
      </w:r>
      <w:r>
        <w:rPr>
          <w:rFonts w:ascii="Arial" w:hAnsi="Arial" w:eastAsia="Arial" w:cs="Arial"/>
          <w:i/>
          <w:iCs/>
          <w:color w:val="231F20"/>
          <w:spacing w:val="-5"/>
        </w:rPr>
        <w:t>.</w:t>
      </w:r>
      <w:r>
        <w:rPr>
          <w:rFonts w:ascii="Arial" w:hAnsi="Arial" w:eastAsia="Arial" w:cs="Arial"/>
          <w:i/>
          <w:iCs/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edu.</w:t>
      </w:r>
      <w:r>
        <w:rPr>
          <w:rFonts w:ascii="Arial" w:hAnsi="Arial" w:eastAsia="Arial" w:cs="Arial"/>
          <w:i/>
          <w:iCs/>
          <w:color w:val="231F20"/>
          <w:spacing w:val="-2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cn;</w:t>
      </w:r>
      <w:r>
        <w:rPr>
          <w:rFonts w:ascii="Arial" w:hAnsi="Arial" w:eastAsia="Arial" w:cs="Arial"/>
          <w:i/>
          <w:iCs/>
          <w:color w:val="231F20"/>
          <w:spacing w:val="18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LIU</w:t>
      </w:r>
      <w:r>
        <w:rPr>
          <w:rFonts w:ascii="Arial" w:hAnsi="Arial" w:eastAsia="Arial" w:cs="Arial"/>
          <w:i/>
          <w:iCs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Shao-</w:t>
      </w:r>
      <w:r>
        <w:rPr>
          <w:rFonts w:ascii="Arial" w:hAnsi="Arial" w:eastAsia="Arial" w:cs="Arial"/>
          <w:i/>
          <w:iCs/>
          <w:color w:val="231F20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zhuang,</w:t>
      </w:r>
      <w:r>
        <w:rPr>
          <w:rFonts w:ascii="Arial" w:hAnsi="Arial" w:eastAsia="Arial" w:cs="Arial"/>
          <w:i/>
          <w:iCs/>
          <w:color w:val="231F20"/>
          <w:spacing w:val="28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E-mail:</w:t>
      </w:r>
      <w:r>
        <w:rPr>
          <w:rFonts w:ascii="Arial" w:hAnsi="Arial" w:eastAsia="Arial" w:cs="Arial"/>
          <w:i/>
          <w:iCs/>
          <w:color w:val="231F20"/>
          <w:spacing w:val="31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4"/>
        </w:rPr>
        <w:t>liush</w:t>
      </w:r>
      <w:r>
        <w:rPr>
          <w:rFonts w:ascii="Arial" w:hAnsi="Arial" w:eastAsia="Arial" w:cs="Arial"/>
          <w:i/>
          <w:iCs/>
          <w:color w:val="231F20"/>
          <w:spacing w:val="-5"/>
        </w:rPr>
        <w:t>aozhuang@sdu.</w:t>
      </w:r>
      <w:r>
        <w:rPr>
          <w:rFonts w:ascii="Arial" w:hAnsi="Arial" w:eastAsia="Arial" w:cs="Arial"/>
          <w:i/>
          <w:iCs/>
          <w:color w:val="231F20"/>
          <w:spacing w:val="-15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edu.</w:t>
      </w:r>
      <w:r>
        <w:rPr>
          <w:rFonts w:ascii="Arial" w:hAnsi="Arial" w:eastAsia="Arial" w:cs="Arial"/>
          <w:i/>
          <w:iCs/>
          <w:color w:val="231F20"/>
          <w:spacing w:val="-16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cn;</w:t>
      </w:r>
      <w:r>
        <w:rPr>
          <w:rFonts w:ascii="Arial" w:hAnsi="Arial" w:eastAsia="Arial" w:cs="Arial"/>
          <w:i/>
          <w:iCs/>
          <w:color w:val="231F20"/>
          <w:spacing w:val="29"/>
          <w:w w:val="101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ZHAO</w:t>
      </w:r>
      <w:r>
        <w:rPr>
          <w:rFonts w:ascii="Arial" w:hAnsi="Arial" w:eastAsia="Arial" w:cs="Arial"/>
          <w:i/>
          <w:iCs/>
          <w:color w:val="231F20"/>
          <w:spacing w:val="29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Han,</w:t>
      </w:r>
      <w:r>
        <w:rPr>
          <w:rFonts w:ascii="Arial" w:hAnsi="Arial" w:eastAsia="Arial" w:cs="Arial"/>
          <w:i/>
          <w:iCs/>
          <w:color w:val="231F20"/>
          <w:spacing w:val="27"/>
          <w:w w:val="102"/>
        </w:rPr>
        <w:t xml:space="preserve"> </w:t>
      </w:r>
      <w:r>
        <w:rPr>
          <w:rFonts w:ascii="Arial" w:hAnsi="Arial" w:eastAsia="Arial" w:cs="Arial"/>
          <w:i/>
          <w:iCs/>
          <w:color w:val="231F20"/>
          <w:spacing w:val="-5"/>
        </w:rPr>
        <w:t>E-</w:t>
      </w:r>
    </w:p>
    <w:p>
      <w:pPr>
        <w:ind w:left="1450"/>
        <w:spacing w:before="29" w:line="228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i/>
          <w:iCs/>
          <w:color w:val="231F20"/>
          <w:spacing w:val="-8"/>
          <w:position w:val="2"/>
        </w:rPr>
        <w:t>mail: hanzh80@sdu.edu.cn</w:t>
      </w:r>
    </w:p>
    <w:p>
      <w:pPr>
        <w:pStyle w:val="BodyText"/>
        <w:ind w:left="1451" w:right="264"/>
        <w:spacing w:before="86" w:line="239" w:lineRule="auto"/>
        <w:rPr/>
      </w:pPr>
      <w:r>
        <w:rPr>
          <w:color w:val="231F20"/>
          <w:spacing w:val="-9"/>
        </w:rPr>
        <w:t>Keywords    bariatric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9"/>
        </w:rPr>
        <w:t>&amp;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9"/>
        </w:rPr>
        <w:t>metabolic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9"/>
        </w:rPr>
        <w:t>surgery;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9"/>
        </w:rPr>
        <w:t>obesity</w:t>
      </w:r>
      <w:r>
        <w:rPr>
          <w:color w:val="231F20"/>
          <w:spacing w:val="-10"/>
        </w:rPr>
        <w:t>;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0"/>
        </w:rPr>
        <w:t>polycystic</w:t>
      </w:r>
      <w:r>
        <w:rPr>
          <w:color w:val="231F20"/>
        </w:rPr>
        <w:t xml:space="preserve"> </w:t>
      </w:r>
      <w:r>
        <w:rPr>
          <w:color w:val="231F20"/>
          <w:spacing w:val="-13"/>
        </w:rPr>
        <w:t>ovary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3"/>
        </w:rPr>
        <w:t>syndrome; expert </w:t>
      </w:r>
      <w:r>
        <w:rPr>
          <w:color w:val="231F20"/>
          <w:spacing w:val="-14"/>
        </w:rPr>
        <w:t>consensus</w:t>
      </w:r>
    </w:p>
    <w:p>
      <w:pPr>
        <w:pStyle w:val="BodyText"/>
        <w:ind w:left="1382" w:right="262" w:firstLine="66"/>
        <w:spacing w:before="2" w:line="253" w:lineRule="auto"/>
        <w:rPr>
          <w:rFonts w:ascii="KaiTi" w:hAnsi="KaiTi" w:eastAsia="KaiTi" w:cs="KaiTi"/>
        </w:rPr>
      </w:pPr>
      <w:r>
        <w:rPr>
          <w:color w:val="231F20"/>
          <w:spacing w:val="-9"/>
        </w:rPr>
        <w:t>Fund  programs:  National  Key  Research</w:t>
      </w:r>
      <w:r>
        <w:rPr>
          <w:color w:val="231F20"/>
          <w:spacing w:val="63"/>
          <w:w w:val="101"/>
        </w:rPr>
        <w:t xml:space="preserve"> </w:t>
      </w:r>
      <w:r>
        <w:rPr>
          <w:color w:val="231F20"/>
          <w:spacing w:val="-9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Development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Program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8"/>
        </w:rPr>
        <w:t>of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8"/>
        </w:rPr>
        <w:t>China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8"/>
        </w:rPr>
        <w:t>(No.2021YFC2700400,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8"/>
        </w:rPr>
        <w:t>No.2024YFC2707300)</w:t>
      </w:r>
      <w:r>
        <w:rPr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【</w:t>
      </w:r>
      <w:r>
        <w:rPr>
          <w:color w:val="231F20"/>
        </w:rPr>
        <w:t>关键词</w:t>
      </w:r>
      <w:r>
        <w:rPr>
          <w:rFonts w:ascii="KaiTi" w:hAnsi="KaiTi" w:eastAsia="KaiTi" w:cs="KaiTi"/>
          <w:color w:val="231F20"/>
        </w:rPr>
        <w:t>】</w:t>
      </w:r>
      <w:r>
        <w:rPr>
          <w:rFonts w:ascii="KaiTi" w:hAnsi="KaiTi" w:eastAsia="KaiTi" w:cs="KaiTi"/>
          <w:color w:val="231F20"/>
          <w:spacing w:val="54"/>
          <w:w w:val="101"/>
        </w:rPr>
        <w:t xml:space="preserve"> </w:t>
      </w:r>
      <w:r>
        <w:rPr>
          <w:rFonts w:ascii="KaiTi" w:hAnsi="KaiTi" w:eastAsia="KaiTi" w:cs="KaiTi"/>
          <w:color w:val="231F20"/>
        </w:rPr>
        <w:t>减重代谢手术；肥胖症；多囊卵巢综合征；专家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40"/>
        </w:rPr>
        <w:t>共识</w:t>
      </w:r>
    </w:p>
    <w:p>
      <w:pPr>
        <w:pStyle w:val="BodyText"/>
        <w:ind w:left="1467"/>
        <w:spacing w:before="1" w:line="216" w:lineRule="auto"/>
        <w:rPr>
          <w:rFonts w:ascii="SimSun" w:hAnsi="SimSun" w:eastAsia="SimSun" w:cs="SimSun"/>
        </w:rPr>
      </w:pPr>
      <w:r>
        <w:rPr>
          <w:color w:val="231F20"/>
          <w:spacing w:val="-1"/>
        </w:rPr>
        <w:t>中图分类号：</w:t>
      </w:r>
      <w:r>
        <w:rPr>
          <w:rFonts w:ascii="SimSun" w:hAnsi="SimSun" w:eastAsia="SimSun" w:cs="SimSun"/>
          <w:color w:val="231F20"/>
          <w:spacing w:val="-1"/>
        </w:rPr>
        <w:t>R6  </w:t>
      </w:r>
      <w:r>
        <w:rPr>
          <w:color w:val="231F20"/>
          <w:spacing w:val="-1"/>
        </w:rPr>
        <w:t>文献标志码：</w:t>
      </w:r>
      <w:r>
        <w:rPr>
          <w:rFonts w:ascii="SimSun" w:hAnsi="SimSun" w:eastAsia="SimSun" w:cs="SimSun"/>
          <w:color w:val="231F20"/>
          <w:spacing w:val="-1"/>
        </w:rPr>
        <w:t>A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1448" w:right="208" w:firstLine="361"/>
        <w:spacing w:before="74" w:line="245" w:lineRule="auto"/>
        <w:jc w:val="both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920449</wp:posOffset>
            </wp:positionH>
            <wp:positionV relativeFrom="paragraph">
              <wp:posOffset>1178358</wp:posOffset>
            </wp:positionV>
            <wp:extent cx="1259997" cy="635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599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31F20"/>
          <w:spacing w:val="9"/>
        </w:rPr>
        <w:t>肥胖症作为慢性疾病的独立病种及多种慢性疾病的重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要致病因素，已成为我国重大公共卫生问题</w:t>
      </w:r>
      <w:r>
        <w:rPr>
          <w:sz w:val="9"/>
          <w:szCs w:val="9"/>
          <w:color w:val="231F20"/>
          <w:spacing w:val="6"/>
          <w:position w:val="7"/>
        </w:rPr>
        <w:t>［1］</w:t>
      </w:r>
      <w:r>
        <w:rPr>
          <w:color w:val="231F20"/>
          <w:spacing w:val="6"/>
        </w:rPr>
        <w:t>。减重代谢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9"/>
        </w:rPr>
        <w:t>手术可以显著降低病态肥胖症病人的体重，同时治愈或改  </w:t>
      </w:r>
      <w:r>
        <w:rPr>
          <w:color w:val="231F20"/>
          <w:spacing w:val="9"/>
        </w:rPr>
        <w:t>善肥胖症合并的多种疾病，已获得国内外相关指南的广泛  </w:t>
      </w:r>
      <w:r>
        <w:rPr>
          <w:color w:val="231F20"/>
          <w:spacing w:val="-6"/>
        </w:rPr>
        <w:t>推 荐</w:t>
      </w:r>
      <w:r>
        <w:rPr>
          <w:sz w:val="9"/>
          <w:szCs w:val="9"/>
          <w:color w:val="231F20"/>
          <w:spacing w:val="-6"/>
          <w:position w:val="7"/>
        </w:rPr>
        <w:t>［2-3］</w:t>
      </w:r>
      <w:r>
        <w:rPr>
          <w:color w:val="231F20"/>
          <w:spacing w:val="-6"/>
        </w:rPr>
        <w:t>。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-6"/>
        </w:rPr>
        <w:t>多 囊 卵 巢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综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6"/>
        </w:rPr>
        <w:t>合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6"/>
        </w:rPr>
        <w:t>征（polycystic</w:t>
      </w:r>
      <w:r>
        <w:rPr>
          <w:color w:val="231F20"/>
          <w:spacing w:val="37"/>
        </w:rPr>
        <w:t xml:space="preserve"> </w:t>
      </w:r>
      <w:r>
        <w:rPr>
          <w:color w:val="231F20"/>
          <w:spacing w:val="-16"/>
        </w:rPr>
        <w:t>ovary  syndrome，</w:t>
      </w:r>
      <w:r>
        <w:rPr>
          <w:color w:val="231F20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5"/>
        </w:rPr>
        <w:t>）是导致育龄期女性不孕的常见内分泌疾病，与肥胖</w:t>
      </w:r>
    </w:p>
    <w:p>
      <w:pPr>
        <w:ind w:left="1456" w:right="468" w:firstLine="315"/>
        <w:spacing w:before="224" w:line="33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基金项目：国家重点研发计划项目（</w:t>
      </w:r>
      <w:r>
        <w:rPr>
          <w:rFonts w:ascii="SimSun" w:hAnsi="SimSun" w:eastAsia="SimSun" w:cs="SimSun"/>
          <w:sz w:val="15"/>
          <w:szCs w:val="15"/>
          <w:color w:val="231F20"/>
        </w:rPr>
        <w:t>No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.2021</w:t>
      </w:r>
      <w:r>
        <w:rPr>
          <w:rFonts w:ascii="SimSun" w:hAnsi="SimSun" w:eastAsia="SimSun" w:cs="SimSun"/>
          <w:sz w:val="15"/>
          <w:szCs w:val="15"/>
          <w:color w:val="231F20"/>
        </w:rPr>
        <w:t>YFC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27004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00，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No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.2024</w:t>
      </w:r>
      <w:r>
        <w:rPr>
          <w:rFonts w:ascii="SimSun" w:hAnsi="SimSun" w:eastAsia="SimSun" w:cs="SimSun"/>
          <w:sz w:val="15"/>
          <w:szCs w:val="15"/>
          <w:color w:val="231F20"/>
        </w:rPr>
        <w:t>YFC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2707300）</w:t>
      </w:r>
    </w:p>
    <w:p>
      <w:pPr>
        <w:ind w:left="1781"/>
        <w:spacing w:line="205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通信作者：胡三元，E-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mail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-1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husanyuan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1962@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hotmail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com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；</w:t>
      </w:r>
    </w:p>
    <w:p>
      <w:pPr>
        <w:ind w:left="1454" w:right="465" w:hanging="2"/>
        <w:spacing w:before="63" w:line="294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刘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金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钢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，E-mail: liujg51347@hotmail.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com；朱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晒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红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，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E-mail: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shzhu@csu.edu.cn；刘少壮，E-mail: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liushaozhuang@sdu.edu.cn；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赵涵，E-mail: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hanzh80@sdu.edu.cn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363"/>
        <w:spacing w:before="34" w:line="243" w:lineRule="auto"/>
        <w:jc w:val="both"/>
        <w:rPr/>
      </w:pPr>
      <w:r>
        <w:rPr>
          <w:color w:val="231F20"/>
          <w:spacing w:val="6"/>
        </w:rPr>
        <w:t>症关系密切</w:t>
      </w:r>
      <w:r>
        <w:rPr>
          <w:sz w:val="9"/>
          <w:szCs w:val="9"/>
          <w:color w:val="231F20"/>
          <w:spacing w:val="6"/>
          <w:position w:val="7"/>
        </w:rPr>
        <w:t>［4］</w:t>
      </w:r>
      <w:r>
        <w:rPr>
          <w:color w:val="231F20"/>
          <w:spacing w:val="6"/>
        </w:rPr>
        <w:t>。多项研究结果表明，减重代谢手术有助于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"/>
        </w:rPr>
        <w:t>改善肥胖症合并的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1"/>
        </w:rPr>
        <w:t>PCOS</w:t>
      </w:r>
      <w:r>
        <w:rPr>
          <w:sz w:val="9"/>
          <w:szCs w:val="9"/>
          <w:color w:val="231F20"/>
          <w:spacing w:val="-1"/>
          <w:position w:val="7"/>
        </w:rPr>
        <w:t>［5-6］</w:t>
      </w:r>
      <w:r>
        <w:rPr>
          <w:color w:val="231F20"/>
          <w:spacing w:val="-1"/>
        </w:rPr>
        <w:t>。在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年版《多囊卵巢综合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征评估和管理国际循证指南》中，减重代谢手</w:t>
      </w:r>
      <w:r>
        <w:rPr>
          <w:color w:val="231F20"/>
          <w:spacing w:val="2"/>
        </w:rPr>
        <w:t>术被推荐为肥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胖症合并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6"/>
        </w:rPr>
        <w:t xml:space="preserve"> 的试验性治疗</w:t>
      </w:r>
      <w:r>
        <w:rPr>
          <w:sz w:val="9"/>
          <w:szCs w:val="9"/>
          <w:color w:val="231F20"/>
          <w:spacing w:val="6"/>
          <w:position w:val="7"/>
        </w:rPr>
        <w:t>［7］</w:t>
      </w:r>
      <w:r>
        <w:rPr>
          <w:color w:val="231F20"/>
          <w:spacing w:val="6"/>
        </w:rPr>
        <w:t>。随着临床研究证据的积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累，2023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年版《多囊卵巢综合征评估和管理国际循证指南》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推荐减重代谢手术为肥胖症合并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1"/>
        </w:rPr>
        <w:t xml:space="preserve"> 的治疗选择之一</w:t>
      </w:r>
      <w:r>
        <w:rPr>
          <w:sz w:val="9"/>
          <w:szCs w:val="9"/>
          <w:color w:val="231F20"/>
          <w:spacing w:val="1"/>
          <w:position w:val="7"/>
        </w:rPr>
        <w:t>［8］</w:t>
      </w:r>
      <w:r>
        <w:rPr>
          <w:color w:val="231F20"/>
          <w:spacing w:val="1"/>
        </w:rPr>
        <w:t>。</w:t>
      </w:r>
    </w:p>
    <w:p>
      <w:pPr>
        <w:pStyle w:val="BodyText"/>
        <w:ind w:right="1372" w:firstLine="369"/>
        <w:spacing w:before="10" w:line="243" w:lineRule="auto"/>
        <w:jc w:val="both"/>
        <w:rPr/>
      </w:pPr>
      <w:r>
        <w:rPr>
          <w:color w:val="231F20"/>
          <w:spacing w:val="10"/>
        </w:rPr>
        <w:t>为给我国肥胖症合并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0"/>
        </w:rPr>
        <w:t>病人的减重代谢手术治疗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提供参考，并促进减重代谢外科临床工作规范、有序地开  </w:t>
      </w:r>
      <w:r>
        <w:rPr>
          <w:color w:val="231F20"/>
          <w:spacing w:val="3"/>
        </w:rPr>
        <w:t>展，中华医学会外科学分会甲状腺及代谢外科学</w:t>
      </w:r>
      <w:r>
        <w:rPr>
          <w:color w:val="231F20"/>
          <w:spacing w:val="2"/>
        </w:rPr>
        <w:t>组、中国医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师协会外科医师分会肥胖、中国医药教育协会代谢病专业  </w:t>
      </w:r>
      <w:r>
        <w:rPr>
          <w:color w:val="231F20"/>
          <w:spacing w:val="9"/>
        </w:rPr>
        <w:t>委员会和代谢病外科专家工作组联合生殖医学与子代健康  </w:t>
      </w:r>
      <w:r>
        <w:rPr>
          <w:color w:val="231F20"/>
          <w:spacing w:val="5"/>
        </w:rPr>
        <w:t>全国重点实验室组织国内部分减重代谢外科、生殖医学科、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9"/>
        </w:rPr>
        <w:t>内分泌科专家制定了《减重代谢手术治疗肥胖症合并多囊  </w:t>
      </w:r>
      <w:r>
        <w:rPr>
          <w:color w:val="231F20"/>
          <w:spacing w:val="-2"/>
        </w:rPr>
        <w:t>卵巢综合征中国专家共识（2025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2"/>
        </w:rPr>
        <w:t>年版）》。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专家团队参考最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新的国内外指南、临床研究结论及相关专家意见</w:t>
      </w:r>
      <w:r>
        <w:rPr>
          <w:color w:val="231F20"/>
          <w:spacing w:val="2"/>
        </w:rPr>
        <w:t>，在充分讨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论、修改的基础上确定关键问题并进行投票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。投票意见按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同意程度分为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1"/>
        </w:rPr>
        <w:t>5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级，包括“完全同意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”“基本同意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-11"/>
        </w:rPr>
        <w:t>”“视情况而</w:t>
      </w:r>
      <w:r>
        <w:rPr>
          <w:color w:val="231F20"/>
        </w:rPr>
        <w:t xml:space="preserve">  </w:t>
      </w:r>
      <w:r>
        <w:rPr>
          <w:color w:val="231F20"/>
          <w:spacing w:val="-9"/>
          <w:w w:val="96"/>
        </w:rPr>
        <w:t>定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9"/>
          <w:w w:val="96"/>
        </w:rPr>
        <w:t>”“部分反对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9"/>
          <w:w w:val="96"/>
        </w:rPr>
        <w:t>”和“完全反对”。投票意见“完全同意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-9"/>
          <w:w w:val="96"/>
        </w:rPr>
        <w:t>”+“基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本同意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”≥70% 即达成共识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"/>
        </w:rPr>
        <w:t>。鉴于青少年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PCOS 的诊断尚需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慎重，本共识目前仅针对成年肥胖症合并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病人。</w:t>
      </w:r>
    </w:p>
    <w:p>
      <w:pPr>
        <w:pStyle w:val="BodyText"/>
        <w:ind w:left="17"/>
        <w:spacing w:before="272" w:line="216" w:lineRule="auto"/>
        <w:rPr/>
      </w:pPr>
      <w:r>
        <w:rPr>
          <w:rFonts w:ascii="SimSun" w:hAnsi="SimSun" w:eastAsia="SimSun" w:cs="SimSun"/>
          <w:color w:val="231F20"/>
          <w:spacing w:val="6"/>
        </w:rPr>
        <w:t>1</w:t>
      </w:r>
      <w:r>
        <w:rPr>
          <w:rFonts w:ascii="SimSun" w:hAnsi="SimSun" w:eastAsia="SimSun" w:cs="SimSun"/>
          <w:color w:val="231F20"/>
          <w:spacing w:val="12"/>
        </w:rPr>
        <w:t xml:space="preserve">  </w:t>
      </w:r>
      <w:r>
        <w:rPr>
          <w:color w:val="231F20"/>
          <w:spacing w:val="6"/>
        </w:rPr>
        <w:t>多囊卵巢综合征与肥胖症</w:t>
      </w:r>
    </w:p>
    <w:p>
      <w:pPr>
        <w:pStyle w:val="BodyText"/>
        <w:ind w:left="1" w:right="1441" w:firstLine="361"/>
        <w:spacing w:before="41" w:line="243" w:lineRule="auto"/>
        <w:jc w:val="both"/>
        <w:rPr/>
      </w:pPr>
      <w:r>
        <w:rPr>
          <w:color w:val="231F20"/>
        </w:rPr>
        <w:t>PCOS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是育龄期女性最常见的生殖内分泌疾病，主要临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床特点包括生殖异常（月经周期紊乱、高雄激素血症或症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0"/>
        </w:rPr>
        <w:t>状、卵巢多囊样变等）、代谢异常（胰岛素抵抗、糖尿病、高脂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血症等）和精神心理异常（焦虑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、抑郁等）等方面</w:t>
      </w:r>
      <w:r>
        <w:rPr>
          <w:sz w:val="9"/>
          <w:szCs w:val="9"/>
          <w:color w:val="231F20"/>
          <w:spacing w:val="-1"/>
          <w:position w:val="7"/>
        </w:rPr>
        <w:t>［9］</w:t>
      </w:r>
      <w:r>
        <w:rPr>
          <w:color w:val="231F20"/>
          <w:spacing w:val="-1"/>
        </w:rPr>
        <w:t>。全球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PCOS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2"/>
        </w:rPr>
        <w:t>患病率为 8%~13%</w:t>
      </w:r>
      <w:r>
        <w:rPr>
          <w:sz w:val="9"/>
          <w:szCs w:val="9"/>
          <w:color w:val="231F20"/>
          <w:spacing w:val="-2"/>
          <w:position w:val="7"/>
        </w:rPr>
        <w:t>［8,</w:t>
      </w:r>
      <w:r>
        <w:rPr>
          <w:sz w:val="9"/>
          <w:szCs w:val="9"/>
          <w:color w:val="231F20"/>
          <w:spacing w:val="7"/>
          <w:w w:val="103"/>
          <w:position w:val="7"/>
        </w:rPr>
        <w:t xml:space="preserve"> </w:t>
      </w:r>
      <w:r>
        <w:rPr>
          <w:sz w:val="9"/>
          <w:szCs w:val="9"/>
          <w:color w:val="231F20"/>
          <w:spacing w:val="-2"/>
          <w:position w:val="7"/>
        </w:rPr>
        <w:t>10］</w:t>
      </w:r>
      <w:r>
        <w:rPr>
          <w:color w:val="231F20"/>
          <w:spacing w:val="-2"/>
        </w:rPr>
        <w:t>。我</w:t>
      </w:r>
      <w:r>
        <w:rPr>
          <w:color w:val="231F20"/>
          <w:spacing w:val="-3"/>
        </w:rPr>
        <w:t>国育龄期女性的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3"/>
        </w:rPr>
        <w:t>PCOS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3"/>
        </w:rPr>
        <w:t>患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病率约为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5"/>
        </w:rPr>
        <w:t>7.8%，病人总数＞2400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万例</w:t>
      </w:r>
      <w:r>
        <w:rPr>
          <w:sz w:val="9"/>
          <w:szCs w:val="9"/>
          <w:color w:val="231F20"/>
          <w:spacing w:val="-5"/>
          <w:position w:val="7"/>
        </w:rPr>
        <w:t>［11］</w:t>
      </w:r>
      <w:r>
        <w:rPr>
          <w:color w:val="231F20"/>
          <w:spacing w:val="-5"/>
        </w:rPr>
        <w:t>。</w:t>
      </w:r>
    </w:p>
    <w:p>
      <w:pPr>
        <w:pStyle w:val="BodyText"/>
        <w:ind w:right="1375" w:firstLine="371"/>
        <w:spacing w:before="2" w:line="229" w:lineRule="auto"/>
        <w:jc w:val="both"/>
        <w:rPr/>
      </w:pPr>
      <w:r>
        <w:rPr>
          <w:color w:val="231F20"/>
        </w:rPr>
        <w:t>PCOS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与肥胖症关系密切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3"/>
        </w:rPr>
        <w:t>。流行病学研究结果显示，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PCOS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患病率与体重指数（body mass index，BMI）呈正相关，</w:t>
      </w:r>
      <w:r>
        <w:rPr>
          <w:color w:val="231F20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病人的超重及肥胖比例&gt;50%</w:t>
      </w:r>
      <w:r>
        <w:rPr>
          <w:sz w:val="9"/>
          <w:szCs w:val="9"/>
          <w:color w:val="231F20"/>
          <w:spacing w:val="7"/>
          <w:position w:val="7"/>
        </w:rPr>
        <w:t>［12］</w:t>
      </w:r>
      <w:r>
        <w:rPr>
          <w:color w:val="231F20"/>
          <w:spacing w:val="7"/>
        </w:rPr>
        <w:t>。相较于</w:t>
      </w:r>
      <w:r>
        <w:rPr>
          <w:color w:val="231F20"/>
          <w:spacing w:val="6"/>
        </w:rPr>
        <w:t>体重正常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者，处于超重或者肥胖状态的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病人合并更严重的代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谢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、生殖表型</w:t>
      </w:r>
      <w:r>
        <w:rPr>
          <w:sz w:val="9"/>
          <w:szCs w:val="9"/>
          <w:color w:val="231F20"/>
          <w:spacing w:val="4"/>
          <w:position w:val="7"/>
        </w:rPr>
        <w:t>［13］</w:t>
      </w:r>
      <w:r>
        <w:rPr>
          <w:color w:val="231F20"/>
          <w:spacing w:val="4"/>
        </w:rPr>
        <w:t>。肥胖症病人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4"/>
        </w:rPr>
        <w:t xml:space="preserve"> 的患病率报道不一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4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最新的流行病学调查结果显示，我国肥胖人群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0"/>
        </w:rPr>
        <w:t>患病</w:t>
      </w:r>
    </w:p>
    <w:p>
      <w:pPr>
        <w:spacing w:line="229" w:lineRule="auto"/>
        <w:sectPr>
          <w:type w:val="continuous"/>
          <w:pgSz w:w="12246" w:h="17179"/>
          <w:pgMar w:top="0" w:right="0" w:bottom="0" w:left="0" w:header="0" w:footer="0" w:gutter="0"/>
          <w:cols w:equalWidth="0" w:num="2">
            <w:col w:w="6209" w:space="100"/>
            <w:col w:w="5938" w:space="0"/>
          </w:cols>
        </w:sectPr>
        <w:rPr/>
      </w:pPr>
    </w:p>
    <w:p>
      <w:pPr>
        <w:spacing w:before="13"/>
        <w:rPr/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-3139</wp:posOffset>
            </wp:positionV>
            <wp:extent cx="7775956" cy="63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59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2246" w:h="17179"/>
          <w:pgMar w:top="0" w:right="0" w:bottom="0" w:left="0" w:header="0" w:footer="0" w:gutter="0"/>
          <w:cols w:equalWidth="0" w:num="1">
            <w:col w:w="12246" w:space="0"/>
          </w:cols>
        </w:sectPr>
        <w:rPr/>
      </w:pPr>
    </w:p>
    <w:p>
      <w:pPr>
        <w:ind w:left="1466"/>
        <w:spacing w:before="36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中国实用外科杂志 2025年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2月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45 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7"/>
        </w:rPr>
        <w:t>2期</w:t>
      </w:r>
    </w:p>
    <w:p>
      <w:pPr>
        <w:pStyle w:val="BodyText"/>
        <w:ind w:left="1458" w:right="194"/>
        <w:spacing w:before="232" w:line="237" w:lineRule="auto"/>
        <w:jc w:val="both"/>
        <w:rPr/>
      </w:pPr>
      <w:r>
        <w:rPr>
          <w:color w:val="231F20"/>
        </w:rPr>
        <w:t>率为 14.8%</w:t>
      </w:r>
      <w:r>
        <w:rPr>
          <w:sz w:val="9"/>
          <w:szCs w:val="9"/>
          <w:color w:val="231F20"/>
          <w:position w:val="7"/>
        </w:rPr>
        <w:t>［11］</w:t>
      </w:r>
      <w:r>
        <w:rPr>
          <w:color w:val="231F20"/>
        </w:rPr>
        <w:t>。根据《大中华减重与代谢手术数据库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2023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年度报告》，接受减重代谢手术的女性肥胖症病人中</w:t>
      </w:r>
      <w:r>
        <w:rPr>
          <w:color w:val="231F20"/>
        </w:rPr>
        <w:t>PCOS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占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4"/>
        </w:rPr>
        <w:t>18.5%（1039/5628</w:t>
      </w:r>
      <w:r>
        <w:rPr>
          <w:color w:val="231F20"/>
          <w:spacing w:val="-24"/>
          <w:w w:val="82"/>
        </w:rPr>
        <w:t>）</w:t>
      </w:r>
      <w:r>
        <w:rPr>
          <w:sz w:val="9"/>
          <w:szCs w:val="9"/>
          <w:color w:val="231F20"/>
          <w:spacing w:val="-5"/>
          <w:w w:val="30"/>
          <w:position w:val="7"/>
        </w:rPr>
        <w:t>［</w:t>
      </w:r>
      <w:r>
        <w:rPr>
          <w:sz w:val="9"/>
          <w:szCs w:val="9"/>
          <w:color w:val="231F20"/>
          <w:spacing w:val="4"/>
          <w:position w:val="7"/>
        </w:rPr>
        <w:t>14］</w:t>
      </w:r>
      <w:r>
        <w:rPr>
          <w:color w:val="231F20"/>
          <w:spacing w:val="4"/>
        </w:rPr>
        <w:t>。《山东省减重与代谢手术病例注</w:t>
      </w:r>
      <w:r>
        <w:rPr>
          <w:color w:val="231F20"/>
        </w:rPr>
        <w:t xml:space="preserve"> </w:t>
      </w:r>
      <w:r>
        <w:rPr>
          <w:color w:val="231F20"/>
        </w:rPr>
        <w:t>册系统报告(2021)》结果显示，接受减重代谢手术的 18~42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2"/>
        </w:rPr>
        <w:t>岁女性病人中 33.3%（272/816）合并 PCOS</w:t>
      </w:r>
      <w:r>
        <w:rPr>
          <w:sz w:val="9"/>
          <w:szCs w:val="9"/>
          <w:color w:val="231F20"/>
          <w:spacing w:val="-2"/>
          <w:position w:val="7"/>
        </w:rPr>
        <w:t>［15］</w:t>
      </w:r>
      <w:r>
        <w:rPr>
          <w:color w:val="231F20"/>
          <w:spacing w:val="-2"/>
        </w:rPr>
        <w:t>。肥胖促进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发生的机制包括引起胰岛素抵抗和高胰岛素血症、增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加脂肪中雄激素产生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、抑制肝脏性激素结合球蛋白（</w:t>
      </w:r>
      <w:r>
        <w:rPr>
          <w:color w:val="231F20"/>
        </w:rPr>
        <w:t>sex </w:t>
      </w:r>
      <w:r>
        <w:rPr>
          <w:color w:val="231F20"/>
          <w:spacing w:val="-12"/>
        </w:rPr>
        <w:t>hormone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2"/>
        </w:rPr>
        <w:t>binding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2"/>
        </w:rPr>
        <w:t>globulin，SHBG）产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生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2"/>
        </w:rPr>
        <w:t>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增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加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12"/>
        </w:rPr>
        <w:t>游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离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2"/>
        </w:rPr>
        <w:t>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2"/>
        </w:rPr>
        <w:t>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2"/>
        </w:rPr>
        <w:t>水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平、下丘脑-垂体-卵巢轴功能失调等</w:t>
      </w:r>
      <w:r>
        <w:rPr>
          <w:sz w:val="9"/>
          <w:szCs w:val="9"/>
          <w:color w:val="231F20"/>
          <w:spacing w:val="1"/>
          <w:position w:val="7"/>
        </w:rPr>
        <w:t>［4］</w:t>
      </w:r>
      <w:r>
        <w:rPr>
          <w:color w:val="231F20"/>
          <w:spacing w:val="1"/>
        </w:rPr>
        <w:t>。</w:t>
      </w:r>
    </w:p>
    <w:p>
      <w:pPr>
        <w:pStyle w:val="BodyText"/>
        <w:ind w:left="1458" w:right="195" w:firstLine="374"/>
        <w:spacing w:before="1" w:line="244" w:lineRule="auto"/>
        <w:jc w:val="both"/>
        <w:rPr/>
      </w:pPr>
      <w:r>
        <w:rPr>
          <w:color w:val="231F20"/>
          <w:spacing w:val="3"/>
        </w:rPr>
        <w:t>推荐意见 1：</w:t>
      </w:r>
      <w:r>
        <w:rPr>
          <w:color w:val="231F20"/>
        </w:rPr>
        <w:t>PCOS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是肥胖症的常见合并症，接受减重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代谢手术的成人育龄期（18~49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1"/>
        </w:rPr>
        <w:t>岁）女性病人应进行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PCOS </w:t>
      </w:r>
      <w:r>
        <w:rPr>
          <w:color w:val="231F20"/>
          <w:spacing w:val="-14"/>
        </w:rPr>
        <w:t>评估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4"/>
        </w:rPr>
        <w:t>。投票同意率：87.8%（43/49）。</w:t>
      </w:r>
    </w:p>
    <w:p>
      <w:pPr>
        <w:pStyle w:val="BodyText"/>
        <w:ind w:left="1460"/>
        <w:spacing w:before="263" w:line="216" w:lineRule="auto"/>
        <w:rPr/>
      </w:pPr>
      <w:r>
        <w:rPr>
          <w:rFonts w:ascii="SimSun" w:hAnsi="SimSun" w:eastAsia="SimSun" w:cs="SimSun"/>
          <w:color w:val="231F20"/>
          <w:spacing w:val="16"/>
        </w:rPr>
        <w:t>2</w:t>
      </w:r>
      <w:r>
        <w:rPr>
          <w:rFonts w:ascii="SimSun" w:hAnsi="SimSun" w:eastAsia="SimSun" w:cs="SimSun"/>
          <w:color w:val="231F20"/>
          <w:spacing w:val="8"/>
        </w:rPr>
        <w:t xml:space="preserve">  </w:t>
      </w:r>
      <w:r>
        <w:rPr>
          <w:rFonts w:ascii="SimSun" w:hAnsi="SimSun" w:eastAsia="SimSun" w:cs="SimSun"/>
          <w:color w:val="231F20"/>
        </w:rPr>
        <w:t>PCOS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6"/>
        </w:rPr>
        <w:t>的诊断依据</w:t>
      </w:r>
    </w:p>
    <w:p>
      <w:pPr>
        <w:pStyle w:val="BodyText"/>
        <w:ind w:left="1460" w:right="140" w:firstLine="363"/>
        <w:spacing w:before="25" w:line="237" w:lineRule="auto"/>
        <w:jc w:val="both"/>
        <w:rPr/>
      </w:pPr>
      <w:r>
        <w:rPr>
          <w:color w:val="231F20"/>
          <w:spacing w:val="-1"/>
        </w:rPr>
        <w:t>综合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2018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年版《多囊卵巢综合征中国诊疗指</w:t>
      </w:r>
      <w:r>
        <w:rPr>
          <w:color w:val="231F20"/>
          <w:spacing w:val="-2"/>
        </w:rPr>
        <w:t>南》</w:t>
      </w:r>
      <w:r>
        <w:rPr>
          <w:sz w:val="9"/>
          <w:szCs w:val="9"/>
          <w:color w:val="231F20"/>
          <w:spacing w:val="-2"/>
          <w:position w:val="7"/>
        </w:rPr>
        <w:t>［16］</w:t>
      </w:r>
      <w:r>
        <w:rPr>
          <w:color w:val="231F20"/>
          <w:spacing w:val="-2"/>
        </w:rPr>
        <w:t>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2023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年版《多囊卵巢综合征评估和管理国际循证指南》</w:t>
      </w:r>
      <w:r>
        <w:rPr>
          <w:sz w:val="9"/>
          <w:szCs w:val="9"/>
          <w:color w:val="231F20"/>
          <w:spacing w:val="1"/>
          <w:position w:val="7"/>
        </w:rPr>
        <w:t>［8</w:t>
      </w:r>
      <w:r>
        <w:rPr>
          <w:sz w:val="9"/>
          <w:szCs w:val="9"/>
          <w:color w:val="231F20"/>
          <w:spacing w:val="-3"/>
          <w:position w:val="7"/>
        </w:rPr>
        <w:t>］</w:t>
      </w:r>
      <w:r>
        <w:rPr>
          <w:color w:val="231F20"/>
          <w:spacing w:val="-47"/>
          <w:w w:val="93"/>
        </w:rPr>
        <w:t>，</w:t>
      </w:r>
      <w:r>
        <w:rPr>
          <w:color w:val="231F20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3"/>
        </w:rPr>
        <w:t xml:space="preserve"> 的诊断主要依据月经不规律和排卵功能障碍、高雄激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素的临床和（或）生化表现、卵巢多囊样变（po</w:t>
      </w:r>
      <w:r>
        <w:rPr>
          <w:color w:val="231F20"/>
          <w:spacing w:val="-7"/>
        </w:rPr>
        <w:t>lycystic ovari-</w:t>
      </w:r>
      <w:r>
        <w:rPr>
          <w:color w:val="231F20"/>
        </w:rPr>
        <w:t xml:space="preserve">  </w:t>
      </w:r>
      <w:r>
        <w:rPr>
          <w:color w:val="231F20"/>
          <w:spacing w:val="-15"/>
        </w:rPr>
        <w:t>an morphology，PCOM）三方面，具体描述如下。</w:t>
      </w:r>
    </w:p>
    <w:p>
      <w:pPr>
        <w:pStyle w:val="BodyText"/>
        <w:ind w:left="1460" w:right="137"/>
        <w:spacing w:before="3" w:line="231" w:lineRule="auto"/>
        <w:rPr/>
      </w:pPr>
      <w:r>
        <w:rPr>
          <w:color w:val="231F20"/>
          <w:spacing w:val="10"/>
        </w:rPr>
        <w:t>2.1   月经不规律和排卵功能障碍    月经不规律和排卵功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0"/>
        </w:rPr>
        <w:t>能障碍定义为：月经初潮后1~3年内，月经周期&lt;21 d或&gt;45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1"/>
        </w:rPr>
        <w:t>d；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月经初潮后的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3"/>
        </w:rPr>
        <w:t>3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年至围绝经期，月经周期&lt;21 d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3"/>
        </w:rPr>
        <w:t>或&gt;35 d，或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者每年&lt;8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个月经周期；月经初潮 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2"/>
        </w:rPr>
        <w:t>年后，出现&gt;90 d 的任何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1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"/>
        </w:rPr>
        <w:t>个月经周期；15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岁前或者乳腺发育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"/>
        </w:rPr>
        <w:t>3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年后无月经来潮。</w:t>
      </w:r>
    </w:p>
    <w:p>
      <w:pPr>
        <w:pStyle w:val="BodyText"/>
        <w:ind w:left="1460" w:right="196"/>
        <w:spacing w:before="41" w:line="225" w:lineRule="auto"/>
        <w:rPr/>
      </w:pPr>
      <w:r>
        <w:rPr>
          <w:color w:val="231F20"/>
          <w:spacing w:val="4"/>
        </w:rPr>
        <w:t>2.2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4"/>
        </w:rPr>
        <w:t>高雄激素的临床和（或）生化表现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4"/>
        </w:rPr>
        <w:t>高雄激素的临床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表现包括成人的痤疮、女性型脱发和多毛症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。高雄激素的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生化表现包括总睾酮和（或）游离睾酮水平升高，但需要排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8"/>
        </w:rPr>
        <w:t>除其他可能导致高雄激素的疾病。</w:t>
      </w:r>
    </w:p>
    <w:p>
      <w:pPr>
        <w:pStyle w:val="BodyText"/>
        <w:ind w:left="1459" w:right="196" w:firstLine="1"/>
        <w:spacing w:before="61" w:line="227" w:lineRule="auto"/>
        <w:rPr/>
      </w:pPr>
      <w:r>
        <w:rPr>
          <w:color w:val="231F20"/>
          <w:spacing w:val="5"/>
        </w:rPr>
        <w:t>2.3   </w:t>
      </w:r>
      <w:r>
        <w:rPr>
          <w:color w:val="231F20"/>
        </w:rPr>
        <w:t>PCOM</w:t>
      </w:r>
      <w:r>
        <w:rPr>
          <w:color w:val="231F20"/>
          <w:spacing w:val="5"/>
        </w:rPr>
        <w:t xml:space="preserve">    成人卵泡监测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B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超显示一</w:t>
      </w:r>
      <w:r>
        <w:rPr>
          <w:color w:val="231F20"/>
          <w:spacing w:val="4"/>
        </w:rPr>
        <w:t>侧或双侧卵巢内直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径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0"/>
        </w:rPr>
        <w:t>2~9 mm 的卵泡数≥12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0"/>
        </w:rPr>
        <w:t>个，和（或）卵巢体积≥10 mL（卵巢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体积按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5"/>
        </w:rPr>
        <w:t>0.5×长径×横径×前后径计算）。</w:t>
      </w:r>
    </w:p>
    <w:p>
      <w:pPr>
        <w:pStyle w:val="BodyText"/>
        <w:ind w:left="1462" w:right="196" w:firstLine="368"/>
        <w:spacing w:before="30" w:line="250" w:lineRule="auto"/>
        <w:rPr/>
      </w:pPr>
      <w:r>
        <w:rPr>
          <w:color w:val="231F20"/>
          <w:spacing w:val="1"/>
        </w:rPr>
        <w:t>推荐意见 2：对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1"/>
        </w:rPr>
        <w:t xml:space="preserve"> 的评估应包括月经情况、高雄激</w:t>
      </w:r>
      <w:r>
        <w:rPr>
          <w:color w:val="231F20"/>
        </w:rPr>
        <w:t xml:space="preserve"> </w:t>
      </w:r>
      <w:r>
        <w:rPr>
          <w:color w:val="231F20"/>
          <w:spacing w:val="-11"/>
        </w:rPr>
        <w:t>素血症表现及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11"/>
        </w:rPr>
        <w:t>PCOM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11"/>
        </w:rPr>
        <w:t>。投票同意率：98.0%（48/49）。</w:t>
      </w:r>
    </w:p>
    <w:p>
      <w:pPr>
        <w:pStyle w:val="BodyText"/>
        <w:ind w:left="1463"/>
        <w:spacing w:before="258" w:line="216" w:lineRule="auto"/>
        <w:rPr/>
      </w:pPr>
      <w:r>
        <w:rPr>
          <w:rFonts w:ascii="SimSun" w:hAnsi="SimSun" w:eastAsia="SimSun" w:cs="SimSun"/>
          <w:color w:val="231F20"/>
          <w:spacing w:val="24"/>
        </w:rPr>
        <w:t>3</w:t>
      </w:r>
      <w:r>
        <w:rPr>
          <w:rFonts w:ascii="SimSun" w:hAnsi="SimSun" w:eastAsia="SimSun" w:cs="SimSun"/>
          <w:color w:val="231F20"/>
          <w:spacing w:val="7"/>
        </w:rPr>
        <w:t xml:space="preserve">  </w:t>
      </w:r>
      <w:r>
        <w:rPr>
          <w:rFonts w:ascii="SimSun" w:hAnsi="SimSun" w:eastAsia="SimSun" w:cs="SimSun"/>
          <w:color w:val="231F20"/>
        </w:rPr>
        <w:t>PCOM</w:t>
      </w:r>
      <w:r>
        <w:rPr>
          <w:rFonts w:ascii="SimSun" w:hAnsi="SimSun" w:eastAsia="SimSun" w:cs="SimSun"/>
          <w:color w:val="231F20"/>
          <w:spacing w:val="-43"/>
        </w:rPr>
        <w:t xml:space="preserve"> </w:t>
      </w:r>
      <w:r>
        <w:rPr>
          <w:color w:val="231F20"/>
          <w:spacing w:val="24"/>
        </w:rPr>
        <w:t>的诊断标准</w:t>
      </w:r>
    </w:p>
    <w:p>
      <w:pPr>
        <w:pStyle w:val="BodyText"/>
        <w:ind w:left="1459" w:right="196" w:firstLine="362"/>
        <w:spacing w:before="26" w:line="237" w:lineRule="auto"/>
        <w:jc w:val="both"/>
        <w:rPr/>
      </w:pPr>
      <w:r>
        <w:rPr>
          <w:color w:val="231F20"/>
          <w:spacing w:val="-3"/>
        </w:rPr>
        <w:t>根据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3"/>
        </w:rPr>
        <w:t>2018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年版《多囊卵巢综合征中国诊疗指南》</w:t>
      </w:r>
      <w:r>
        <w:rPr>
          <w:sz w:val="9"/>
          <w:szCs w:val="9"/>
          <w:color w:val="231F20"/>
          <w:spacing w:val="-3"/>
          <w:position w:val="7"/>
        </w:rPr>
        <w:t>［16</w:t>
      </w:r>
      <w:r>
        <w:rPr>
          <w:sz w:val="9"/>
          <w:szCs w:val="9"/>
          <w:color w:val="231F20"/>
          <w:spacing w:val="-7"/>
          <w:position w:val="7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-3"/>
        </w:rPr>
        <w:t>具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备月经稀发或闭经或不规则子宫出血的必需条件，另外再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符合下列两项中的一项，即可诊断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PCOS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。包括</w:t>
      </w:r>
      <w:r>
        <w:rPr>
          <w:color w:val="231F20"/>
          <w:spacing w:val="-31"/>
          <w:w w:val="67"/>
        </w:rPr>
        <w:t>：（</w:t>
      </w:r>
      <w:r>
        <w:rPr>
          <w:color w:val="231F20"/>
          <w:spacing w:val="-1"/>
        </w:rPr>
        <w:t>1）高雄激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素的临床和（或）生化表现。（2）超声下表现为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9"/>
        </w:rPr>
        <w:t>PCOM，并排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除可引起排卵障碍或高雄激素的其他已知疾病，如肾上腺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3"/>
        </w:rPr>
        <w:t>肿瘤、肾上腺皮质增生、库欣综合征、卵巢肿瘤等。</w:t>
      </w:r>
    </w:p>
    <w:p>
      <w:pPr>
        <w:pStyle w:val="BodyText"/>
        <w:ind w:left="1461" w:right="196" w:firstLine="364"/>
        <w:spacing w:before="1" w:line="245" w:lineRule="auto"/>
        <w:rPr/>
      </w:pPr>
      <w:r>
        <w:rPr>
          <w:color w:val="231F20"/>
          <w:spacing w:val="-2"/>
        </w:rPr>
        <w:t>推荐意见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2"/>
        </w:rPr>
        <w:t>3：根据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2018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2"/>
        </w:rPr>
        <w:t>年版《多囊卵巢综合征中国诊疗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指南》诊断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4"/>
        </w:rPr>
        <w:t>PCOS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4"/>
        </w:rPr>
        <w:t>。投票同意率：100</w:t>
      </w:r>
      <w:r>
        <w:rPr>
          <w:color w:val="231F20"/>
          <w:spacing w:val="-15"/>
        </w:rPr>
        <w:t>%（49/49）。</w:t>
      </w:r>
    </w:p>
    <w:p>
      <w:pPr>
        <w:pStyle w:val="BodyText"/>
        <w:ind w:left="1458"/>
        <w:spacing w:before="269" w:line="216" w:lineRule="auto"/>
        <w:rPr/>
      </w:pPr>
      <w:r>
        <w:rPr>
          <w:rFonts w:ascii="SimSun" w:hAnsi="SimSun" w:eastAsia="SimSun" w:cs="SimSun"/>
          <w:color w:val="231F20"/>
          <w:spacing w:val="11"/>
        </w:rPr>
        <w:t>4  </w:t>
      </w:r>
      <w:r>
        <w:rPr>
          <w:color w:val="231F20"/>
          <w:spacing w:val="11"/>
        </w:rPr>
        <w:t>减重代谢手术治疗肥胖症合并</w:t>
      </w:r>
      <w:r>
        <w:rPr>
          <w:color w:val="231F20"/>
          <w:spacing w:val="-16"/>
        </w:rPr>
        <w:t xml:space="preserve"> </w:t>
      </w:r>
      <w:r>
        <w:rPr>
          <w:rFonts w:ascii="SimSun" w:hAnsi="SimSun" w:eastAsia="SimSun" w:cs="SimSun"/>
          <w:color w:val="231F20"/>
        </w:rPr>
        <w:t>PCOS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11"/>
        </w:rPr>
        <w:t>的围手术期管理</w:t>
      </w:r>
    </w:p>
    <w:p>
      <w:pPr>
        <w:pStyle w:val="BodyText"/>
        <w:ind w:left="1458"/>
        <w:spacing w:before="31" w:line="203" w:lineRule="auto"/>
        <w:rPr/>
      </w:pPr>
      <w:r>
        <w:rPr>
          <w:color w:val="231F20"/>
          <w:spacing w:val="4"/>
        </w:rPr>
        <w:t>4.1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4"/>
        </w:rPr>
        <w:t>术前评估与处理</w:t>
      </w:r>
    </w:p>
    <w:p>
      <w:pPr>
        <w:pStyle w:val="BodyText"/>
        <w:ind w:left="1458" w:right="196"/>
        <w:spacing w:before="42" w:line="202" w:lineRule="auto"/>
        <w:rPr/>
      </w:pPr>
      <w:r>
        <w:rPr>
          <w:color w:val="231F20"/>
          <w:spacing w:val="6"/>
        </w:rPr>
        <w:t>4.1.1</w:t>
      </w:r>
      <w:r>
        <w:rPr>
          <w:color w:val="231F20"/>
          <w:spacing w:val="2"/>
        </w:rPr>
        <w:t xml:space="preserve">    </w:t>
      </w:r>
      <w:r>
        <w:rPr>
          <w:color w:val="231F20"/>
          <w:spacing w:val="6"/>
        </w:rPr>
        <w:t>内分泌代谢评估   根据《中国肥胖及代谢病外科治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2"/>
        </w:rPr>
        <w:t>疗指南（2024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版）》对肥胖症合并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PCOS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2"/>
        </w:rPr>
        <w:t>病人进行减重代谢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69"/>
        <w:spacing w:before="34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1"/>
        </w:rPr>
        <w:t>157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</w:p>
    <w:p>
      <w:pPr>
        <w:pStyle w:val="BodyText"/>
        <w:ind w:left="69" w:right="1410" w:firstLine="2"/>
        <w:spacing w:before="202" w:line="237" w:lineRule="auto"/>
        <w:jc w:val="both"/>
        <w:rPr/>
      </w:pPr>
      <w:r>
        <w:rPr>
          <w:color w:val="231F20"/>
          <w:spacing w:val="6"/>
        </w:rPr>
        <w:t>手术术前常规内分泌代谢评估</w:t>
      </w:r>
      <w:r>
        <w:rPr>
          <w:sz w:val="9"/>
          <w:szCs w:val="9"/>
          <w:color w:val="231F20"/>
          <w:spacing w:val="6"/>
          <w:position w:val="7"/>
        </w:rPr>
        <w:t>［3］</w:t>
      </w:r>
      <w:r>
        <w:rPr>
          <w:color w:val="231F20"/>
          <w:spacing w:val="6"/>
        </w:rPr>
        <w:t>。可参考评估内容包括肥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2"/>
        </w:rPr>
        <w:t>胖相关体格检查、人体成分分析、营养评估、血脂分析、甲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状腺功能检测及糖尿病、心血管疾病、代谢功能障碍相关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9"/>
        </w:rPr>
        <w:t>脂肪性肝病等疾病的患病情况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。因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与糖代谢异常关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系更为密切，推荐进行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75g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8"/>
        </w:rPr>
        <w:t>葡萄糖口服糖耐</w:t>
      </w:r>
      <w:r>
        <w:rPr>
          <w:color w:val="231F20"/>
          <w:spacing w:val="7"/>
        </w:rPr>
        <w:t>量试验以准确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评估病人的血糖稳态、胰岛素抵抗和循环胰岛素水平等</w:t>
      </w:r>
      <w:r>
        <w:rPr>
          <w:sz w:val="9"/>
          <w:szCs w:val="9"/>
          <w:color w:val="231F20"/>
          <w:spacing w:val="1"/>
          <w:position w:val="7"/>
        </w:rPr>
        <w:t>［8］</w:t>
      </w:r>
      <w:r>
        <w:rPr>
          <w:color w:val="231F20"/>
          <w:spacing w:val="1"/>
        </w:rPr>
        <w:t>。</w:t>
      </w:r>
    </w:p>
    <w:p>
      <w:pPr>
        <w:pStyle w:val="BodyText"/>
        <w:ind w:right="1441" w:firstLine="438"/>
        <w:spacing w:line="237" w:lineRule="auto"/>
        <w:jc w:val="both"/>
        <w:rPr/>
      </w:pPr>
      <w:r>
        <w:rPr>
          <w:color w:val="231F20"/>
          <w:spacing w:val="3"/>
        </w:rPr>
        <w:t>推荐意见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4：参照《中国肥胖及代谢疾病外科治疗指南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（2024 版）》进行术前常规代谢评估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。投票</w:t>
      </w:r>
      <w:r>
        <w:rPr>
          <w:color w:val="231F20"/>
          <w:spacing w:val="1"/>
        </w:rPr>
        <w:t>同意率：100%</w:t>
      </w:r>
      <w:r>
        <w:rPr>
          <w:color w:val="231F20"/>
        </w:rPr>
        <w:t xml:space="preserve"> </w:t>
      </w:r>
      <w:r>
        <w:rPr>
          <w:color w:val="231F20"/>
          <w:spacing w:val="-13"/>
          <w:w w:val="93"/>
        </w:rPr>
        <w:t>（49/49）。</w:t>
      </w:r>
    </w:p>
    <w:p>
      <w:pPr>
        <w:pStyle w:val="BodyText"/>
        <w:ind w:left="68" w:right="1441" w:firstLine="375"/>
        <w:spacing w:line="239" w:lineRule="auto"/>
        <w:rPr/>
      </w:pPr>
      <w:r>
        <w:rPr>
          <w:color w:val="231F20"/>
          <w:spacing w:val="5"/>
        </w:rPr>
        <w:t>推荐意见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5"/>
        </w:rPr>
        <w:t>5：采用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75 g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葡萄糖口服糖耐量试验准确评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估病人糖代谢情况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8"/>
        </w:rPr>
        <w:t>。投票同意率：87.8%（</w:t>
      </w:r>
      <w:r>
        <w:rPr>
          <w:color w:val="231F20"/>
          <w:spacing w:val="-9"/>
        </w:rPr>
        <w:t>43/49）。</w:t>
      </w:r>
    </w:p>
    <w:p>
      <w:pPr>
        <w:pStyle w:val="BodyText"/>
        <w:ind w:left="68" w:right="1372"/>
        <w:spacing w:before="16" w:line="236" w:lineRule="auto"/>
        <w:jc w:val="both"/>
        <w:rPr/>
      </w:pPr>
      <w:r>
        <w:rPr>
          <w:color w:val="231F20"/>
          <w:spacing w:val="5"/>
        </w:rPr>
        <w:t>4.1.2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5"/>
        </w:rPr>
        <w:t>生殖评估</w:t>
      </w:r>
      <w:r>
        <w:rPr>
          <w:color w:val="231F20"/>
          <w:spacing w:val="49"/>
          <w:w w:val="101"/>
        </w:rPr>
        <w:t xml:space="preserve"> </w:t>
      </w:r>
      <w:r>
        <w:rPr>
          <w:color w:val="231F20"/>
          <w:spacing w:val="5"/>
        </w:rPr>
        <w:t>（1）妇科病史采集与检查：采集详细的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月经史，包含初次月经时间、正常及异常月经时间与时长、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末次月经时间、经量以及既往诊断与治疗病史。（2</w:t>
      </w:r>
      <w:r>
        <w:rPr>
          <w:color w:val="231F20"/>
          <w:spacing w:val="-2"/>
        </w:rPr>
        <w:t>）高雄激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素血症临床表现：采用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-2"/>
        </w:rPr>
        <w:t>Ferriman-Gallwey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2"/>
        </w:rPr>
        <w:t>改良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9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部位评分系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统进行多毛症评估</w:t>
      </w:r>
      <w:r>
        <w:rPr>
          <w:sz w:val="9"/>
          <w:szCs w:val="9"/>
          <w:color w:val="231F20"/>
          <w:spacing w:val="1"/>
          <w:position w:val="7"/>
        </w:rPr>
        <w:t>［17</w:t>
      </w:r>
      <w:r>
        <w:rPr>
          <w:sz w:val="9"/>
          <w:szCs w:val="9"/>
          <w:color w:val="231F20"/>
          <w:spacing w:val="13"/>
          <w:position w:val="7"/>
        </w:rPr>
        <w:t>］</w:t>
      </w:r>
      <w:r>
        <w:rPr>
          <w:color w:val="231F20"/>
          <w:spacing w:val="-31"/>
          <w:w w:val="61"/>
        </w:rPr>
        <w:t>；</w:t>
      </w:r>
      <w:r>
        <w:rPr>
          <w:color w:val="231F20"/>
          <w:spacing w:val="1"/>
        </w:rPr>
        <w:t>推荐采用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Ludwig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或者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Olsen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"/>
        </w:rPr>
        <w:t>分级诊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断标准进行女性脱发评估</w:t>
      </w:r>
      <w:r>
        <w:rPr>
          <w:sz w:val="9"/>
          <w:szCs w:val="9"/>
          <w:color w:val="231F20"/>
          <w:spacing w:val="11"/>
          <w:position w:val="7"/>
        </w:rPr>
        <w:t>［8</w:t>
      </w:r>
      <w:r>
        <w:rPr>
          <w:sz w:val="9"/>
          <w:szCs w:val="9"/>
          <w:color w:val="231F20"/>
          <w:spacing w:val="4"/>
          <w:position w:val="7"/>
        </w:rPr>
        <w:t>］</w:t>
      </w:r>
      <w:r>
        <w:rPr>
          <w:color w:val="231F20"/>
          <w:spacing w:val="-29"/>
          <w:w w:val="56"/>
        </w:rPr>
        <w:t>；</w:t>
      </w:r>
      <w:r>
        <w:rPr>
          <w:color w:val="231F20"/>
          <w:spacing w:val="11"/>
        </w:rPr>
        <w:t>对于痤疮目前尚无广泛接受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的评估标准，可考虑</w:t>
      </w:r>
      <w:r>
        <w:rPr>
          <w:color w:val="231F20"/>
        </w:rPr>
        <w:t xml:space="preserve"> Pillsbury</w:t>
      </w:r>
      <w:r>
        <w:rPr>
          <w:color w:val="231F20"/>
          <w:spacing w:val="6"/>
        </w:rPr>
        <w:t xml:space="preserve"> 四级改良分级系统进行痤疮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评分</w:t>
      </w:r>
      <w:r>
        <w:rPr>
          <w:sz w:val="9"/>
          <w:szCs w:val="9"/>
          <w:color w:val="231F20"/>
          <w:spacing w:val="-8"/>
          <w:position w:val="7"/>
        </w:rPr>
        <w:t>［18］</w:t>
      </w:r>
      <w:r>
        <w:rPr>
          <w:color w:val="231F20"/>
          <w:spacing w:val="-8"/>
        </w:rPr>
        <w:t>。（3）血液学检查：需完善血清性激素六项、SHBG，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3"/>
        </w:rPr>
        <w:t>并计算游离睾酮指数［游离睾酮指数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=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总睾酮（</w:t>
      </w:r>
      <w:r>
        <w:rPr>
          <w:color w:val="231F20"/>
        </w:rPr>
        <w:t>nmol</w:t>
      </w:r>
      <w:r>
        <w:rPr>
          <w:color w:val="231F20"/>
          <w:spacing w:val="3"/>
        </w:rPr>
        <w:t>/L）/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SHBG（nmol/L）×100］。 育龄期女性需完善血清人绒毛膜促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13"/>
        </w:rPr>
        <w:t>性腺激素（beta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  <w:spacing w:val="-13"/>
        </w:rPr>
        <w:t>human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3"/>
        </w:rPr>
        <w:t>chorionic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3"/>
        </w:rPr>
        <w:t>gonadotropin，β-hCG）排除</w:t>
      </w:r>
      <w:r>
        <w:rPr>
          <w:color w:val="231F20"/>
        </w:rPr>
        <w:t xml:space="preserve">  </w:t>
      </w:r>
      <w:r>
        <w:rPr>
          <w:color w:val="231F20"/>
          <w:spacing w:val="-6"/>
        </w:rPr>
        <w:t>妊娠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6"/>
        </w:rPr>
        <w:t>。血清抗苗勒管激素（anti-müllerian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hormone，AMH）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是成人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6"/>
        </w:rPr>
        <w:t>PCOM 的辅助诊断标准，建议完善</w:t>
      </w:r>
      <w:r>
        <w:rPr>
          <w:sz w:val="9"/>
          <w:szCs w:val="9"/>
          <w:color w:val="231F20"/>
          <w:spacing w:val="-6"/>
          <w:position w:val="7"/>
        </w:rPr>
        <w:t>［8］</w:t>
      </w:r>
      <w:r>
        <w:rPr>
          <w:color w:val="231F20"/>
          <w:spacing w:val="-7"/>
        </w:rPr>
        <w:t>。（4）根据病人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婚育史和月经周期选择经阴、经肛、经腹妇科超声检查评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6"/>
        </w:rPr>
        <w:t>估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6"/>
        </w:rPr>
        <w:t>PCOM，经阴道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6"/>
        </w:rPr>
        <w:t>B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6"/>
        </w:rPr>
        <w:t>超为首选。</w:t>
      </w:r>
    </w:p>
    <w:p>
      <w:pPr>
        <w:pStyle w:val="BodyText"/>
        <w:ind w:left="72" w:right="1441" w:firstLine="366"/>
        <w:spacing w:before="1" w:line="237" w:lineRule="auto"/>
        <w:rPr/>
      </w:pPr>
      <w:r>
        <w:rPr>
          <w:color w:val="231F20"/>
          <w:spacing w:val="3"/>
        </w:rPr>
        <w:t>推荐意见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3"/>
        </w:rPr>
        <w:t>6：术前需进行准确的妇科病史采集，包括月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经周期史、经量及既往病史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。投票同意率：98.0%（48/49）。</w:t>
      </w:r>
    </w:p>
    <w:p>
      <w:pPr>
        <w:pStyle w:val="BodyText"/>
        <w:ind w:left="71" w:right="1441" w:firstLine="371"/>
        <w:spacing w:line="237" w:lineRule="auto"/>
        <w:rPr/>
      </w:pPr>
      <w:r>
        <w:rPr>
          <w:color w:val="231F20"/>
          <w:spacing w:val="3"/>
        </w:rPr>
        <w:t>推荐意见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3"/>
        </w:rPr>
        <w:t>7：术前需对多毛症、女性脱发、痤疮</w:t>
      </w:r>
      <w:r>
        <w:rPr>
          <w:color w:val="231F20"/>
          <w:spacing w:val="2"/>
        </w:rPr>
        <w:t>等高雄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激素血症临床表现进行评估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6"/>
        </w:rPr>
        <w:t>。投票同意率：</w:t>
      </w:r>
      <w:r>
        <w:rPr>
          <w:color w:val="231F20"/>
          <w:spacing w:val="-7"/>
        </w:rPr>
        <w:t>100%（49/49）。</w:t>
      </w:r>
    </w:p>
    <w:p>
      <w:pPr>
        <w:pStyle w:val="BodyText"/>
        <w:ind w:left="70" w:right="1441" w:firstLine="366"/>
        <w:spacing w:before="1" w:line="237" w:lineRule="auto"/>
        <w:rPr/>
      </w:pPr>
      <w:r>
        <w:rPr>
          <w:color w:val="231F20"/>
          <w:spacing w:val="-6"/>
        </w:rPr>
        <w:t>推荐意见 8：完善血清性激素六项、SHBG、AMH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水平检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测，并计算游离睾酮水平 。投票同意率：89.8%（44/49）。</w:t>
      </w:r>
    </w:p>
    <w:p>
      <w:pPr>
        <w:pStyle w:val="BodyText"/>
        <w:ind w:left="71" w:right="1441" w:firstLine="380"/>
        <w:spacing w:before="2" w:line="238" w:lineRule="auto"/>
        <w:jc w:val="both"/>
        <w:rPr/>
      </w:pPr>
      <w:r>
        <w:rPr>
          <w:color w:val="231F20"/>
          <w:spacing w:val="13"/>
        </w:rPr>
        <w:t>推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3"/>
        </w:rPr>
        <w:t>荐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3"/>
        </w:rPr>
        <w:t>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见 9：术前需完善经阴道卵泡监测超声评估</w:t>
      </w:r>
      <w:r>
        <w:rPr>
          <w:color w:val="231F20"/>
        </w:rPr>
        <w:t xml:space="preserve"> </w:t>
      </w:r>
      <w:r>
        <w:rPr>
          <w:color w:val="231F20"/>
        </w:rPr>
        <w:t>PCOM</w:t>
      </w:r>
      <w:r>
        <w:rPr>
          <w:color w:val="231F20"/>
          <w:spacing w:val="10"/>
        </w:rPr>
        <w:t>，对于未婚女性或处于月经周期者可选择经直肠或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1"/>
        </w:rPr>
        <w:t>经腹部超声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1"/>
        </w:rPr>
        <w:t>。投票同意率：85.7%（42/49）。</w:t>
      </w:r>
    </w:p>
    <w:p>
      <w:pPr>
        <w:pStyle w:val="BodyText"/>
        <w:ind w:left="69" w:right="1372"/>
        <w:spacing w:line="236" w:lineRule="auto"/>
        <w:jc w:val="both"/>
        <w:rPr/>
      </w:pPr>
      <w:r>
        <w:rPr>
          <w:color w:val="231F20"/>
          <w:spacing w:val="11"/>
        </w:rPr>
        <w:t>4.1.3</w:t>
      </w:r>
      <w:r>
        <w:rPr>
          <w:color w:val="231F20"/>
          <w:spacing w:val="20"/>
          <w:w w:val="101"/>
        </w:rPr>
        <w:t xml:space="preserve">   </w:t>
      </w:r>
      <w:r>
        <w:rPr>
          <w:color w:val="231F20"/>
          <w:spacing w:val="11"/>
        </w:rPr>
        <w:t>心理评估</w:t>
      </w:r>
      <w:r>
        <w:rPr>
          <w:color w:val="231F20"/>
        </w:rPr>
        <w:t xml:space="preserve">    </w:t>
      </w:r>
      <w:r>
        <w:rPr>
          <w:color w:val="231F20"/>
          <w:spacing w:val="11"/>
        </w:rPr>
        <w:t>心理异常是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11"/>
        </w:rPr>
        <w:t xml:space="preserve"> 的主要临床表现之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一，术前应重点进行多学科评估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8"/>
        </w:rPr>
        <w:t>。病人术前心理学评估应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包括焦虑、抑郁、生活质量、饮食障碍等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"/>
        </w:rPr>
        <w:t>。常用的心理评估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量表包括焦虑自评量表（self-rating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5"/>
        </w:rPr>
        <w:t>anx</w:t>
      </w:r>
      <w:r>
        <w:rPr>
          <w:color w:val="231F20"/>
          <w:spacing w:val="-6"/>
        </w:rPr>
        <w:t>iety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6"/>
        </w:rPr>
        <w:t>scale，SAS</w:t>
      </w:r>
      <w:r>
        <w:rPr>
          <w:color w:val="231F20"/>
          <w:spacing w:val="-22"/>
          <w:w w:val="74"/>
        </w:rPr>
        <w:t>）</w:t>
      </w:r>
      <w:r>
        <w:rPr>
          <w:sz w:val="9"/>
          <w:szCs w:val="9"/>
          <w:color w:val="231F20"/>
          <w:spacing w:val="-5"/>
          <w:w w:val="28"/>
          <w:position w:val="7"/>
        </w:rPr>
        <w:t>［</w:t>
      </w:r>
      <w:r>
        <w:rPr>
          <w:sz w:val="9"/>
          <w:szCs w:val="9"/>
          <w:color w:val="231F20"/>
          <w:spacing w:val="-6"/>
          <w:position w:val="7"/>
        </w:rPr>
        <w:t>19］</w:t>
      </w:r>
      <w:r>
        <w:rPr>
          <w:color w:val="231F20"/>
          <w:spacing w:val="-6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抑郁自评量表（self-rating depre</w:t>
      </w:r>
      <w:r>
        <w:rPr>
          <w:color w:val="231F20"/>
          <w:spacing w:val="-10"/>
        </w:rPr>
        <w:t>ssion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0"/>
        </w:rPr>
        <w:t>scale，SDS</w:t>
      </w:r>
      <w:r>
        <w:rPr>
          <w:color w:val="231F20"/>
          <w:spacing w:val="-22"/>
          <w:w w:val="73"/>
        </w:rPr>
        <w:t>）</w:t>
      </w:r>
      <w:r>
        <w:rPr>
          <w:sz w:val="9"/>
          <w:szCs w:val="9"/>
          <w:color w:val="231F20"/>
          <w:spacing w:val="-5"/>
          <w:w w:val="29"/>
          <w:position w:val="7"/>
        </w:rPr>
        <w:t>［</w:t>
      </w:r>
      <w:r>
        <w:rPr>
          <w:sz w:val="9"/>
          <w:szCs w:val="9"/>
          <w:color w:val="231F20"/>
          <w:spacing w:val="-6"/>
          <w:position w:val="7"/>
        </w:rPr>
        <w:t>20］</w:t>
      </w:r>
      <w:r>
        <w:rPr>
          <w:color w:val="231F20"/>
          <w:spacing w:val="-14"/>
        </w:rPr>
        <w:t>、三因素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1"/>
        </w:rPr>
        <w:t>食 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1"/>
        </w:rPr>
        <w:t>卷（the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1"/>
        </w:rPr>
        <w:t>three-factor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1"/>
        </w:rPr>
        <w:t>eating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1"/>
        </w:rPr>
        <w:t>questionnai</w:t>
      </w:r>
      <w:r>
        <w:rPr>
          <w:color w:val="231F20"/>
          <w:spacing w:val="-12"/>
        </w:rPr>
        <w:t>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2"/>
        </w:rPr>
        <w:t>revised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-12"/>
        </w:rPr>
        <w:t>21-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item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9"/>
        </w:rPr>
        <w:t>version，TFEQ-R21</w:t>
      </w:r>
      <w:r>
        <w:rPr>
          <w:color w:val="231F20"/>
          <w:spacing w:val="-23"/>
          <w:w w:val="78"/>
        </w:rPr>
        <w:t>）</w:t>
      </w:r>
      <w:r>
        <w:rPr>
          <w:sz w:val="9"/>
          <w:szCs w:val="9"/>
          <w:color w:val="231F20"/>
          <w:spacing w:val="-5"/>
          <w:w w:val="29"/>
          <w:position w:val="7"/>
        </w:rPr>
        <w:t>［</w:t>
      </w:r>
      <w:r>
        <w:rPr>
          <w:sz w:val="9"/>
          <w:szCs w:val="9"/>
          <w:color w:val="231F20"/>
          <w:position w:val="7"/>
        </w:rPr>
        <w:t>21］</w:t>
      </w:r>
      <w:r>
        <w:rPr>
          <w:color w:val="231F20"/>
          <w:spacing w:val="-14"/>
        </w:rPr>
        <w:t>、健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康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14"/>
        </w:rPr>
        <w:t>调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4"/>
        </w:rPr>
        <w:t>查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4"/>
        </w:rPr>
        <w:t>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4"/>
        </w:rPr>
        <w:t>表（the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14"/>
        </w:rPr>
        <w:t>MOS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4"/>
        </w:rPr>
        <w:t>36-</w:t>
      </w:r>
      <w:r>
        <w:rPr>
          <w:color w:val="231F20"/>
        </w:rPr>
        <w:t xml:space="preserve">  </w:t>
      </w:r>
      <w:r>
        <w:rPr>
          <w:color w:val="231F20"/>
          <w:spacing w:val="-14"/>
        </w:rPr>
        <w:t>item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4"/>
        </w:rPr>
        <w:t>short form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4"/>
        </w:rPr>
        <w:t>health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4"/>
        </w:rPr>
        <w:t>survey，SF-36</w:t>
      </w:r>
      <w:r>
        <w:rPr>
          <w:color w:val="231F20"/>
          <w:spacing w:val="-22"/>
          <w:w w:val="73"/>
        </w:rPr>
        <w:t>）</w:t>
      </w:r>
      <w:r>
        <w:rPr>
          <w:sz w:val="9"/>
          <w:szCs w:val="9"/>
          <w:color w:val="231F20"/>
          <w:spacing w:val="-6"/>
          <w:w w:val="31"/>
          <w:position w:val="7"/>
        </w:rPr>
        <w:t>［</w:t>
      </w:r>
      <w:r>
        <w:rPr>
          <w:sz w:val="9"/>
          <w:szCs w:val="9"/>
          <w:color w:val="231F20"/>
          <w:spacing w:val="-14"/>
          <w:position w:val="7"/>
        </w:rPr>
        <w:t>22］</w:t>
      </w:r>
      <w:r>
        <w:rPr>
          <w:color w:val="231F20"/>
          <w:spacing w:val="7"/>
        </w:rPr>
        <w:t>等，也可根据病人的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临床症状和实际需要选择针对性的评估方式。</w:t>
      </w:r>
    </w:p>
    <w:p>
      <w:pPr>
        <w:pStyle w:val="BodyText"/>
        <w:ind w:left="73" w:right="1441" w:firstLine="364"/>
        <w:spacing w:before="8" w:line="239" w:lineRule="auto"/>
        <w:rPr/>
      </w:pPr>
      <w:r>
        <w:rPr>
          <w:color w:val="231F20"/>
          <w:spacing w:val="4"/>
        </w:rPr>
        <w:t>推荐意见 10：术前需对病人进行心理学评估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4"/>
        </w:rPr>
        <w:t>。投票同</w:t>
      </w:r>
      <w:r>
        <w:rPr>
          <w:color w:val="231F20"/>
        </w:rPr>
        <w:t xml:space="preserve"> </w:t>
      </w:r>
      <w:r>
        <w:rPr>
          <w:color w:val="231F20"/>
          <w:spacing w:val="-16"/>
          <w:w w:val="96"/>
        </w:rPr>
        <w:t>意率：95.9%（47/49）。</w:t>
      </w:r>
    </w:p>
    <w:p>
      <w:pPr>
        <w:pStyle w:val="BodyText"/>
        <w:ind w:left="69" w:right="1385"/>
        <w:spacing w:before="1" w:line="202" w:lineRule="auto"/>
        <w:rPr/>
      </w:pPr>
      <w:r>
        <w:rPr>
          <w:color w:val="231F20"/>
          <w:spacing w:val="4"/>
        </w:rPr>
        <w:t>4.1.4</w:t>
      </w:r>
      <w:r>
        <w:rPr>
          <w:color w:val="231F20"/>
          <w:spacing w:val="17"/>
          <w:w w:val="101"/>
        </w:rPr>
        <w:t xml:space="preserve">   </w:t>
      </w:r>
      <w:r>
        <w:rPr>
          <w:color w:val="231F20"/>
          <w:spacing w:val="4"/>
        </w:rPr>
        <w:t>月经及用药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4"/>
        </w:rPr>
        <w:t>择期手术前 1~2 d 出现月经的病人，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5"/>
        </w:rPr>
        <w:t>应根据病人具体情况决定是否延期手术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因</w:t>
      </w:r>
      <w:r>
        <w:rPr>
          <w:color w:val="231F20"/>
          <w:spacing w:val="14"/>
        </w:rPr>
        <w:t>性激素类药</w:t>
      </w:r>
    </w:p>
    <w:p>
      <w:pPr>
        <w:spacing w:line="202" w:lineRule="auto"/>
        <w:sectPr>
          <w:type w:val="continuous"/>
          <w:pgSz w:w="12246" w:h="17179"/>
          <w:pgMar w:top="0" w:right="0" w:bottom="0" w:left="0" w:header="0" w:footer="0" w:gutter="0"/>
          <w:cols w:equalWidth="0" w:num="2">
            <w:col w:w="6145" w:space="100"/>
            <w:col w:w="6001" w:space="0"/>
          </w:cols>
        </w:sectPr>
        <w:rPr/>
      </w:pPr>
    </w:p>
    <w:p>
      <w:pPr>
        <w:spacing w:before="13"/>
        <w:rPr/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-3139</wp:posOffset>
            </wp:positionV>
            <wp:extent cx="7775956" cy="6350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59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2246" w:h="17179"/>
          <w:pgMar w:top="0" w:right="0" w:bottom="0" w:left="0" w:header="0" w:footer="0" w:gutter="0"/>
          <w:cols w:equalWidth="0" w:num="1">
            <w:col w:w="12246" w:space="0"/>
          </w:cols>
        </w:sectPr>
        <w:rPr/>
      </w:pPr>
    </w:p>
    <w:p>
      <w:pPr>
        <w:pStyle w:val="BodyText"/>
        <w:ind w:left="1472"/>
        <w:spacing w:before="35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1"/>
        </w:rPr>
        <w:t>158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</w:p>
    <w:p>
      <w:pPr>
        <w:pStyle w:val="BodyText"/>
        <w:ind w:left="1448" w:right="140" w:firstLine="4"/>
        <w:spacing w:before="209" w:line="236" w:lineRule="auto"/>
        <w:jc w:val="both"/>
        <w:rPr/>
      </w:pPr>
      <w:r>
        <w:rPr>
          <w:color w:val="231F20"/>
          <w:spacing w:val="9"/>
        </w:rPr>
        <w:t>物影响卵泡形态及术后减重效果的评估，增加术后静脉血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6"/>
        </w:rPr>
        <w:t>栓栓塞发生风险，建议术前停用性激素类药物≥1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个月</w:t>
      </w:r>
      <w:r>
        <w:rPr>
          <w:sz w:val="9"/>
          <w:szCs w:val="9"/>
          <w:color w:val="231F20"/>
          <w:spacing w:val="5"/>
          <w:position w:val="7"/>
        </w:rPr>
        <w:t>［16</w:t>
      </w:r>
      <w:r>
        <w:rPr>
          <w:sz w:val="9"/>
          <w:szCs w:val="9"/>
          <w:color w:val="231F20"/>
          <w:spacing w:val="-5"/>
          <w:position w:val="7"/>
        </w:rPr>
        <w:t>］</w:t>
      </w:r>
      <w:r>
        <w:rPr>
          <w:color w:val="231F20"/>
          <w:spacing w:val="-47"/>
          <w:w w:val="9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存在药物依赖的阴道不规则流血病人无需停药。</w:t>
      </w:r>
    </w:p>
    <w:p>
      <w:pPr>
        <w:pStyle w:val="BodyText"/>
        <w:ind w:left="1380" w:right="130" w:firstLine="69"/>
        <w:spacing w:before="9" w:line="236" w:lineRule="auto"/>
        <w:jc w:val="both"/>
        <w:rPr/>
      </w:pPr>
      <w:r>
        <w:rPr>
          <w:color w:val="231F20"/>
          <w:spacing w:val="6"/>
        </w:rPr>
        <w:t>4.1.5   手术适应证和禁忌证    根据《中</w:t>
      </w:r>
      <w:r>
        <w:rPr>
          <w:color w:val="231F20"/>
          <w:spacing w:val="5"/>
        </w:rPr>
        <w:t>国肥胖及代谢疾病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外科治疗指南(2024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版)》</w:t>
      </w:r>
      <w:r>
        <w:rPr>
          <w:sz w:val="9"/>
          <w:szCs w:val="9"/>
          <w:color w:val="231F20"/>
          <w:spacing w:val="5"/>
          <w:position w:val="7"/>
        </w:rPr>
        <w:t>［3</w:t>
      </w:r>
      <w:r>
        <w:rPr>
          <w:sz w:val="9"/>
          <w:szCs w:val="9"/>
          <w:color w:val="231F20"/>
          <w:spacing w:val="-1"/>
          <w:position w:val="7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5"/>
        </w:rPr>
        <w:t>结合国际肥胖和代谢病外科联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盟（International  Federation  for  the  Surgery</w:t>
      </w:r>
      <w:r>
        <w:rPr>
          <w:color w:val="231F20"/>
          <w:spacing w:val="47"/>
          <w:w w:val="101"/>
        </w:rPr>
        <w:t xml:space="preserve"> </w:t>
      </w:r>
      <w:r>
        <w:rPr>
          <w:color w:val="231F20"/>
          <w:spacing w:val="-10"/>
        </w:rPr>
        <w:t>of </w:t>
      </w:r>
      <w:r>
        <w:rPr>
          <w:color w:val="231F20"/>
          <w:spacing w:val="-11"/>
        </w:rPr>
        <w:t xml:space="preserve"> Obesity</w:t>
      </w:r>
      <w:r>
        <w:rPr>
          <w:color w:val="231F20"/>
          <w:spacing w:val="48"/>
        </w:rPr>
        <w:t xml:space="preserve"> </w:t>
      </w:r>
      <w:r>
        <w:rPr>
          <w:color w:val="231F20"/>
          <w:spacing w:val="-11"/>
        </w:rPr>
        <w:t>and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Metabolic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7"/>
        </w:rPr>
        <w:t>Disorders，IFSO）与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美 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谢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与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7"/>
        </w:rPr>
        <w:t>减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重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7"/>
        </w:rPr>
        <w:t>外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7"/>
        </w:rPr>
        <w:t>科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学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7"/>
        </w:rPr>
        <w:t>会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（American   Society   for   Metabolic   and</w:t>
      </w:r>
      <w:r>
        <w:rPr>
          <w:color w:val="231F20"/>
          <w:spacing w:val="22"/>
        </w:rPr>
        <w:t xml:space="preserve">  </w:t>
      </w:r>
      <w:r>
        <w:rPr>
          <w:color w:val="231F20"/>
          <w:spacing w:val="-10"/>
        </w:rPr>
        <w:t>Bariatric</w:t>
      </w:r>
      <w:r>
        <w:rPr>
          <w:color w:val="231F20"/>
          <w:spacing w:val="21"/>
          <w:w w:val="101"/>
        </w:rPr>
        <w:t xml:space="preserve">  </w:t>
      </w:r>
      <w:r>
        <w:rPr>
          <w:color w:val="231F20"/>
          <w:spacing w:val="-10"/>
        </w:rPr>
        <w:t>Surge</w:t>
      </w:r>
      <w:r>
        <w:rPr>
          <w:color w:val="231F20"/>
          <w:spacing w:val="-11"/>
        </w:rPr>
        <w:t>ry，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ASMBS）联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合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发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布 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洲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减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重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"/>
        </w:rPr>
        <w:t>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代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术 的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适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应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证</w:t>
      </w:r>
      <w:r>
        <w:rPr>
          <w:sz w:val="9"/>
          <w:szCs w:val="9"/>
          <w:color w:val="231F20"/>
          <w:spacing w:val="7"/>
          <w:position w:val="6"/>
        </w:rPr>
        <w:t>［2,23-25</w:t>
      </w:r>
      <w:r>
        <w:rPr>
          <w:sz w:val="9"/>
          <w:szCs w:val="9"/>
          <w:color w:val="231F20"/>
          <w:spacing w:val="-5"/>
          <w:position w:val="6"/>
        </w:rPr>
        <w:t>］</w:t>
      </w:r>
      <w:r>
        <w:rPr>
          <w:color w:val="231F20"/>
          <w:spacing w:val="-31"/>
          <w:w w:val="65"/>
        </w:rPr>
        <w:t>，</w:t>
      </w:r>
      <w:r>
        <w:rPr>
          <w:color w:val="231F20"/>
          <w:spacing w:val="7"/>
        </w:rPr>
        <w:t>对于合并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7"/>
        </w:rPr>
        <w:t xml:space="preserve"> 的病人推荐手</w:t>
      </w:r>
      <w:r>
        <w:rPr>
          <w:color w:val="231F20"/>
          <w:spacing w:val="6"/>
        </w:rPr>
        <w:t>术适应证如下</w:t>
      </w:r>
      <w:r>
        <w:rPr>
          <w:color w:val="231F20"/>
          <w:spacing w:val="-31"/>
          <w:w w:val="65"/>
        </w:rPr>
        <w:t>：（</w:t>
      </w:r>
      <w:r>
        <w:rPr>
          <w:color w:val="231F20"/>
          <w:spacing w:val="6"/>
        </w:rPr>
        <w:t>1）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BMI≥32.5，推荐积极手术。（2）27.5≤BMI&lt;32.5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-9"/>
        </w:rPr>
        <w:t>且非手术治疗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效果差，建议手术。（3）BMI&lt;27.5，无</w:t>
      </w:r>
      <w:r>
        <w:rPr>
          <w:color w:val="231F20"/>
          <w:spacing w:val="-6"/>
        </w:rPr>
        <w:t>糖尿病等其他合并症，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不建议手术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1"/>
        </w:rPr>
        <w:t>。术前应行心理评估并确定病人或家属有能力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严格完成术后管理。</w:t>
      </w:r>
    </w:p>
    <w:p>
      <w:pPr>
        <w:pStyle w:val="BodyText"/>
        <w:ind w:left="1449" w:right="196" w:firstLine="363"/>
        <w:spacing w:before="9" w:line="236" w:lineRule="auto"/>
        <w:jc w:val="both"/>
        <w:rPr/>
      </w:pPr>
      <w:r>
        <w:rPr>
          <w:color w:val="231F20"/>
          <w:spacing w:val="5"/>
        </w:rPr>
        <w:t>禁忌证</w:t>
      </w:r>
      <w:r>
        <w:rPr>
          <w:color w:val="231F20"/>
          <w:spacing w:val="-33"/>
          <w:w w:val="70"/>
        </w:rPr>
        <w:t>：（</w:t>
      </w:r>
      <w:r>
        <w:rPr>
          <w:color w:val="231F20"/>
          <w:spacing w:val="5"/>
        </w:rPr>
        <w:t>1）滥用药物、酒精成瘾或患有精神心理疾病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未获得良好控制者。（2）智力障碍或智力不成熟，行为不能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自控者。（3）对手术的预期不符合实际者。（4</w:t>
      </w:r>
      <w:r>
        <w:rPr>
          <w:color w:val="231F20"/>
          <w:spacing w:val="-11"/>
        </w:rPr>
        <w:t>）不愿承担手术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潜在并发症风险者。（5）不愿配合术后饮食及生活习惯的改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变，依从性差者。（6）全身状况差，难以耐受全身麻醉或</w:t>
      </w:r>
      <w:r>
        <w:rPr>
          <w:color w:val="231F20"/>
          <w:spacing w:val="-8"/>
        </w:rPr>
        <w:t>手术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者。（7）计划于手术后 1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0"/>
        </w:rPr>
        <w:t>年内妊娠者。</w:t>
      </w:r>
    </w:p>
    <w:p>
      <w:pPr>
        <w:pStyle w:val="BodyText"/>
        <w:ind w:left="1449" w:right="194" w:firstLine="367"/>
        <w:spacing w:before="1" w:line="237" w:lineRule="auto"/>
        <w:rPr/>
      </w:pPr>
      <w:r>
        <w:rPr>
          <w:color w:val="231F20"/>
          <w:spacing w:val="-6"/>
        </w:rPr>
        <w:t>推荐意见 11：BMI≥32.5 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PCOS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6"/>
        </w:rPr>
        <w:t>病人，排</w:t>
      </w:r>
      <w:r>
        <w:rPr>
          <w:color w:val="231F20"/>
          <w:spacing w:val="-7"/>
        </w:rPr>
        <w:t>除禁忌证后积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极行减重代谢手术治疗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7"/>
        </w:rPr>
        <w:t>。投票同意率：95.9%（47/4</w:t>
      </w:r>
      <w:r>
        <w:rPr>
          <w:color w:val="231F20"/>
          <w:spacing w:val="-8"/>
        </w:rPr>
        <w:t>9）。</w:t>
      </w:r>
    </w:p>
    <w:p>
      <w:pPr>
        <w:pStyle w:val="BodyText"/>
        <w:ind w:left="1451" w:right="196" w:firstLine="383"/>
        <w:spacing w:before="3" w:line="238" w:lineRule="auto"/>
        <w:jc w:val="both"/>
        <w:rPr/>
      </w:pPr>
      <w:r>
        <w:rPr>
          <w:color w:val="231F20"/>
          <w:spacing w:val="-9"/>
        </w:rPr>
        <w:t>推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9"/>
        </w:rPr>
        <w:t>荐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9"/>
        </w:rPr>
        <w:t>意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见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9"/>
        </w:rPr>
        <w:t>12：27.5≤BMI&lt;32.5、非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手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术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9"/>
        </w:rPr>
        <w:t>治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9"/>
        </w:rPr>
        <w:t>疗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效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9"/>
        </w:rPr>
        <w:t>果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9"/>
        </w:rPr>
        <w:t>差 的</w:t>
      </w:r>
      <w:r>
        <w:rPr>
          <w:color w:val="231F20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病人，建议排除禁忌证后行减重代谢手术治疗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3"/>
        </w:rPr>
        <w:t>。投票</w:t>
      </w:r>
      <w:r>
        <w:rPr>
          <w:color w:val="231F20"/>
        </w:rPr>
        <w:t xml:space="preserve"> </w:t>
      </w:r>
      <w:r>
        <w:rPr>
          <w:color w:val="231F20"/>
          <w:spacing w:val="-19"/>
        </w:rPr>
        <w:t>同意率：91.8%（45/49）。</w:t>
      </w:r>
    </w:p>
    <w:p>
      <w:pPr>
        <w:pStyle w:val="BodyText"/>
        <w:ind w:left="1380" w:right="130" w:firstLine="69"/>
        <w:spacing w:before="18" w:line="236" w:lineRule="auto"/>
        <w:jc w:val="both"/>
        <w:rPr/>
      </w:pPr>
      <w:r>
        <w:rPr>
          <w:color w:val="231F20"/>
          <w:spacing w:val="2"/>
        </w:rPr>
        <w:t>4.2    术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2"/>
        </w:rPr>
        <w:t>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选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择  《中 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2"/>
        </w:rPr>
        <w:t>肥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及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代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谢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疾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病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外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科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治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疗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指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南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（2024 版）》推荐减重代谢术式包括胃袖状切除术（</w:t>
      </w:r>
      <w:r>
        <w:rPr>
          <w:color w:val="231F20"/>
        </w:rPr>
        <w:t>sleeve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9"/>
        </w:rPr>
        <w:t>gastrectomy，SG）、Roux-en-Y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9"/>
        </w:rPr>
        <w:t>胃旁路术（</w:t>
      </w:r>
      <w:r>
        <w:rPr>
          <w:color w:val="231F20"/>
          <w:spacing w:val="-10"/>
        </w:rPr>
        <w:t>Roux-en-Y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0"/>
        </w:rPr>
        <w:t>gastric</w:t>
      </w:r>
      <w:r>
        <w:rPr>
          <w:color w:val="231F20"/>
        </w:rPr>
        <w:t xml:space="preserve">  </w:t>
      </w:r>
      <w:r>
        <w:rPr>
          <w:color w:val="231F20"/>
          <w:spacing w:val="-11"/>
        </w:rPr>
        <w:t>bypass，RYGB）、单吻合口胃旁路术（one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1"/>
        </w:rPr>
        <w:t>anastomosis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1"/>
        </w:rPr>
        <w:t>gastric</w:t>
      </w:r>
      <w:r>
        <w:rPr>
          <w:color w:val="231F20"/>
        </w:rPr>
        <w:t xml:space="preserve">  </w:t>
      </w:r>
      <w:r>
        <w:rPr>
          <w:color w:val="231F20"/>
        </w:rPr>
        <w:t>bypass</w:t>
      </w:r>
      <w:r>
        <w:rPr>
          <w:color w:val="231F20"/>
          <w:spacing w:val="1"/>
        </w:rPr>
        <w:t>，</w:t>
      </w:r>
      <w:r>
        <w:rPr>
          <w:color w:val="231F20"/>
        </w:rPr>
        <w:t>OAGB</w:t>
      </w:r>
      <w:r>
        <w:rPr>
          <w:color w:val="231F20"/>
          <w:spacing w:val="1"/>
        </w:rPr>
        <w:t>）、胃袖状切除联合单吻合口十二指肠-回肠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-10"/>
        </w:rPr>
        <w:t>旁路术（single-anastomosis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-10"/>
        </w:rPr>
        <w:t>duodeno-ileal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0"/>
        </w:rPr>
        <w:t>bypass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0"/>
        </w:rPr>
        <w:t>with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0"/>
        </w:rPr>
        <w:t>sleeve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gastrec-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-3"/>
        </w:rPr>
        <w:t>tomy，SADI-S）、胆胰转流十二指肠转位术（bilio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3"/>
        </w:rPr>
        <w:t>-</w:t>
      </w:r>
      <w:r>
        <w:rPr>
          <w:color w:val="231F20"/>
        </w:rPr>
        <w:t xml:space="preserve">  </w:t>
      </w:r>
      <w:r>
        <w:rPr>
          <w:color w:val="231F20"/>
          <w:spacing w:val="-10"/>
        </w:rPr>
        <w:t>pancreatic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0"/>
        </w:rPr>
        <w:t>diversion with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0"/>
        </w:rPr>
        <w:t>duodena</w:t>
      </w:r>
      <w:r>
        <w:rPr>
          <w:color w:val="231F20"/>
          <w:spacing w:val="-11"/>
        </w:rPr>
        <w:t>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1"/>
        </w:rPr>
        <w:t>switch，BPD-DS</w:t>
      </w:r>
      <w:r>
        <w:rPr>
          <w:color w:val="231F20"/>
          <w:spacing w:val="-23"/>
          <w:w w:val="76"/>
        </w:rPr>
        <w:t>）</w:t>
      </w:r>
      <w:r>
        <w:rPr>
          <w:sz w:val="9"/>
          <w:szCs w:val="9"/>
          <w:color w:val="231F20"/>
          <w:spacing w:val="-5"/>
          <w:w w:val="29"/>
          <w:position w:val="7"/>
        </w:rPr>
        <w:t>［</w:t>
      </w:r>
      <w:r>
        <w:rPr>
          <w:sz w:val="9"/>
          <w:szCs w:val="9"/>
          <w:color w:val="231F20"/>
          <w:spacing w:val="-7"/>
          <w:position w:val="7"/>
        </w:rPr>
        <w:t>3］</w:t>
      </w:r>
      <w:r>
        <w:rPr>
          <w:color w:val="231F20"/>
          <w:spacing w:val="-7"/>
        </w:rPr>
        <w:t>。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7"/>
        </w:rPr>
        <w:t>目前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减重代谢手术治疗 </w:t>
      </w:r>
      <w:r>
        <w:rPr>
          <w:color w:val="231F20"/>
        </w:rPr>
        <w:t>PCOS</w:t>
      </w:r>
      <w:r>
        <w:rPr>
          <w:color w:val="231F20"/>
          <w:spacing w:val="19"/>
        </w:rPr>
        <w:t xml:space="preserve"> 的相关循证医学证据以 </w:t>
      </w:r>
      <w:r>
        <w:rPr>
          <w:color w:val="231F20"/>
        </w:rPr>
        <w:t>SG</w:t>
      </w:r>
      <w:r>
        <w:rPr>
          <w:color w:val="231F20"/>
          <w:spacing w:val="19"/>
        </w:rPr>
        <w:t xml:space="preserve"> 和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RYGB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8"/>
        </w:rPr>
        <w:t>为主，其他术式证据相对较少</w:t>
      </w:r>
      <w:r>
        <w:rPr>
          <w:sz w:val="9"/>
          <w:szCs w:val="9"/>
          <w:color w:val="231F20"/>
          <w:spacing w:val="8"/>
          <w:position w:val="7"/>
        </w:rPr>
        <w:t>［26］</w:t>
      </w:r>
      <w:r>
        <w:rPr>
          <w:color w:val="231F20"/>
          <w:spacing w:val="8"/>
        </w:rPr>
        <w:t>。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8"/>
        </w:rPr>
        <w:t>由于</w:t>
      </w:r>
      <w:r>
        <w:rPr>
          <w:color w:val="231F20"/>
          <w:spacing w:val="7"/>
        </w:rPr>
        <w:t>减重代谢手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术后摄食和（或）吸收减少，术后病人可出现多种维生素、蛋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白质、电解质和矿物质等营养素缺乏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。因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SG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在降低术后营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养缺乏发生率等方面具有一定优势</w:t>
      </w:r>
      <w:r>
        <w:rPr>
          <w:sz w:val="9"/>
          <w:szCs w:val="9"/>
          <w:color w:val="231F20"/>
          <w:spacing w:val="12"/>
          <w:position w:val="7"/>
        </w:rPr>
        <w:t>［27</w:t>
      </w:r>
      <w:r>
        <w:rPr>
          <w:sz w:val="9"/>
          <w:szCs w:val="9"/>
          <w:color w:val="231F20"/>
          <w:spacing w:val="-7"/>
          <w:position w:val="7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12"/>
        </w:rPr>
        <w:t>对于有生</w:t>
      </w:r>
      <w:r>
        <w:rPr>
          <w:color w:val="231F20"/>
          <w:spacing w:val="11"/>
        </w:rPr>
        <w:t>育要求的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病人推荐行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SG</w:t>
      </w:r>
      <w:r>
        <w:rPr>
          <w:color w:val="231F20"/>
          <w:spacing w:val="14"/>
        </w:rPr>
        <w:t xml:space="preserve"> 以减少术后因吸收不良导致的妊娠期营养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缺乏风险</w:t>
      </w:r>
      <w:r>
        <w:rPr>
          <w:sz w:val="9"/>
          <w:szCs w:val="9"/>
          <w:color w:val="231F20"/>
          <w:spacing w:val="9"/>
          <w:position w:val="7"/>
        </w:rPr>
        <w:t>［8］</w:t>
      </w:r>
      <w:r>
        <w:rPr>
          <w:color w:val="231F20"/>
          <w:spacing w:val="9"/>
        </w:rPr>
        <w:t>。对于无明确生育需求，尤其合并糖尿病等并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1"/>
        </w:rPr>
        <w:t>发症的PCOS病人，也可选择RYGB等其他减重代谢手术术式。</w:t>
      </w:r>
    </w:p>
    <w:p>
      <w:pPr>
        <w:pStyle w:val="BodyText"/>
        <w:ind w:left="1450" w:right="142" w:firstLine="372"/>
        <w:spacing w:line="237" w:lineRule="auto"/>
        <w:jc w:val="both"/>
        <w:rPr/>
      </w:pPr>
      <w:r>
        <w:rPr>
          <w:color w:val="231F20"/>
          <w:spacing w:val="4"/>
        </w:rPr>
        <w:t>推荐意见 13：对于有生育要求的肥胖症合并</w:t>
      </w:r>
      <w:r>
        <w:rPr>
          <w:color w:val="231F20"/>
          <w:spacing w:val="-8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4"/>
        </w:rPr>
        <w:t xml:space="preserve"> 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病人，推荐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SG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作为首选减重代谢手术术式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6"/>
        </w:rPr>
        <w:t>。投票同意率：</w:t>
      </w:r>
      <w:r>
        <w:rPr>
          <w:color w:val="231F20"/>
        </w:rPr>
        <w:t xml:space="preserve"> </w:t>
      </w:r>
      <w:r>
        <w:rPr>
          <w:color w:val="231F20"/>
          <w:spacing w:val="-15"/>
          <w:w w:val="95"/>
        </w:rPr>
        <w:t>87.8%（43/49）。</w:t>
      </w:r>
    </w:p>
    <w:p>
      <w:pPr>
        <w:pStyle w:val="BodyText"/>
        <w:ind w:left="1380" w:right="196" w:firstLine="443"/>
        <w:spacing w:before="4" w:line="220" w:lineRule="auto"/>
        <w:jc w:val="both"/>
        <w:rPr/>
      </w:pPr>
      <w:r>
        <w:rPr>
          <w:color w:val="231F20"/>
          <w:spacing w:val="5"/>
        </w:rPr>
        <w:t>推荐意见 14：对于无明确生育需求，尤其合并糖尿病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5"/>
        </w:rPr>
        <w:t>等并发症的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病人，可选择《中国肥胖及代谢疾病外科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治疗指南（2024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4"/>
        </w:rPr>
        <w:t>版）》推荐的减重术式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-4"/>
        </w:rPr>
        <w:t>。投票同意率：87.</w:t>
      </w:r>
      <w:r>
        <w:rPr>
          <w:color w:val="231F20"/>
          <w:spacing w:val="-5"/>
        </w:rPr>
        <w:t>8%</w:t>
      </w:r>
      <w:r>
        <w:rPr>
          <w:color w:val="231F20"/>
        </w:rPr>
        <w:t xml:space="preserve"> </w:t>
      </w:r>
      <w:r>
        <w:rPr>
          <w:color w:val="231F20"/>
          <w:spacing w:val="-14"/>
          <w:w w:val="93"/>
        </w:rPr>
        <w:t>（43/49）。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51"/>
        <w:spacing w:before="35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中国实用外科杂志 2025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年2月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45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7"/>
        </w:rPr>
        <w:t>2期</w:t>
      </w:r>
    </w:p>
    <w:p>
      <w:pPr>
        <w:pStyle w:val="BodyText"/>
        <w:ind w:left="69"/>
        <w:spacing w:before="235" w:line="204" w:lineRule="auto"/>
        <w:rPr/>
      </w:pPr>
      <w:r>
        <w:rPr>
          <w:color w:val="231F20"/>
          <w:spacing w:val="4"/>
        </w:rPr>
        <w:t>4.3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4"/>
        </w:rPr>
        <w:t>术中和术后管理</w:t>
      </w:r>
    </w:p>
    <w:p>
      <w:pPr>
        <w:pStyle w:val="BodyText"/>
        <w:ind w:left="69" w:right="1441"/>
        <w:spacing w:before="42" w:line="221" w:lineRule="auto"/>
        <w:rPr/>
      </w:pPr>
      <w:r>
        <w:rPr>
          <w:color w:val="231F20"/>
          <w:spacing w:val="6"/>
        </w:rPr>
        <w:t>4.3.1   外科管理    参照《中国肥胖及代</w:t>
      </w:r>
      <w:r>
        <w:rPr>
          <w:color w:val="231F20"/>
          <w:spacing w:val="5"/>
        </w:rPr>
        <w:t>谢疾病外科治疗指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南（2024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-1"/>
        </w:rPr>
        <w:t>版）》进行术中和术后一般管理，重视静脉血栓栓</w:t>
      </w:r>
      <w:r>
        <w:rPr>
          <w:color w:val="231F20"/>
        </w:rPr>
        <w:t xml:space="preserve"> </w:t>
      </w:r>
      <w:r>
        <w:rPr>
          <w:color w:val="231F20"/>
          <w:spacing w:val="-3"/>
          <w:position w:val="-1"/>
        </w:rPr>
        <w:t>塞症的预防</w:t>
      </w:r>
      <w:r>
        <w:rPr>
          <w:sz w:val="9"/>
          <w:szCs w:val="9"/>
          <w:color w:val="231F20"/>
          <w:spacing w:val="-3"/>
          <w:position w:val="6"/>
        </w:rPr>
        <w:t>［3］</w:t>
      </w:r>
      <w:r>
        <w:rPr>
          <w:color w:val="231F20"/>
          <w:spacing w:val="-3"/>
          <w:position w:val="-1"/>
        </w:rPr>
        <w:t>。</w:t>
      </w:r>
    </w:p>
    <w:p>
      <w:pPr>
        <w:pStyle w:val="BodyText"/>
        <w:ind w:left="70" w:right="1441" w:hanging="1"/>
        <w:spacing w:before="60" w:line="226" w:lineRule="auto"/>
        <w:rPr/>
      </w:pPr>
      <w:r>
        <w:rPr>
          <w:color w:val="231F20"/>
          <w:spacing w:val="11"/>
        </w:rPr>
        <w:t>4.3.2   月经管理    部分病人术后数天内即可出现月经来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8"/>
        </w:rPr>
        <w:t>潮，应密切关注月经量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8"/>
        </w:rPr>
        <w:t>。如经量过多，应停用术后抗凝药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物，观察失血症状，关注血清红细胞和血红蛋白水平的变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3"/>
        </w:rPr>
        <w:t>化，可考虑药物中止月经，必要时于妇科就诊</w:t>
      </w:r>
      <w:r>
        <w:rPr>
          <w:sz w:val="9"/>
          <w:szCs w:val="9"/>
          <w:color w:val="231F20"/>
          <w:spacing w:val="-3"/>
          <w:position w:val="7"/>
        </w:rPr>
        <w:t>［28］</w:t>
      </w:r>
      <w:r>
        <w:rPr>
          <w:color w:val="231F20"/>
          <w:spacing w:val="-3"/>
        </w:rPr>
        <w:t>。</w:t>
      </w:r>
    </w:p>
    <w:p>
      <w:pPr>
        <w:pStyle w:val="BodyText"/>
        <w:ind w:left="71" w:right="1441" w:firstLine="368"/>
        <w:spacing w:before="54"/>
        <w:rPr/>
      </w:pPr>
      <w:r>
        <w:rPr>
          <w:color w:val="231F20"/>
          <w:spacing w:val="5"/>
        </w:rPr>
        <w:t>推荐意见 15：应提醒病人关注减重代谢手术后月经变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5"/>
        </w:rPr>
        <w:t>化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5"/>
        </w:rPr>
        <w:t>。投票同意率：98.0%（48/49）。</w:t>
      </w:r>
    </w:p>
    <w:p>
      <w:pPr>
        <w:pStyle w:val="BodyText"/>
        <w:ind w:left="69"/>
        <w:spacing w:before="1" w:line="203" w:lineRule="auto"/>
        <w:rPr/>
      </w:pPr>
      <w:r>
        <w:rPr>
          <w:color w:val="231F20"/>
          <w:spacing w:val="2"/>
        </w:rPr>
        <w:t>4.4</w:t>
      </w:r>
      <w:r>
        <w:rPr>
          <w:color w:val="231F20"/>
          <w:spacing w:val="13"/>
        </w:rPr>
        <w:t xml:space="preserve">   </w:t>
      </w:r>
      <w:r>
        <w:rPr>
          <w:color w:val="231F20"/>
          <w:spacing w:val="2"/>
        </w:rPr>
        <w:t>术后随访、手术效果判定和妊娠管理</w:t>
      </w:r>
    </w:p>
    <w:p>
      <w:pPr>
        <w:pStyle w:val="BodyText"/>
        <w:ind w:left="69" w:right="1441"/>
        <w:spacing w:before="46" w:line="237" w:lineRule="auto"/>
        <w:jc w:val="both"/>
        <w:rPr/>
      </w:pPr>
      <w:r>
        <w:rPr>
          <w:color w:val="231F20"/>
          <w:spacing w:val="-7"/>
        </w:rPr>
        <w:t>4.4.1</w:t>
      </w:r>
      <w:r>
        <w:rPr>
          <w:color w:val="231F20"/>
          <w:spacing w:val="12"/>
        </w:rPr>
        <w:t xml:space="preserve">   </w:t>
      </w:r>
      <w:r>
        <w:rPr>
          <w:color w:val="231F20"/>
          <w:spacing w:val="-7"/>
        </w:rPr>
        <w:t>术后随访    随访于术后第 1、3、6、1</w:t>
      </w:r>
      <w:r>
        <w:rPr>
          <w:color w:val="231F20"/>
          <w:spacing w:val="-8"/>
        </w:rPr>
        <w:t>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8"/>
        </w:rPr>
        <w:t>个月进行，之后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每年随访 1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7"/>
        </w:rPr>
        <w:t>次，特殊或紧急情况可增加随访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。随访内容除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了术后常规进行的体重及血糖、血脂等代谢评估</w:t>
      </w:r>
      <w:r>
        <w:rPr>
          <w:color w:val="231F20"/>
          <w:spacing w:val="2"/>
        </w:rPr>
        <w:t>外，还需进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行以下评估</w:t>
      </w:r>
      <w:r>
        <w:rPr>
          <w:color w:val="231F20"/>
          <w:spacing w:val="-34"/>
          <w:w w:val="72"/>
        </w:rPr>
        <w:t>：（</w:t>
      </w:r>
      <w:r>
        <w:rPr>
          <w:color w:val="231F20"/>
          <w:spacing w:val="-5"/>
        </w:rPr>
        <w:t>1）病人月经、排卵、妊娠及生育情况。（2）多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1"/>
        </w:rPr>
        <w:t>毛、痤疮等高雄激素症状。（3）血清性激素六项、SHBG，计算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6"/>
        </w:rPr>
        <w:t>游离睾酮水平，必要时完善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6"/>
        </w:rPr>
        <w:t>AMH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6"/>
        </w:rPr>
        <w:t>等检查。（4）妇科超声检查</w:t>
      </w:r>
      <w:r>
        <w:rPr>
          <w:color w:val="231F20"/>
        </w:rPr>
        <w:t xml:space="preserve"> </w:t>
      </w:r>
      <w:r>
        <w:rPr>
          <w:color w:val="231F20"/>
          <w:spacing w:val="-10"/>
        </w:rPr>
        <w:t>评估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0"/>
        </w:rPr>
        <w:t>PCOM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改善情况。（5）病人心理状态。</w:t>
      </w:r>
    </w:p>
    <w:p>
      <w:pPr>
        <w:pStyle w:val="BodyText"/>
        <w:ind w:left="69" w:right="1441" w:firstLine="373"/>
        <w:spacing w:before="2" w:line="239" w:lineRule="auto"/>
        <w:jc w:val="both"/>
        <w:rPr/>
      </w:pPr>
      <w:r>
        <w:rPr>
          <w:color w:val="231F20"/>
          <w:spacing w:val="5"/>
        </w:rPr>
        <w:t>推荐意见 16：肥胖症合并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病人行减重代谢手术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后应定期随访，重点关注病人的代谢状态、月</w:t>
      </w:r>
      <w:r>
        <w:rPr>
          <w:color w:val="231F20"/>
          <w:spacing w:val="2"/>
        </w:rPr>
        <w:t>经恢复情况及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高雄激素血症状改善情况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7"/>
        </w:rPr>
        <w:t>。投票同意率：95.9%（47/49）。</w:t>
      </w:r>
    </w:p>
    <w:p>
      <w:pPr>
        <w:pStyle w:val="BodyText"/>
        <w:ind w:left="69" w:right="1385"/>
        <w:spacing w:before="6" w:line="237" w:lineRule="auto"/>
        <w:jc w:val="both"/>
        <w:rPr/>
      </w:pPr>
      <w:r>
        <w:rPr>
          <w:color w:val="231F20"/>
          <w:spacing w:val="2"/>
        </w:rPr>
        <w:t>4.4.2   手术效果判定    有研究结果表明，减重代谢手术后，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4"/>
        </w:rPr>
        <w:t>约 80% 的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病人术后逐步恢复正常月经周期</w:t>
      </w:r>
      <w:r>
        <w:rPr>
          <w:sz w:val="9"/>
          <w:szCs w:val="9"/>
          <w:color w:val="231F20"/>
          <w:spacing w:val="4"/>
          <w:position w:val="7"/>
        </w:rPr>
        <w:t>［29-30</w:t>
      </w:r>
      <w:r>
        <w:rPr>
          <w:sz w:val="9"/>
          <w:szCs w:val="9"/>
          <w:color w:val="231F20"/>
          <w:spacing w:val="6"/>
          <w:position w:val="7"/>
        </w:rPr>
        <w:t>］</w:t>
      </w:r>
      <w:r>
        <w:rPr>
          <w:color w:val="231F20"/>
          <w:spacing w:val="-31"/>
          <w:w w:val="60"/>
        </w:rPr>
        <w:t>，</w:t>
      </w:r>
      <w:r>
        <w:rPr>
          <w:color w:val="231F20"/>
          <w:spacing w:val="4"/>
        </w:rPr>
        <w:t>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后血清总睾酮、游离睾酮、</w:t>
      </w:r>
      <w:r>
        <w:rPr>
          <w:color w:val="231F20"/>
        </w:rPr>
        <w:t>AMH</w:t>
      </w:r>
      <w:r>
        <w:rPr>
          <w:color w:val="231F20"/>
          <w:spacing w:val="1"/>
        </w:rPr>
        <w:t xml:space="preserve"> 和</w:t>
      </w:r>
      <w:r>
        <w:rPr>
          <w:color w:val="231F20"/>
          <w:spacing w:val="-7"/>
        </w:rPr>
        <w:t xml:space="preserve"> </w:t>
      </w:r>
      <w:r>
        <w:rPr>
          <w:color w:val="231F20"/>
        </w:rPr>
        <w:t>PCOM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"/>
        </w:rPr>
        <w:t>等均有不同程度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的改善</w:t>
      </w:r>
      <w:r>
        <w:rPr>
          <w:sz w:val="9"/>
          <w:szCs w:val="9"/>
          <w:color w:val="231F20"/>
          <w:spacing w:val="-7"/>
          <w:position w:val="7"/>
        </w:rPr>
        <w:t>［5］</w:t>
      </w:r>
      <w:r>
        <w:rPr>
          <w:color w:val="231F20"/>
          <w:spacing w:val="2"/>
        </w:rPr>
        <w:t>。2024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2"/>
        </w:rPr>
        <w:t>年发表于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i/>
          <w:iCs/>
          <w:color w:val="231F20"/>
        </w:rPr>
        <w:t>Lancet</w:t>
      </w:r>
      <w:r>
        <w:rPr>
          <w:rFonts w:ascii="Arial" w:hAnsi="Arial" w:eastAsia="Arial" w:cs="Arial"/>
          <w:i/>
          <w:iCs/>
          <w:color w:val="231F20"/>
          <w:spacing w:val="2"/>
        </w:rPr>
        <w:t xml:space="preserve"> </w:t>
      </w:r>
      <w:r>
        <w:rPr>
          <w:color w:val="231F20"/>
          <w:spacing w:val="2"/>
        </w:rPr>
        <w:t>的一项随机对照研究结果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证实</w:t>
      </w:r>
      <w:r>
        <w:rPr>
          <w:color w:val="231F20"/>
        </w:rPr>
        <w:t xml:space="preserve"> SG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可以显著提高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病人的自发排卵</w:t>
      </w:r>
      <w:r>
        <w:rPr>
          <w:sz w:val="9"/>
          <w:szCs w:val="9"/>
          <w:color w:val="231F20"/>
          <w:spacing w:val="4"/>
          <w:position w:val="7"/>
        </w:rPr>
        <w:t>［31］</w:t>
      </w:r>
      <w:r>
        <w:rPr>
          <w:color w:val="231F20"/>
          <w:spacing w:val="4"/>
        </w:rPr>
        <w:t>。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4"/>
        </w:rPr>
        <w:t>目前有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研究结果判断，月经恢复规律的标准为术后</w:t>
      </w:r>
      <w:r>
        <w:rPr>
          <w:color w:val="231F20"/>
          <w:spacing w:val="8"/>
        </w:rPr>
        <w:t xml:space="preserve">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8"/>
        </w:rPr>
        <w:t>年内出现连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续≥6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2"/>
        </w:rPr>
        <w:t>个正常月经周期</w:t>
      </w:r>
      <w:r>
        <w:rPr>
          <w:sz w:val="9"/>
          <w:szCs w:val="9"/>
          <w:color w:val="231F20"/>
          <w:spacing w:val="2"/>
          <w:position w:val="7"/>
        </w:rPr>
        <w:t>［29-30］</w:t>
      </w:r>
      <w:r>
        <w:rPr>
          <w:color w:val="231F20"/>
          <w:spacing w:val="2"/>
        </w:rPr>
        <w:t>。对于术后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6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个月内未出现生理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周期或 1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年内未恢复正常月经周期的病人</w:t>
      </w:r>
      <w:r>
        <w:rPr>
          <w:color w:val="231F20"/>
          <w:spacing w:val="8"/>
        </w:rPr>
        <w:t>，建议至妇产科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或生殖内分泌科进一步检查。</w:t>
      </w:r>
    </w:p>
    <w:p>
      <w:pPr>
        <w:pStyle w:val="BodyText"/>
        <w:ind w:left="71" w:right="1441" w:firstLine="367"/>
        <w:spacing w:before="1" w:line="238" w:lineRule="auto"/>
        <w:rPr/>
      </w:pPr>
      <w:r>
        <w:rPr>
          <w:color w:val="231F20"/>
          <w:spacing w:val="5"/>
        </w:rPr>
        <w:t>推荐意见 17：减重代谢手术可以显著改善肥胖症合并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0"/>
        </w:rPr>
        <w:t>PCOS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10"/>
        </w:rPr>
        <w:t>病人的多项症状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10"/>
        </w:rPr>
        <w:t>。投票同意率：100%（49/49）。</w:t>
      </w:r>
    </w:p>
    <w:p>
      <w:pPr>
        <w:pStyle w:val="BodyText"/>
        <w:ind w:right="1441" w:firstLine="439"/>
        <w:spacing w:before="2" w:line="239" w:lineRule="auto"/>
        <w:jc w:val="both"/>
        <w:rPr/>
      </w:pPr>
      <w:r>
        <w:rPr>
          <w:color w:val="231F20"/>
          <w:spacing w:val="1"/>
        </w:rPr>
        <w:t>推荐意见 18：减重代谢手术后 1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年内出现连续≥6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个正</w:t>
      </w:r>
      <w:r>
        <w:rPr>
          <w:color w:val="231F20"/>
        </w:rPr>
        <w:t xml:space="preserve"> </w:t>
      </w:r>
      <w:r>
        <w:rPr>
          <w:color w:val="231F20"/>
        </w:rPr>
        <w:t>常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月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经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周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期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可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判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定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为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月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经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恢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复 。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投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票 同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意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率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：</w:t>
      </w:r>
      <w:r>
        <w:rPr>
          <w:color w:val="231F20"/>
          <w:spacing w:val="-1"/>
        </w:rPr>
        <w:t>95.9%</w:t>
      </w:r>
      <w:r>
        <w:rPr>
          <w:color w:val="231F20"/>
        </w:rPr>
        <w:t xml:space="preserve"> </w:t>
      </w:r>
      <w:r>
        <w:rPr>
          <w:color w:val="231F20"/>
          <w:spacing w:val="-13"/>
          <w:w w:val="93"/>
        </w:rPr>
        <w:t>（47/49）。</w:t>
      </w:r>
    </w:p>
    <w:p>
      <w:pPr>
        <w:pStyle w:val="BodyText"/>
        <w:ind w:left="69" w:right="1385"/>
        <w:spacing w:before="7" w:line="234" w:lineRule="auto"/>
        <w:jc w:val="both"/>
        <w:rPr/>
      </w:pPr>
      <w:r>
        <w:rPr>
          <w:color w:val="231F20"/>
          <w:spacing w:val="6"/>
        </w:rPr>
        <w:t>4.4.3   妊娠管理    减重代谢手术后，病</w:t>
      </w:r>
      <w:r>
        <w:rPr>
          <w:color w:val="231F20"/>
          <w:spacing w:val="5"/>
        </w:rPr>
        <w:t>人妊娠可能有胎儿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生长受限、早产、小于胎龄儿、妊娠并发症和住</w:t>
      </w:r>
      <w:r>
        <w:rPr>
          <w:color w:val="231F20"/>
          <w:spacing w:val="2"/>
        </w:rPr>
        <w:t>院时间延长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等不良事件的发生风险</w:t>
      </w:r>
      <w:r>
        <w:rPr>
          <w:sz w:val="9"/>
          <w:szCs w:val="9"/>
          <w:color w:val="231F20"/>
          <w:spacing w:val="7"/>
          <w:position w:val="7"/>
        </w:rPr>
        <w:t>［32-33］</w:t>
      </w:r>
      <w:r>
        <w:rPr>
          <w:color w:val="231F20"/>
          <w:spacing w:val="7"/>
        </w:rPr>
        <w:t>。病人术后 </w:t>
      </w:r>
      <w:r>
        <w:rPr>
          <w:color w:val="231F20"/>
          <w:spacing w:val="6"/>
        </w:rPr>
        <w:t>12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6"/>
        </w:rPr>
        <w:t>个月内应避免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妊娠，不建议使用避孕药物</w:t>
      </w:r>
      <w:r>
        <w:rPr>
          <w:sz w:val="9"/>
          <w:szCs w:val="9"/>
          <w:color w:val="231F20"/>
          <w:spacing w:val="4"/>
          <w:position w:val="7"/>
        </w:rPr>
        <w:t>［3,8］</w:t>
      </w:r>
      <w:r>
        <w:rPr>
          <w:color w:val="231F20"/>
          <w:spacing w:val="4"/>
        </w:rPr>
        <w:t>。减</w:t>
      </w:r>
      <w:r>
        <w:rPr>
          <w:color w:val="231F20"/>
          <w:spacing w:val="3"/>
        </w:rPr>
        <w:t>重代谢手术后的妊娠病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人，尤其是术后 12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个月内妊娠者，应由产科</w:t>
      </w:r>
      <w:r>
        <w:rPr>
          <w:color w:val="231F20"/>
        </w:rPr>
        <w:t>医生密切评估， </w:t>
      </w:r>
      <w:r>
        <w:rPr>
          <w:color w:val="231F20"/>
          <w:spacing w:val="3"/>
        </w:rPr>
        <w:t>关注血清白蛋白、维生素、微量元素等水平，在</w:t>
      </w:r>
      <w:r>
        <w:rPr>
          <w:color w:val="231F20"/>
          <w:spacing w:val="2"/>
        </w:rPr>
        <w:t>全程管理下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完成妊娠过程。</w:t>
      </w:r>
    </w:p>
    <w:p>
      <w:pPr>
        <w:pStyle w:val="BodyText"/>
        <w:ind w:left="71" w:right="1441" w:firstLine="374"/>
        <w:spacing w:before="1" w:line="232" w:lineRule="auto"/>
        <w:rPr/>
      </w:pPr>
      <w:r>
        <w:rPr>
          <w:color w:val="231F20"/>
          <w:spacing w:val="7"/>
        </w:rPr>
        <w:t>推荐意见 19：建议减重代谢手术后病人 12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个月内避</w:t>
      </w:r>
      <w:r>
        <w:rPr>
          <w:color w:val="231F20"/>
        </w:rPr>
        <w:t xml:space="preserve"> </w:t>
      </w:r>
      <w:r>
        <w:rPr>
          <w:color w:val="231F20"/>
          <w:spacing w:val="-16"/>
        </w:rPr>
        <w:t>孕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-16"/>
        </w:rPr>
        <w:t>。投票同意率：100%（49/49）。</w:t>
      </w:r>
    </w:p>
    <w:p>
      <w:pPr>
        <w:pStyle w:val="BodyText"/>
        <w:ind w:left="72" w:right="1441" w:firstLine="366"/>
        <w:spacing w:before="1" w:line="236" w:lineRule="auto"/>
        <w:rPr/>
      </w:pPr>
      <w:r>
        <w:rPr>
          <w:color w:val="231F20"/>
          <w:spacing w:val="6"/>
        </w:rPr>
        <w:t>推荐意见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20：减重代谢手术后妊娠病人需进行全程化</w:t>
      </w:r>
      <w:r>
        <w:rPr>
          <w:color w:val="231F20"/>
        </w:rPr>
        <w:t xml:space="preserve"> </w:t>
      </w:r>
      <w:r>
        <w:rPr>
          <w:color w:val="231F20"/>
          <w:spacing w:val="-14"/>
        </w:rPr>
        <w:t>管理 。投票同意率：98.0%（48/49）。</w:t>
      </w:r>
    </w:p>
    <w:p>
      <w:pPr>
        <w:pStyle w:val="BodyText"/>
        <w:ind w:left="73" w:right="1385" w:firstLine="358"/>
        <w:spacing w:before="1" w:line="200" w:lineRule="auto"/>
        <w:rPr/>
      </w:pPr>
      <w:r>
        <w:rPr>
          <w:color w:val="231F20"/>
        </w:rPr>
        <w:t>PCOS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3"/>
        </w:rPr>
        <w:t>是育龄期女性最常见的内分泌疾病，与肥胖关系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密切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。减重代谢手术治疗肥胖症合并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PCOS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具有特殊性，</w:t>
      </w:r>
    </w:p>
    <w:p>
      <w:pPr>
        <w:spacing w:line="200" w:lineRule="auto"/>
        <w:sectPr>
          <w:type w:val="continuous"/>
          <w:pgSz w:w="12246" w:h="17179"/>
          <w:pgMar w:top="0" w:right="0" w:bottom="0" w:left="0" w:header="0" w:footer="0" w:gutter="0"/>
          <w:cols w:equalWidth="0" w:num="2">
            <w:col w:w="6141" w:space="100"/>
            <w:col w:w="6006" w:space="0"/>
          </w:cols>
        </w:sectPr>
        <w:rPr/>
      </w:pPr>
    </w:p>
    <w:p>
      <w:pPr>
        <w:spacing w:before="13"/>
        <w:rPr/>
      </w:pPr>
      <w:r>
        <w:drawing>
          <wp:anchor distT="0" distB="0" distL="0" distR="0" simplePos="0" relativeHeight="25166438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-3139</wp:posOffset>
            </wp:positionV>
            <wp:extent cx="7775956" cy="63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59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2246" w:h="17179"/>
          <w:pgMar w:top="0" w:right="0" w:bottom="0" w:left="0" w:header="0" w:footer="0" w:gutter="0"/>
          <w:cols w:equalWidth="0" w:num="1">
            <w:col w:w="12246" w:space="0"/>
          </w:cols>
        </w:sectPr>
        <w:rPr/>
      </w:pPr>
    </w:p>
    <w:p>
      <w:pPr>
        <w:ind w:left="1466"/>
        <w:spacing w:before="36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中国实用外科杂志 2025年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2月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45 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7"/>
        </w:rPr>
        <w:t>2期</w:t>
      </w:r>
    </w:p>
    <w:p>
      <w:pPr>
        <w:pStyle w:val="BodyText"/>
        <w:ind w:left="1448" w:right="208" w:hanging="1"/>
        <w:spacing w:before="246" w:line="244" w:lineRule="auto"/>
        <w:jc w:val="both"/>
        <w:rPr/>
      </w:pPr>
      <w:r>
        <w:rPr>
          <w:color w:val="231F20"/>
          <w:spacing w:val="10"/>
        </w:rPr>
        <w:t>恰当的术前评估、合理的手术方式以及完善</w:t>
      </w:r>
      <w:r>
        <w:rPr>
          <w:color w:val="231F20"/>
          <w:spacing w:val="9"/>
        </w:rPr>
        <w:t>的术后管理与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病人的预后密切相关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。在现有临床证据的基</w:t>
      </w:r>
      <w:r>
        <w:rPr>
          <w:color w:val="231F20"/>
          <w:spacing w:val="8"/>
        </w:rPr>
        <w:t>础上形成专家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共识、制定合理的治疗方案具有必要性和重要的意义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。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目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前该领域仍然缺乏高质量的循证医学证据，需要进一步开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展相关研究。</w:t>
      </w:r>
    </w:p>
    <w:p>
      <w:pPr>
        <w:pStyle w:val="BodyText"/>
        <w:ind w:left="1457" w:right="208" w:hanging="92"/>
        <w:spacing w:before="260"/>
        <w:rPr/>
      </w:pPr>
      <w:r>
        <w:rPr>
          <w:color w:val="231F20"/>
          <w:spacing w:val="13"/>
        </w:rPr>
        <w:t>《减重代谢手术治疗肥胖症合并多囊卵巢综合征中国专家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9"/>
        </w:rPr>
        <w:t>共识（2025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9"/>
        </w:rPr>
        <w:t>年版）》编写委员会成员名单</w:t>
      </w:r>
    </w:p>
    <w:p>
      <w:pPr>
        <w:pStyle w:val="BodyText"/>
        <w:ind w:left="1450"/>
        <w:spacing w:line="208" w:lineRule="auto"/>
        <w:rPr>
          <w:rFonts w:ascii="KaiTi" w:hAnsi="KaiTi" w:eastAsia="KaiTi" w:cs="KaiTi"/>
        </w:rPr>
      </w:pPr>
      <w:r>
        <w:rPr>
          <w:color w:val="231F20"/>
          <w:spacing w:val="-13"/>
        </w:rPr>
        <w:t>顾问：</w:t>
      </w:r>
      <w:r>
        <w:rPr>
          <w:rFonts w:ascii="KaiTi" w:hAnsi="KaiTi" w:eastAsia="KaiTi" w:cs="KaiTi"/>
          <w:color w:val="231F20"/>
          <w:spacing w:val="-13"/>
        </w:rPr>
        <w:t>陈子江，陈</w:t>
      </w:r>
      <w:r>
        <w:rPr>
          <w:rFonts w:ascii="KaiTi" w:hAnsi="KaiTi" w:eastAsia="KaiTi" w:cs="KaiTi"/>
          <w:color w:val="231F20"/>
          <w:spacing w:val="30"/>
        </w:rPr>
        <w:t xml:space="preserve"> </w:t>
      </w:r>
      <w:r>
        <w:rPr>
          <w:rFonts w:ascii="KaiTi" w:hAnsi="KaiTi" w:eastAsia="KaiTi" w:cs="KaiTi"/>
          <w:color w:val="231F20"/>
          <w:spacing w:val="-13"/>
        </w:rPr>
        <w:t>丽，张忠涛，刘金钢，王存川，朱晒红</w:t>
      </w:r>
    </w:p>
    <w:p>
      <w:pPr>
        <w:pStyle w:val="BodyText"/>
        <w:ind w:left="1456"/>
        <w:spacing w:before="39" w:line="208" w:lineRule="auto"/>
        <w:rPr>
          <w:rFonts w:ascii="KaiTi" w:hAnsi="KaiTi" w:eastAsia="KaiTi" w:cs="KaiTi"/>
        </w:rPr>
      </w:pPr>
      <w:r>
        <w:rPr>
          <w:color w:val="231F20"/>
          <w:spacing w:val="-4"/>
        </w:rPr>
        <w:t>主任委员：</w:t>
      </w:r>
      <w:r>
        <w:rPr>
          <w:rFonts w:ascii="KaiTi" w:hAnsi="KaiTi" w:eastAsia="KaiTi" w:cs="KaiTi"/>
          <w:color w:val="231F20"/>
          <w:spacing w:val="-4"/>
        </w:rPr>
        <w:t>胡三元</w:t>
      </w:r>
    </w:p>
    <w:p>
      <w:pPr>
        <w:pStyle w:val="BodyText"/>
        <w:ind w:left="1449"/>
        <w:spacing w:before="39" w:line="208" w:lineRule="auto"/>
        <w:rPr>
          <w:rFonts w:ascii="KaiTi" w:hAnsi="KaiTi" w:eastAsia="KaiTi" w:cs="KaiTi"/>
        </w:rPr>
      </w:pPr>
      <w:r>
        <w:rPr>
          <w:color w:val="231F20"/>
        </w:rPr>
        <w:t>成员</w:t>
      </w:r>
      <w:r>
        <w:rPr>
          <w:rFonts w:ascii="KaiTi" w:hAnsi="KaiTi" w:eastAsia="KaiTi" w:cs="KaiTi"/>
          <w:color w:val="231F20"/>
        </w:rPr>
        <w:t>（按姓氏笔画排序</w:t>
      </w:r>
      <w:r>
        <w:rPr>
          <w:rFonts w:ascii="KaiTi" w:hAnsi="KaiTi" w:eastAsia="KaiTi" w:cs="KaiTi"/>
          <w:color w:val="231F20"/>
          <w:spacing w:val="-49"/>
        </w:rPr>
        <w:t>）：</w:t>
      </w:r>
    </w:p>
    <w:p>
      <w:pPr>
        <w:ind w:left="1651" w:right="150" w:hanging="7"/>
        <w:spacing w:before="46" w:line="316" w:lineRule="auto"/>
        <w:jc w:val="both"/>
        <w:rPr>
          <w:rFonts w:ascii="KaiTi" w:hAnsi="KaiTi" w:eastAsia="KaiTi" w:cs="KaiTi"/>
          <w:sz w:val="17"/>
          <w:szCs w:val="17"/>
        </w:rPr>
      </w:pPr>
      <w:r>
        <w:rPr>
          <w:rFonts w:ascii="KaiTi" w:hAnsi="KaiTi" w:eastAsia="KaiTi" w:cs="KaiTi"/>
          <w:sz w:val="17"/>
          <w:szCs w:val="17"/>
          <w:color w:val="231F20"/>
          <w:spacing w:val="-15"/>
        </w:rPr>
        <w:t>丁印鲁，于卫华，王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兵，王</w:t>
      </w:r>
      <w:r>
        <w:rPr>
          <w:rFonts w:ascii="KaiTi" w:hAnsi="KaiTi" w:eastAsia="KaiTi" w:cs="KaiTi"/>
          <w:sz w:val="17"/>
          <w:szCs w:val="17"/>
          <w:color w:val="231F20"/>
          <w:spacing w:val="9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5"/>
        </w:rPr>
        <w:t>勇，尹剑辉，艾克拜尔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·艾力，</w:t>
      </w:r>
      <w:r>
        <w:rPr>
          <w:rFonts w:ascii="KaiTi" w:hAnsi="KaiTi" w:eastAsia="KaiTi" w:cs="KaiTi"/>
          <w:sz w:val="17"/>
          <w:szCs w:val="17"/>
          <w:color w:val="231F20"/>
          <w:spacing w:val="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白</w:t>
      </w:r>
      <w:r>
        <w:rPr>
          <w:rFonts w:ascii="KaiTi" w:hAnsi="KaiTi" w:eastAsia="KaiTi" w:cs="KaiTi"/>
          <w:sz w:val="17"/>
          <w:szCs w:val="17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日</w:t>
      </w:r>
      <w:r>
        <w:rPr>
          <w:rFonts w:ascii="KaiTi" w:hAnsi="KaiTi" w:eastAsia="KaiTi" w:cs="KaiTi"/>
          <w:sz w:val="17"/>
          <w:szCs w:val="17"/>
          <w:color w:val="231F20"/>
          <w:spacing w:val="-4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星，曲</w:t>
      </w:r>
      <w:r>
        <w:rPr>
          <w:rFonts w:ascii="KaiTi" w:hAnsi="KaiTi" w:eastAsia="KaiTi" w:cs="KaiTi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伸，朱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江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帆，朱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孝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成，朱利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7"/>
        </w:rPr>
        <w:t>勇，仲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明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8"/>
        </w:rPr>
        <w:t>惟，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11"/>
        </w:rPr>
        <w:t>任亦星，刘少壮，刘雁军，刘嘉茵，孙龙昊，孙喜太，</w:t>
      </w:r>
      <w:r>
        <w:rPr>
          <w:rFonts w:ascii="KaiTi" w:hAnsi="KaiTi" w:eastAsia="KaiTi" w:cs="KaiTi"/>
          <w:sz w:val="17"/>
          <w:szCs w:val="17"/>
          <w:color w:val="231F20"/>
          <w:spacing w:val="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孙</w:t>
      </w:r>
      <w:r>
        <w:rPr>
          <w:rFonts w:ascii="KaiTi" w:hAnsi="KaiTi" w:eastAsia="KaiTi" w:cs="KaiTi"/>
          <w:sz w:val="17"/>
          <w:szCs w:val="17"/>
          <w:color w:val="231F20"/>
          <w:spacing w:val="3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磊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，李</w:t>
      </w:r>
      <w:r>
        <w:rPr>
          <w:rFonts w:ascii="KaiTi" w:hAnsi="KaiTi" w:eastAsia="KaiTi" w:cs="KaiTi"/>
          <w:sz w:val="17"/>
          <w:szCs w:val="17"/>
          <w:color w:val="231F20"/>
          <w:spacing w:val="29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涛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，李</w:t>
      </w:r>
      <w:r>
        <w:rPr>
          <w:rFonts w:ascii="KaiTi" w:hAnsi="KaiTi" w:eastAsia="KaiTi" w:cs="KaiTi"/>
          <w:sz w:val="17"/>
          <w:szCs w:val="17"/>
          <w:color w:val="231F20"/>
          <w:spacing w:val="22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震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，花</w:t>
      </w:r>
      <w:r>
        <w:rPr>
          <w:rFonts w:ascii="KaiTi" w:hAnsi="KaiTi" w:eastAsia="KaiTi" w:cs="KaiTi"/>
          <w:sz w:val="17"/>
          <w:szCs w:val="17"/>
          <w:color w:val="231F20"/>
          <w:spacing w:val="30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荣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，杨</w:t>
      </w:r>
      <w:r>
        <w:rPr>
          <w:rFonts w:ascii="KaiTi" w:hAnsi="KaiTi" w:eastAsia="KaiTi" w:cs="KaiTi"/>
          <w:sz w:val="17"/>
          <w:szCs w:val="17"/>
          <w:color w:val="231F20"/>
          <w:spacing w:val="2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威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，杨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景哥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吴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立胜，吴</w:t>
      </w:r>
      <w:r>
        <w:rPr>
          <w:rFonts w:ascii="KaiTi" w:hAnsi="KaiTi" w:eastAsia="KaiTi" w:cs="KaiTi"/>
          <w:sz w:val="17"/>
          <w:szCs w:val="17"/>
          <w:color w:val="231F20"/>
          <w:spacing w:val="21"/>
          <w:w w:val="10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边，张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光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永，张松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海，张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建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成，张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曼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娜，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张</w:t>
      </w:r>
      <w:r>
        <w:rPr>
          <w:rFonts w:ascii="KaiTi" w:hAnsi="KaiTi" w:eastAsia="KaiTi" w:cs="KaiTi"/>
          <w:sz w:val="17"/>
          <w:szCs w:val="17"/>
          <w:color w:val="231F20"/>
          <w:spacing w:val="32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频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，张</w:t>
      </w:r>
      <w:r>
        <w:rPr>
          <w:rFonts w:ascii="KaiTi" w:hAnsi="KaiTi" w:eastAsia="KaiTi" w:cs="KaiTi"/>
          <w:sz w:val="17"/>
          <w:szCs w:val="17"/>
          <w:color w:val="231F20"/>
          <w:spacing w:val="2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鹏</w:t>
      </w:r>
      <w:r>
        <w:rPr>
          <w:rFonts w:ascii="KaiTi" w:hAnsi="KaiTi" w:eastAsia="KaiTi" w:cs="KaiTi"/>
          <w:sz w:val="17"/>
          <w:szCs w:val="17"/>
          <w:color w:val="231F20"/>
          <w:spacing w:val="-4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，陈</w:t>
      </w:r>
      <w:r>
        <w:rPr>
          <w:rFonts w:ascii="KaiTi" w:hAnsi="KaiTi" w:eastAsia="KaiTi" w:cs="KaiTi"/>
          <w:sz w:val="17"/>
          <w:szCs w:val="17"/>
          <w:color w:val="231F20"/>
          <w:spacing w:val="24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亿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，孟</w:t>
      </w:r>
      <w:r>
        <w:rPr>
          <w:rFonts w:ascii="KaiTi" w:hAnsi="KaiTi" w:eastAsia="KaiTi" w:cs="KaiTi"/>
          <w:sz w:val="17"/>
          <w:szCs w:val="17"/>
          <w:color w:val="231F20"/>
          <w:spacing w:val="23"/>
          <w:w w:val="10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化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，林</w:t>
      </w:r>
      <w:r>
        <w:rPr>
          <w:rFonts w:ascii="KaiTi" w:hAnsi="KaiTi" w:eastAsia="KaiTi" w:cs="KaiTi"/>
          <w:sz w:val="17"/>
          <w:szCs w:val="17"/>
          <w:color w:val="231F20"/>
          <w:spacing w:val="-4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士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波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，金</w:t>
      </w:r>
      <w:r>
        <w:rPr>
          <w:rFonts w:ascii="KaiTi" w:hAnsi="KaiTi" w:eastAsia="KaiTi" w:cs="KaiTi"/>
          <w:sz w:val="17"/>
          <w:szCs w:val="17"/>
          <w:color w:val="231F20"/>
          <w:spacing w:val="2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平</w:t>
      </w:r>
      <w:r>
        <w:rPr>
          <w:rFonts w:ascii="KaiTi" w:hAnsi="KaiTi" w:eastAsia="KaiTi" w:cs="KaiTi"/>
          <w:sz w:val="17"/>
          <w:szCs w:val="17"/>
          <w:color w:val="231F20"/>
          <w:spacing w:val="-4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6"/>
        </w:rPr>
        <w:t>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赵世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刚，赵君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利，赵</w:t>
      </w:r>
      <w:r>
        <w:rPr>
          <w:rFonts w:ascii="KaiTi" w:hAnsi="KaiTi" w:eastAsia="KaiTi" w:cs="KaiTi"/>
          <w:sz w:val="17"/>
          <w:szCs w:val="17"/>
          <w:color w:val="231F20"/>
          <w:spacing w:val="-36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象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文，赵</w:t>
      </w:r>
      <w:r>
        <w:rPr>
          <w:rFonts w:ascii="KaiTi" w:hAnsi="KaiTi" w:eastAsia="KaiTi" w:cs="KaiTi"/>
          <w:sz w:val="17"/>
          <w:szCs w:val="17"/>
          <w:color w:val="231F20"/>
          <w:spacing w:val="2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涵，胡</w:t>
      </w:r>
      <w:r>
        <w:rPr>
          <w:rFonts w:ascii="KaiTi" w:hAnsi="KaiTi" w:eastAsia="KaiTi" w:cs="KaiTi"/>
          <w:sz w:val="17"/>
          <w:szCs w:val="17"/>
          <w:color w:val="231F20"/>
          <w:spacing w:val="-4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扬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喜，姜</w:t>
      </w:r>
      <w:r>
        <w:rPr>
          <w:rFonts w:ascii="KaiTi" w:hAnsi="KaiTi" w:eastAsia="KaiTi" w:cs="KaiTi"/>
          <w:sz w:val="17"/>
          <w:szCs w:val="17"/>
          <w:color w:val="231F20"/>
          <w:spacing w:val="27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4"/>
        </w:rPr>
        <w:t>涛，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姚琪远，夏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泽锋，黄</w:t>
      </w:r>
      <w:r>
        <w:rPr>
          <w:rFonts w:ascii="KaiTi" w:hAnsi="KaiTi" w:eastAsia="KaiTi" w:cs="KaiTi"/>
          <w:sz w:val="17"/>
          <w:szCs w:val="17"/>
          <w:color w:val="231F20"/>
          <w:spacing w:val="26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鑫，梁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晓</w:t>
      </w:r>
      <w:r>
        <w:rPr>
          <w:rFonts w:ascii="KaiTi" w:hAnsi="KaiTi" w:eastAsia="KaiTi" w:cs="KaiTi"/>
          <w:sz w:val="17"/>
          <w:szCs w:val="17"/>
          <w:color w:val="231F20"/>
          <w:spacing w:val="-43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燕，梁</w:t>
      </w:r>
      <w:r>
        <w:rPr>
          <w:rFonts w:ascii="KaiTi" w:hAnsi="KaiTi" w:eastAsia="KaiTi" w:cs="KaiTi"/>
          <w:sz w:val="17"/>
          <w:szCs w:val="17"/>
          <w:color w:val="231F20"/>
          <w:spacing w:val="22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辉，董</w:t>
      </w:r>
      <w:r>
        <w:rPr>
          <w:rFonts w:ascii="KaiTi" w:hAnsi="KaiTi" w:eastAsia="KaiTi" w:cs="KaiTi"/>
          <w:sz w:val="17"/>
          <w:szCs w:val="17"/>
          <w:color w:val="231F20"/>
          <w:spacing w:val="-4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2"/>
        </w:rPr>
        <w:t>志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3"/>
        </w:rPr>
        <w:t>勇，</w:t>
      </w:r>
      <w:r>
        <w:rPr>
          <w:rFonts w:ascii="KaiTi" w:hAnsi="KaiTi" w:eastAsia="KaiTi" w:cs="KaiTi"/>
          <w:sz w:val="17"/>
          <w:szCs w:val="17"/>
          <w:color w:val="231F2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韩</w:t>
      </w:r>
      <w:r>
        <w:rPr>
          <w:rFonts w:ascii="KaiTi" w:hAnsi="KaiTi" w:eastAsia="KaiTi" w:cs="KaiTi"/>
          <w:sz w:val="17"/>
          <w:szCs w:val="17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建</w:t>
      </w:r>
      <w:r>
        <w:rPr>
          <w:rFonts w:ascii="KaiTi" w:hAnsi="KaiTi" w:eastAsia="KaiTi" w:cs="KaiTi"/>
          <w:sz w:val="17"/>
          <w:szCs w:val="17"/>
          <w:color w:val="231F20"/>
          <w:spacing w:val="-42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立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，韩</w:t>
      </w:r>
      <w:r>
        <w:rPr>
          <w:rFonts w:ascii="KaiTi" w:hAnsi="KaiTi" w:eastAsia="KaiTi" w:cs="KaiTi"/>
          <w:sz w:val="17"/>
          <w:szCs w:val="17"/>
          <w:color w:val="231F20"/>
          <w:spacing w:val="-39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晓</w:t>
      </w:r>
      <w:r>
        <w:rPr>
          <w:rFonts w:ascii="KaiTi" w:hAnsi="KaiTi" w:eastAsia="KaiTi" w:cs="KaiTi"/>
          <w:sz w:val="17"/>
          <w:szCs w:val="17"/>
          <w:color w:val="231F20"/>
          <w:spacing w:val="-27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东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，程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 xml:space="preserve"> 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中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，谢</w:t>
      </w:r>
      <w:r>
        <w:rPr>
          <w:rFonts w:ascii="KaiTi" w:hAnsi="KaiTi" w:eastAsia="KaiTi" w:cs="KaiTi"/>
          <w:sz w:val="17"/>
          <w:szCs w:val="17"/>
          <w:color w:val="231F20"/>
          <w:spacing w:val="21"/>
        </w:rPr>
        <w:t xml:space="preserve"> 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铭</w:t>
      </w:r>
      <w:r>
        <w:rPr>
          <w:rFonts w:ascii="KaiTi" w:hAnsi="KaiTi" w:eastAsia="KaiTi" w:cs="KaiTi"/>
          <w:sz w:val="17"/>
          <w:szCs w:val="17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，褚</w:t>
      </w:r>
      <w:r>
        <w:rPr>
          <w:rFonts w:ascii="KaiTi" w:hAnsi="KaiTi" w:eastAsia="KaiTi" w:cs="KaiTi"/>
          <w:sz w:val="17"/>
          <w:szCs w:val="17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薛</w:t>
      </w:r>
      <w:r>
        <w:rPr>
          <w:rFonts w:ascii="KaiTi" w:hAnsi="KaiTi" w:eastAsia="KaiTi" w:cs="KaiTi"/>
          <w:sz w:val="17"/>
          <w:szCs w:val="17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慧</w:t>
      </w:r>
      <w:r>
        <w:rPr>
          <w:rFonts w:ascii="KaiTi" w:hAnsi="KaiTi" w:eastAsia="KaiTi" w:cs="KaiTi"/>
          <w:sz w:val="17"/>
          <w:szCs w:val="17"/>
          <w:color w:val="231F20"/>
          <w:spacing w:val="-51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，蔺</w:t>
      </w:r>
      <w:r>
        <w:rPr>
          <w:rFonts w:ascii="KaiTi" w:hAnsi="KaiTi" w:eastAsia="KaiTi" w:cs="KaiTi"/>
          <w:sz w:val="17"/>
          <w:szCs w:val="17"/>
          <w:color w:val="231F20"/>
          <w:spacing w:val="-45"/>
        </w:rPr>
        <w:t xml:space="preserve"> </w:t>
      </w:r>
      <w:r>
        <w:rPr>
          <w:rFonts w:ascii="KaiTi" w:hAnsi="KaiTi" w:eastAsia="KaiTi" w:cs="KaiTi"/>
          <w:sz w:val="17"/>
          <w:szCs w:val="17"/>
          <w:color w:val="231F20"/>
          <w:spacing w:val="-14"/>
        </w:rPr>
        <w:t>宏伟</w:t>
      </w:r>
    </w:p>
    <w:p>
      <w:pPr>
        <w:pStyle w:val="BodyText"/>
        <w:ind w:left="1455"/>
        <w:spacing w:line="208" w:lineRule="auto"/>
        <w:rPr>
          <w:rFonts w:ascii="KaiTi" w:hAnsi="KaiTi" w:eastAsia="KaiTi" w:cs="KaiTi"/>
        </w:rPr>
      </w:pPr>
      <w:r>
        <w:rPr>
          <w:color w:val="231F20"/>
          <w:spacing w:val="-13"/>
        </w:rPr>
        <w:t>执笔者：</w:t>
      </w:r>
      <w:r>
        <w:rPr>
          <w:rFonts w:ascii="KaiTi" w:hAnsi="KaiTi" w:eastAsia="KaiTi" w:cs="KaiTi"/>
          <w:color w:val="231F20"/>
          <w:spacing w:val="-13"/>
        </w:rPr>
        <w:t>刘少壮，赵世刚，王</w:t>
      </w:r>
      <w:r>
        <w:rPr>
          <w:rFonts w:ascii="KaiTi" w:hAnsi="KaiTi" w:eastAsia="KaiTi" w:cs="KaiTi"/>
          <w:color w:val="231F20"/>
          <w:spacing w:val="46"/>
        </w:rPr>
        <w:t xml:space="preserve"> </w:t>
      </w:r>
      <w:r>
        <w:rPr>
          <w:rFonts w:ascii="KaiTi" w:hAnsi="KaiTi" w:eastAsia="KaiTi" w:cs="KaiTi"/>
          <w:color w:val="231F20"/>
          <w:spacing w:val="-13"/>
        </w:rPr>
        <w:t>勇，朱利勇，董志勇</w:t>
      </w:r>
    </w:p>
    <w:p>
      <w:pPr>
        <w:pStyle w:val="BodyText"/>
        <w:ind w:left="1454"/>
        <w:spacing w:before="39" w:line="210" w:lineRule="auto"/>
        <w:rPr>
          <w:rFonts w:ascii="KaiTi" w:hAnsi="KaiTi" w:eastAsia="KaiTi" w:cs="KaiTi"/>
        </w:rPr>
      </w:pPr>
      <w:r>
        <w:rPr>
          <w:color w:val="231F20"/>
          <w:spacing w:val="-13"/>
        </w:rPr>
        <w:t>秘书：</w:t>
      </w:r>
      <w:r>
        <w:rPr>
          <w:rFonts w:ascii="KaiTi" w:hAnsi="KaiTi" w:eastAsia="KaiTi" w:cs="KaiTi"/>
          <w:color w:val="231F20"/>
          <w:spacing w:val="-13"/>
        </w:rPr>
        <w:t>黄</w:t>
      </w:r>
      <w:r>
        <w:rPr>
          <w:rFonts w:ascii="KaiTi" w:hAnsi="KaiTi" w:eastAsia="KaiTi" w:cs="KaiTi"/>
          <w:color w:val="231F20"/>
          <w:spacing w:val="23"/>
        </w:rPr>
        <w:t xml:space="preserve"> </w:t>
      </w:r>
      <w:r>
        <w:rPr>
          <w:rFonts w:ascii="KaiTi" w:hAnsi="KaiTi" w:eastAsia="KaiTi" w:cs="KaiTi"/>
          <w:color w:val="231F20"/>
          <w:spacing w:val="-13"/>
        </w:rPr>
        <w:t>鑫</w:t>
      </w:r>
    </w:p>
    <w:p>
      <w:pPr>
        <w:pStyle w:val="BodyText"/>
        <w:ind w:left="1461" w:right="208" w:hanging="7"/>
        <w:spacing w:before="35" w:line="276" w:lineRule="auto"/>
        <w:rPr>
          <w:rFonts w:ascii="KaiTi" w:hAnsi="KaiTi" w:eastAsia="KaiTi" w:cs="KaiTi"/>
        </w:rPr>
      </w:pPr>
      <w:r>
        <w:rPr>
          <w:color w:val="231F20"/>
          <w:spacing w:val="9"/>
        </w:rPr>
        <w:t>利益冲突   </w:t>
      </w:r>
      <w:r>
        <w:rPr>
          <w:rFonts w:ascii="KaiTi" w:hAnsi="KaiTi" w:eastAsia="KaiTi" w:cs="KaiTi"/>
          <w:color w:val="231F20"/>
          <w:spacing w:val="9"/>
        </w:rPr>
        <w:t>所有参与本共识的编写人员均声明不存在利益</w:t>
      </w:r>
      <w:r>
        <w:rPr>
          <w:rFonts w:ascii="KaiTi" w:hAnsi="KaiTi" w:eastAsia="KaiTi" w:cs="KaiTi"/>
          <w:color w:val="231F20"/>
          <w:spacing w:val="13"/>
        </w:rPr>
        <w:t xml:space="preserve"> </w:t>
      </w:r>
      <w:r>
        <w:rPr>
          <w:rFonts w:ascii="KaiTi" w:hAnsi="KaiTi" w:eastAsia="KaiTi" w:cs="KaiTi"/>
          <w:color w:val="231F20"/>
        </w:rPr>
        <w:t>冲突</w:t>
      </w:r>
    </w:p>
    <w:p>
      <w:pPr>
        <w:pStyle w:val="BodyText"/>
        <w:ind w:left="1453"/>
        <w:spacing w:before="139" w:line="208" w:lineRule="auto"/>
        <w:rPr/>
      </w:pPr>
      <w:r>
        <w:rPr>
          <w:color w:val="231F20"/>
          <w:spacing w:val="-2"/>
        </w:rPr>
        <w:t>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2"/>
        </w:rPr>
        <w:t>考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2"/>
        </w:rPr>
        <w:t>文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2"/>
        </w:rPr>
        <w:t>献</w:t>
      </w:r>
    </w:p>
    <w:p>
      <w:pPr>
        <w:ind w:left="1847" w:right="206" w:hanging="456"/>
        <w:spacing w:before="190" w:line="30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［1］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中华人民共和国国家卫生健康委员会医政司</w:t>
      </w:r>
      <w:r>
        <w:rPr>
          <w:rFonts w:ascii="SimSun" w:hAnsi="SimSun" w:eastAsia="SimSun" w:cs="SimSun"/>
          <w:sz w:val="15"/>
          <w:szCs w:val="15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.肥胖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症中国诊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疗指南(2024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年版)［J］.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协和</w:t>
      </w:r>
      <w:r>
        <w:rPr>
          <w:rFonts w:ascii="SimSun" w:hAnsi="SimSun" w:eastAsia="SimSun" w:cs="SimSun"/>
          <w:sz w:val="15"/>
          <w:szCs w:val="15"/>
          <w:color w:val="231F20"/>
          <w:spacing w:val="-4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医学杂志,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2025,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16(01):90-108.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12290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/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xhyxzz.</w:t>
      </w:r>
    </w:p>
    <w:p>
      <w:pPr>
        <w:ind w:left="1849" w:right="206" w:hanging="458"/>
        <w:spacing w:before="66" w:line="31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［2］</w:t>
      </w:r>
      <w:r>
        <w:rPr>
          <w:rFonts w:ascii="SimSun" w:hAnsi="SimSun" w:eastAsia="SimSun" w:cs="SimSu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Eisenberg D,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Shikora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SA,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Aarts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2022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American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Society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 Metabolic and Bar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iatric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(ASMBS)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International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Federation for the Surgery of Obe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sity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Metabolic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Disorders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(IFSO) indications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for metabolic and bar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iatric surgery［J］. Obes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33(1):3-14.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10.1007/s11695-022-06332-1.</w:t>
      </w:r>
    </w:p>
    <w:p>
      <w:pPr>
        <w:ind w:left="1843" w:right="206" w:hanging="452"/>
        <w:spacing w:before="67" w:line="3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［3］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中华医学会外科学分会甲状腺及代谢外科学组,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中国医师协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会外科医师分会肥胖和代谢病外科专家工作组</w:t>
      </w:r>
      <w:r>
        <w:rPr>
          <w:rFonts w:ascii="SimSun" w:hAnsi="SimSun" w:eastAsia="SimSun" w:cs="SimSun"/>
          <w:sz w:val="15"/>
          <w:szCs w:val="15"/>
          <w:color w:val="231F20"/>
          <w:spacing w:val="-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中国肥胖及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代谢疾病外科治疗指南（2024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版</w:t>
      </w:r>
      <w:r>
        <w:rPr>
          <w:rFonts w:ascii="SimSun" w:hAnsi="SimSun" w:eastAsia="SimSun" w:cs="SimSun"/>
          <w:sz w:val="15"/>
          <w:szCs w:val="15"/>
          <w:color w:val="231F20"/>
          <w:spacing w:val="-39"/>
          <w:w w:val="92"/>
        </w:rPr>
        <w:t>）［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J］. 中国实用外科杂志,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2024,44(8):841-849.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DOI:10.19538/j.cjps.issn1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005-2208.2024.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08.01.</w:t>
      </w:r>
    </w:p>
    <w:p>
      <w:pPr>
        <w:ind w:left="1850" w:right="207" w:hanging="459"/>
        <w:spacing w:before="49" w:line="3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［4］</w:t>
      </w:r>
      <w:r>
        <w:rPr>
          <w:rFonts w:ascii="SimSun" w:hAnsi="SimSun" w:eastAsia="SimSun" w:cs="SimSun"/>
          <w:sz w:val="15"/>
          <w:szCs w:val="15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Joham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AE,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Norman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RJ,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Stener-Victorin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Polycystic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syndrome［J］.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Lancet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Diabetes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Endocrinol,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2022,</w:t>
      </w:r>
      <w:r>
        <w:rPr>
          <w:rFonts w:ascii="SimSun" w:hAnsi="SimSun" w:eastAsia="SimSun" w:cs="SimSun"/>
          <w:sz w:val="15"/>
          <w:szCs w:val="15"/>
          <w:color w:val="231F20"/>
          <w:spacing w:val="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10(9):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668-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680.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10.1016/S2213-8587(22)001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63-2.</w:t>
      </w:r>
    </w:p>
    <w:p>
      <w:pPr>
        <w:ind w:left="1846" w:right="205" w:hanging="455"/>
        <w:spacing w:before="61" w:line="32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［5］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Yue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Huang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X,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Zhang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W,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Metaboli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with polycystic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ovary syndrome: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systemati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Front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Endocrinol,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2022, 13:848947. DOI: 10.3389/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fendo.2022.848947.</w:t>
      </w:r>
    </w:p>
    <w:p>
      <w:pPr>
        <w:ind w:left="1791" w:right="206" w:hanging="400"/>
        <w:spacing w:before="47" w:line="297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［6］</w:t>
      </w:r>
      <w:r>
        <w:rPr>
          <w:rFonts w:ascii="SimSun" w:hAnsi="SimSun" w:eastAsia="SimSun" w:cs="SimSun"/>
          <w:sz w:val="15"/>
          <w:szCs w:val="15"/>
          <w:color w:val="231F20"/>
          <w:spacing w:val="4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Li YJ,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Han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Y,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He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Effect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bariatric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obese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poly-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cystic ovary syndrome: A systematic review and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meta-analysis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Obes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Relat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Dis,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2019, 15(6):942-950.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OI: 10.1016/j.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061"/>
        <w:spacing w:before="34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1"/>
        </w:rPr>
        <w:t>159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</w:p>
    <w:p>
      <w:pPr>
        <w:ind w:left="460"/>
        <w:spacing w:before="213" w:line="22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soard.2019.03.032.</w:t>
      </w:r>
    </w:p>
    <w:p>
      <w:pPr>
        <w:ind w:left="457" w:right="1439" w:hanging="458"/>
        <w:spacing w:before="47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［7］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Teede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HJ,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Misso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ML,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Costello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MF,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ecommendations from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international evidenc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e-based guideline for the assessment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polycystic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syndrome［J］.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Hum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Reprod.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2018,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33(9):1602-1618.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10.1093/humr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ep/dey256.</w:t>
      </w:r>
    </w:p>
    <w:p>
      <w:pPr>
        <w:ind w:left="457" w:right="1440" w:hanging="457"/>
        <w:spacing w:before="67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［8］</w:t>
      </w:r>
      <w:r>
        <w:rPr>
          <w:rFonts w:ascii="SimSun" w:hAnsi="SimSun" w:eastAsia="SimSun" w:cs="SimSun"/>
          <w:sz w:val="15"/>
          <w:szCs w:val="15"/>
          <w:color w:val="231F20"/>
          <w:spacing w:val="5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Teede HJ, Tay CT, Laven J, et al. Recommendations from the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2023 international evidence-based guideline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assessment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and management of polycystic ovary synd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rome［J］. Hum 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prod,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38(9):1655-1679.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10.1093/humrep/dead156.</w:t>
      </w:r>
    </w:p>
    <w:p>
      <w:pPr>
        <w:ind w:left="459" w:right="1438" w:hanging="459"/>
        <w:spacing w:before="70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［9］</w:t>
      </w:r>
      <w:r>
        <w:rPr>
          <w:rFonts w:ascii="SimSun" w:hAnsi="SimSun" w:eastAsia="SimSun" w:cs="SimSun"/>
          <w:sz w:val="15"/>
          <w:szCs w:val="15"/>
          <w:color w:val="231F20"/>
          <w:spacing w:val="6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Norman RJ, Dewailly D, Legro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RS,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Polycystic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drome［J］.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Lancet, 2007,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370(9588):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685-697.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10.1016/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S0140-6736(07)61345-2.</w:t>
      </w:r>
    </w:p>
    <w:p>
      <w:pPr>
        <w:ind w:left="537" w:right="1439" w:hanging="537"/>
        <w:spacing w:before="62" w:line="3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［10］</w:t>
      </w:r>
      <w:r>
        <w:rPr>
          <w:rFonts w:ascii="SimSun" w:hAnsi="SimSun" w:eastAsia="SimSun" w:cs="SimSun"/>
          <w:sz w:val="15"/>
          <w:szCs w:val="15"/>
          <w:color w:val="231F20"/>
          <w:spacing w:val="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Scragg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Hobson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Willis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Effect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weight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loss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int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er-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ventions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symptomatic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burden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biomarkers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polycys-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tic ovary syndrome: A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systemati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 randomized</w:t>
      </w:r>
      <w:r>
        <w:rPr>
          <w:rFonts w:ascii="SimSun" w:hAnsi="SimSun" w:eastAsia="SimSun" w:cs="SimSun"/>
          <w:sz w:val="15"/>
          <w:szCs w:val="15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trolled trials［J］. Ann Inter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n Med, 2024,</w:t>
      </w:r>
      <w:r>
        <w:rPr>
          <w:rFonts w:ascii="SimSun" w:hAnsi="SimSun" w:eastAsia="SimSun" w:cs="SimSun"/>
          <w:sz w:val="15"/>
          <w:szCs w:val="15"/>
          <w:color w:val="231F20"/>
          <w:spacing w:val="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177(12):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1664-1674.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10.7326/M23-3179.</w:t>
      </w:r>
    </w:p>
    <w:p>
      <w:pPr>
        <w:ind w:left="535" w:right="1439" w:hanging="535"/>
        <w:spacing w:before="59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［11］</w:t>
      </w:r>
      <w:r>
        <w:rPr>
          <w:rFonts w:ascii="SimSun" w:hAnsi="SimSun" w:eastAsia="SimSun" w:cs="SimSun"/>
          <w:sz w:val="15"/>
          <w:szCs w:val="15"/>
          <w:color w:val="231F2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Yang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Li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Q,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Zhou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Changes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prevalence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poly-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cystic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syndrome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China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over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past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ecade［J］.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Lancet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Reg Health West Pac, 2022,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25: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100494. DOI: 10.101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6/j.lan-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"/>
        </w:rPr>
        <w:t>wpc.2022.100494.</w:t>
      </w:r>
    </w:p>
    <w:p>
      <w:pPr>
        <w:ind w:left="530" w:right="1438" w:hanging="530"/>
        <w:spacing w:before="68" w:line="315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［12］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Lim SS, Norman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RJ,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Davies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MJ,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effect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obesity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on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polycystic</w:t>
      </w:r>
      <w:r>
        <w:rPr>
          <w:rFonts w:ascii="SimSun" w:hAnsi="SimSun" w:eastAsia="SimSun" w:cs="SimSun"/>
          <w:sz w:val="15"/>
          <w:szCs w:val="15"/>
          <w:color w:val="231F20"/>
          <w:spacing w:val="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syndrome:</w:t>
      </w:r>
      <w:r>
        <w:rPr>
          <w:rFonts w:ascii="SimSun" w:hAnsi="SimSun" w:eastAsia="SimSun" w:cs="SimSun"/>
          <w:sz w:val="15"/>
          <w:szCs w:val="15"/>
          <w:color w:val="231F20"/>
          <w:spacing w:val="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review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Meta-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analysis［J］.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Obes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Rev, 2013,</w:t>
      </w:r>
      <w:r>
        <w:rPr>
          <w:rFonts w:ascii="SimSun" w:hAnsi="SimSun" w:eastAsia="SimSun" w:cs="SimSun"/>
          <w:sz w:val="15"/>
          <w:szCs w:val="15"/>
          <w:color w:val="231F20"/>
          <w:spacing w:val="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14(2):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95-109.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10.1111/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j.1467-789X.2012.01053.x.</w:t>
      </w:r>
    </w:p>
    <w:p>
      <w:pPr>
        <w:ind w:left="535" w:right="1438" w:hanging="535"/>
        <w:spacing w:before="67" w:line="3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［13］</w:t>
      </w:r>
      <w:r>
        <w:rPr>
          <w:rFonts w:ascii="SimSun" w:hAnsi="SimSun" w:eastAsia="SimSun" w:cs="SimSun"/>
          <w:sz w:val="15"/>
          <w:szCs w:val="15"/>
          <w:color w:val="231F20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Royal College of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Obstetricians and Gynaecologists. Long-term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consequences of polycystic ovary syndrome (green-top guide-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line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No.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33)［EB/OL］.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(2024-12-13)［2025-1-16］. </w:t>
      </w:r>
      <w:hyperlink w:history="true" r:id="rId6">
        <w:r>
          <w:rPr>
            <w:rFonts w:ascii="SimSun" w:hAnsi="SimSun" w:eastAsia="SimSun" w:cs="SimSun"/>
            <w:sz w:val="15"/>
            <w:szCs w:val="15"/>
            <w:color w:val="231F20"/>
            <w:spacing w:val="-8"/>
          </w:rPr>
          <w:t>https://</w:t>
        </w:r>
      </w:hyperlink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hyperlink w:history="true" r:id="rId7">
        <w:r>
          <w:rPr>
            <w:rFonts w:ascii="SimSun" w:hAnsi="SimSun" w:eastAsia="SimSun" w:cs="SimSun"/>
            <w:sz w:val="15"/>
            <w:szCs w:val="15"/>
            <w:color w:val="231F20"/>
            <w:spacing w:val="-7"/>
          </w:rPr>
          <w:t>www. rcog. org. uk</w:t>
        </w:r>
        <w:r>
          <w:rPr>
            <w:rFonts w:ascii="SimSun" w:hAnsi="SimSun" w:eastAsia="SimSun" w:cs="SimSun"/>
            <w:sz w:val="15"/>
            <w:szCs w:val="15"/>
            <w:color w:val="231F20"/>
            <w:spacing w:val="-19"/>
          </w:rPr>
          <w:t xml:space="preserve"> </w:t>
        </w:r>
        <w:r>
          <w:rPr>
            <w:rFonts w:ascii="SimSun" w:hAnsi="SimSun" w:eastAsia="SimSun" w:cs="SimSun"/>
            <w:sz w:val="15"/>
            <w:szCs w:val="15"/>
            <w:color w:val="231F20"/>
            <w:spacing w:val="-7"/>
          </w:rPr>
          <w:t>/ guidance</w:t>
        </w:r>
        <w:r>
          <w:rPr>
            <w:rFonts w:ascii="SimSun" w:hAnsi="SimSun" w:eastAsia="SimSun" w:cs="SimSun"/>
            <w:sz w:val="15"/>
            <w:szCs w:val="15"/>
            <w:color w:val="231F20"/>
            <w:spacing w:val="-34"/>
          </w:rPr>
          <w:t xml:space="preserve"> </w:t>
        </w:r>
        <w:r>
          <w:rPr>
            <w:rFonts w:ascii="SimSun" w:hAnsi="SimSun" w:eastAsia="SimSun" w:cs="SimSun"/>
            <w:sz w:val="15"/>
            <w:szCs w:val="15"/>
            <w:color w:val="231F20"/>
            <w:spacing w:val="-7"/>
          </w:rPr>
          <w:t>/ browse-all-guidance</w:t>
        </w:r>
        <w:r>
          <w:rPr>
            <w:rFonts w:ascii="SimSun" w:hAnsi="SimSun" w:eastAsia="SimSun" w:cs="SimSun"/>
            <w:sz w:val="15"/>
            <w:szCs w:val="15"/>
            <w:color w:val="231F20"/>
            <w:spacing w:val="-34"/>
          </w:rPr>
          <w:t xml:space="preserve"> </w:t>
        </w:r>
        <w:r>
          <w:rPr>
            <w:rFonts w:ascii="SimSun" w:hAnsi="SimSun" w:eastAsia="SimSun" w:cs="SimSun"/>
            <w:sz w:val="15"/>
            <w:szCs w:val="15"/>
            <w:color w:val="231F20"/>
            <w:spacing w:val="-7"/>
          </w:rPr>
          <w:t>/ green</w:t>
        </w:r>
      </w:hyperlink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top-guidelines/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long-term-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consequences-of-polycystic-ovary-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syndrome-green-top-guideline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-no-33.</w:t>
      </w:r>
    </w:p>
    <w:p>
      <w:pPr>
        <w:ind w:left="537" w:right="1440" w:hanging="538"/>
        <w:spacing w:before="69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［14］</w:t>
      </w:r>
      <w:r>
        <w:rPr>
          <w:rFonts w:ascii="SimSun" w:hAnsi="SimSun" w:eastAsia="SimSun" w:cs="SimSun"/>
          <w:sz w:val="15"/>
          <w:szCs w:val="15"/>
          <w:color w:val="231F20"/>
          <w:spacing w:val="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李梦伊,刘雁军,王桂琦,等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大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中华减重与代谢手术数据库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2023年度报告［J］. 中国实用外科杂志,2024,44(5):552-563+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570.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DOI:10.19538/j.cjps.issn1005-2208.2024.05.15.</w:t>
      </w:r>
    </w:p>
    <w:p>
      <w:pPr>
        <w:ind w:left="537" w:right="1440" w:hanging="537"/>
        <w:spacing w:before="67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［15］</w:t>
      </w:r>
      <w:r>
        <w:rPr>
          <w:rFonts w:ascii="SimSun" w:hAnsi="SimSun" w:eastAsia="SimSun" w:cs="SimSun"/>
          <w:sz w:val="15"/>
          <w:szCs w:val="15"/>
          <w:color w:val="231F20"/>
          <w:spacing w:val="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岳雯雯,黄鑫,刘腾,等</w:t>
      </w:r>
      <w:r>
        <w:rPr>
          <w:rFonts w:ascii="SimSun" w:hAnsi="SimSun" w:eastAsia="SimSun" w:cs="SimSun"/>
          <w:sz w:val="15"/>
          <w:szCs w:val="15"/>
          <w:color w:val="231F20"/>
          <w:spacing w:val="-3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5"/>
        </w:rPr>
        <w:t>山东省减重与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代谢手术病例注册系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统报告(2021)［J］.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腹腔镜外科杂志,2022,27(10):724-728+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733.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DOI:10.13499/j.cnki.fqjwkzz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.2022.10.724.</w:t>
      </w:r>
    </w:p>
    <w:p>
      <w:pPr>
        <w:ind w:left="537" w:right="1439" w:hanging="538"/>
        <w:spacing w:before="68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［16］</w:t>
      </w:r>
      <w:r>
        <w:rPr>
          <w:rFonts w:ascii="SimSun" w:hAnsi="SimSun" w:eastAsia="SimSun" w:cs="SimSun"/>
          <w:sz w:val="15"/>
          <w:szCs w:val="15"/>
          <w:color w:val="231F20"/>
          <w:spacing w:val="6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中华医学会妇产科学分会内分泌学组及指南专家组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7"/>
        </w:rPr>
        <w:t>多囊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卵巢综合征中国诊疗指南［J］. 中华妇产科杂志,2018,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53(1):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2-6.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4"/>
        </w:rPr>
        <w:t>DOI:10.3760/cma.j.issn.0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529-567X.2018.01.002.</w:t>
      </w:r>
    </w:p>
    <w:p>
      <w:pPr>
        <w:ind w:left="537" w:right="1439" w:hanging="537"/>
        <w:spacing w:before="70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［17］</w:t>
      </w:r>
      <w:r>
        <w:rPr>
          <w:rFonts w:ascii="SimSun" w:hAnsi="SimSun" w:eastAsia="SimSun" w:cs="SimSun"/>
          <w:sz w:val="15"/>
          <w:szCs w:val="15"/>
          <w:color w:val="231F20"/>
          <w:spacing w:val="5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Hatch R, Rosenfield RL, Kim MH, et al. Hirsutism: Implic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tions,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etiology,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management［J］.</w:t>
      </w:r>
      <w:r>
        <w:rPr>
          <w:rFonts w:ascii="SimSun" w:hAnsi="SimSun" w:eastAsia="SimSun" w:cs="SimSun"/>
          <w:sz w:val="15"/>
          <w:szCs w:val="15"/>
          <w:color w:val="231F20"/>
          <w:spacing w:val="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Am J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Obstet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Gynec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ol,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1981,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140(7):815-830.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</w:rPr>
        <w:t>DOI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: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10.1016/0002-9378(81)90746-8.</w:t>
      </w:r>
    </w:p>
    <w:p>
      <w:pPr>
        <w:ind w:left="535" w:right="1439" w:hanging="535"/>
        <w:spacing w:before="68" w:line="30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［18］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Odom R,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Dahl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Dover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Standard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management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</w:rPr>
        <w:t>options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rosacea,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part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2:</w:t>
      </w:r>
      <w:r>
        <w:rPr>
          <w:rFonts w:ascii="SimSun" w:hAnsi="SimSun" w:eastAsia="SimSun" w:cs="SimSun"/>
          <w:sz w:val="15"/>
          <w:szCs w:val="15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Options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according</w:t>
      </w:r>
      <w:r>
        <w:rPr>
          <w:rFonts w:ascii="SimSun" w:hAnsi="SimSun" w:eastAsia="SimSun" w:cs="SimSun"/>
          <w:sz w:val="15"/>
          <w:szCs w:val="15"/>
          <w:color w:val="231F20"/>
          <w:spacing w:val="1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o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subtype［J］.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>Cutis,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2009,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84(2):97-104.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PMID：19746768.</w:t>
      </w:r>
    </w:p>
    <w:p>
      <w:pPr>
        <w:ind w:left="550" w:right="1441" w:hanging="551"/>
        <w:spacing w:before="67" w:line="298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</w:rPr>
        <w:t>［19］</w:t>
      </w:r>
      <w:r>
        <w:rPr>
          <w:rFonts w:ascii="SimSun" w:hAnsi="SimSun" w:eastAsia="SimSun" w:cs="SimSun"/>
          <w:sz w:val="15"/>
          <w:szCs w:val="15"/>
          <w:color w:val="231F20"/>
          <w:spacing w:val="4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王征宇,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迟玉芬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焦虑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自评量表(SAS)［J］.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上海精神</w:t>
      </w:r>
      <w:r>
        <w:rPr>
          <w:rFonts w:ascii="SimSun" w:hAnsi="SimSun" w:eastAsia="SimSun" w:cs="SimSun"/>
          <w:sz w:val="15"/>
          <w:szCs w:val="15"/>
          <w:color w:val="231F20"/>
          <w:spacing w:val="-4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医学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1984,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4(2):73-74.</w:t>
      </w:r>
    </w:p>
    <w:p>
      <w:pPr>
        <w:spacing w:before="72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［20］</w:t>
      </w:r>
      <w:r>
        <w:rPr>
          <w:rFonts w:ascii="SimSun" w:hAnsi="SimSun" w:eastAsia="SimSun" w:cs="SimSun"/>
          <w:sz w:val="15"/>
          <w:szCs w:val="15"/>
          <w:color w:val="231F20"/>
          <w:spacing w:val="4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王征宇,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迟玉芬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抑郁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自评量表(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SDS</w:t>
      </w:r>
      <w:r>
        <w:rPr>
          <w:rFonts w:ascii="SimSun" w:hAnsi="SimSun" w:eastAsia="SimSun" w:cs="SimSun"/>
          <w:sz w:val="15"/>
          <w:szCs w:val="15"/>
          <w:color w:val="231F20"/>
          <w:spacing w:val="1"/>
          <w:position w:val="1"/>
        </w:rPr>
        <w:t>)［J］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上海精神医学,</w:t>
      </w:r>
    </w:p>
    <w:p>
      <w:pPr>
        <w:ind w:left="551"/>
        <w:spacing w:before="67" w:line="20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1984,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4(2):71-72.</w:t>
      </w:r>
    </w:p>
    <w:p>
      <w:pPr>
        <w:pStyle w:val="BodyText"/>
        <w:ind w:left="3453"/>
        <w:spacing w:before="1" w:line="158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-3"/>
        </w:rPr>
        <w:t>（下转</w:t>
      </w:r>
      <w:r>
        <w:rPr>
          <w:color w:val="231F20"/>
          <w:spacing w:val="-3"/>
        </w:rPr>
        <w:t>164 </w:t>
      </w:r>
      <w:r>
        <w:rPr>
          <w:rFonts w:ascii="KaiTi" w:hAnsi="KaiTi" w:eastAsia="KaiTi" w:cs="KaiTi"/>
          <w:color w:val="231F20"/>
          <w:spacing w:val="-3"/>
        </w:rPr>
        <w:t>页）</w:t>
      </w:r>
    </w:p>
    <w:p>
      <w:pPr>
        <w:spacing w:line="158" w:lineRule="auto"/>
        <w:sectPr>
          <w:type w:val="continuous"/>
          <w:pgSz w:w="12246" w:h="17179"/>
          <w:pgMar w:top="0" w:right="0" w:bottom="0" w:left="0" w:header="0" w:footer="0" w:gutter="0"/>
          <w:cols w:equalWidth="0" w:num="2">
            <w:col w:w="6152" w:space="100"/>
            <w:col w:w="5994" w:space="0"/>
          </w:cols>
        </w:sectPr>
        <w:rPr>
          <w:rFonts w:ascii="KaiTi" w:hAnsi="KaiTi" w:eastAsia="KaiTi" w:cs="KaiTi"/>
        </w:rPr>
      </w:pPr>
    </w:p>
    <w:p>
      <w:pPr>
        <w:spacing w:before="13"/>
        <w:rPr/>
      </w:pPr>
      <w:r>
        <w:drawing>
          <wp:anchor distT="0" distB="0" distL="0" distR="0" simplePos="0" relativeHeight="251667456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-3139</wp:posOffset>
            </wp:positionV>
            <wp:extent cx="7775956" cy="635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775956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13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2"/>
        <w:rPr/>
      </w:pPr>
      <w:r/>
    </w:p>
    <w:p>
      <w:pPr>
        <w:sectPr>
          <w:pgSz w:w="12246" w:h="17179"/>
          <w:pgMar w:top="0" w:right="0" w:bottom="0" w:left="0" w:header="0" w:footer="0" w:gutter="0"/>
          <w:cols w:equalWidth="0" w:num="1">
            <w:col w:w="12246" w:space="0"/>
          </w:cols>
        </w:sectPr>
        <w:rPr/>
      </w:pPr>
    </w:p>
    <w:p>
      <w:pPr>
        <w:pStyle w:val="BodyText"/>
        <w:ind w:left="1472"/>
        <w:spacing w:before="35" w:line="22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sz w:val="15"/>
          <w:szCs w:val="15"/>
          <w:color w:val="231F20"/>
          <w:spacing w:val="-21"/>
        </w:rPr>
        <w:t>164</w:t>
      </w:r>
      <w:r>
        <w:rPr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>·</w:t>
      </w:r>
    </w:p>
    <w:p>
      <w:pPr>
        <w:ind w:left="1930" w:right="207"/>
        <w:spacing w:before="210" w:line="327" w:lineRule="auto"/>
        <w:jc w:val="both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long-term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mortality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postoperative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mplications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patients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undergoing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endovascu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lar</w:t>
      </w:r>
      <w:r>
        <w:rPr>
          <w:rFonts w:ascii="SimSun" w:hAnsi="SimSun" w:eastAsia="SimSun" w:cs="SimSun"/>
          <w:sz w:val="15"/>
          <w:szCs w:val="15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aortic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aneurysm</w:t>
      </w:r>
      <w:r>
        <w:rPr>
          <w:rFonts w:ascii="SimSun" w:hAnsi="SimSun" w:eastAsia="SimSun" w:cs="SimSun"/>
          <w:sz w:val="15"/>
          <w:szCs w:val="15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repair［J］.</w:t>
      </w:r>
      <w:r>
        <w:rPr>
          <w:rFonts w:ascii="SimSun" w:hAnsi="SimSun" w:eastAsia="SimSun" w:cs="SimSun"/>
          <w:sz w:val="15"/>
          <w:szCs w:val="15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Vasc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2020,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72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(5):1674-1680.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 10.1016/j.jvs.202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0.01.045.</w:t>
      </w:r>
    </w:p>
    <w:p>
      <w:pPr>
        <w:ind w:left="1922" w:right="206" w:hanging="530"/>
        <w:spacing w:before="6" w:line="31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［27］</w:t>
      </w:r>
      <w:r>
        <w:rPr>
          <w:rFonts w:ascii="SimSun" w:hAnsi="SimSun" w:eastAsia="SimSun" w:cs="SimSun"/>
          <w:sz w:val="15"/>
          <w:szCs w:val="15"/>
          <w:color w:val="231F2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Sandrucci S. Frailty: How to asses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s, prognostic role［J］. Eur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J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Oncol,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50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(5):106862.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 10.1016/j.ejso.2023.03.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002.</w:t>
      </w:r>
    </w:p>
    <w:p>
      <w:pPr>
        <w:ind w:left="1930" w:right="207" w:hanging="538"/>
        <w:spacing w:before="44" w:line="310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［28］</w:t>
      </w:r>
      <w:r>
        <w:rPr>
          <w:rFonts w:ascii="SimSun" w:hAnsi="SimSun" w:eastAsia="SimSun" w:cs="SimSun"/>
          <w:sz w:val="15"/>
          <w:szCs w:val="15"/>
          <w:color w:val="231F20"/>
          <w:spacing w:val="4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Buta BJ,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Walston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JD, Godino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JG,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Frail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ty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assessment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struments: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characterization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uses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contexts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highly-cited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instruments［J］.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Ageing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Rev,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16,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26:53-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61.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10.1016/j.arr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.2015.12.003.</w:t>
      </w:r>
    </w:p>
    <w:p>
      <w:pPr>
        <w:ind w:left="1929" w:right="206" w:hanging="537"/>
        <w:spacing w:before="64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［29］</w:t>
      </w:r>
      <w:r>
        <w:rPr>
          <w:rFonts w:ascii="SimSun" w:hAnsi="SimSun" w:eastAsia="SimSun" w:cs="SimSun"/>
          <w:sz w:val="15"/>
          <w:szCs w:val="15"/>
          <w:color w:val="231F20"/>
          <w:spacing w:val="5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McIsaac DI,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Harris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EP,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Hladkowicz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Prospective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com-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parison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preoperati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ve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predictive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performance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between 3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lead-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ing frailty instrumen</w:t>
      </w:r>
      <w:r>
        <w:rPr>
          <w:rFonts w:ascii="SimSun" w:hAnsi="SimSun" w:eastAsia="SimSun" w:cs="SimSun"/>
          <w:sz w:val="15"/>
          <w:szCs w:val="15"/>
          <w:color w:val="231F20"/>
          <w:spacing w:val="-11"/>
        </w:rPr>
        <w:t>ts［J］. Anesth Analg, 2019, 131 (1):263-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42"/>
        <w:spacing w:before="35" w:line="25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中国实用外科杂志 2025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年2月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45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8"/>
        </w:rPr>
        <w:t>卷 第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color w:val="231F20"/>
          <w:spacing w:val="7"/>
        </w:rPr>
        <w:t>2期</w:t>
      </w:r>
    </w:p>
    <w:p>
      <w:pPr>
        <w:ind w:left="538"/>
        <w:spacing w:before="240" w:line="212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272.</w:t>
      </w:r>
      <w:r>
        <w:rPr>
          <w:rFonts w:ascii="SimSun" w:hAnsi="SimSun" w:eastAsia="SimSun" w:cs="SimSun"/>
          <w:sz w:val="15"/>
          <w:szCs w:val="15"/>
          <w:color w:val="231F20"/>
          <w:spacing w:val="-1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2"/>
          <w:position w:val="1"/>
        </w:rPr>
        <w:t>10.1213/ane.0000000000004475.</w:t>
      </w:r>
    </w:p>
    <w:p>
      <w:pPr>
        <w:ind w:left="530" w:right="1445" w:hanging="531"/>
        <w:spacing w:before="56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［30］</w:t>
      </w:r>
      <w:r>
        <w:rPr>
          <w:rFonts w:ascii="SimSun" w:hAnsi="SimSun" w:eastAsia="SimSun" w:cs="SimSun"/>
          <w:sz w:val="15"/>
          <w:szCs w:val="15"/>
          <w:color w:val="231F20"/>
          <w:spacing w:val="5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Bai C, Mardini MT. Advances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artificial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intelligence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dicting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frailty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using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real-world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2"/>
        </w:rPr>
        <w:t>data: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scoping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review［J］.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>Age-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ing Res Rev,</w:t>
      </w:r>
      <w:r>
        <w:rPr>
          <w:rFonts w:ascii="SimSun" w:hAnsi="SimSun" w:eastAsia="SimSun" w:cs="SimSun"/>
          <w:sz w:val="15"/>
          <w:szCs w:val="15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2024, 101: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102529. DOI: 10.1016/j.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arr.2024.102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>529.</w:t>
      </w:r>
    </w:p>
    <w:p>
      <w:pPr>
        <w:ind w:left="530" w:right="1443" w:hanging="530"/>
        <w:spacing w:before="43" w:line="30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［31］</w:t>
      </w:r>
      <w:r>
        <w:rPr>
          <w:rFonts w:ascii="SimSun" w:hAnsi="SimSun" w:eastAsia="SimSun" w:cs="SimSu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Mishra M,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Wu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Kane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E,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intersection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frailty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metabolism［J］.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Cell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Metab,</w:t>
      </w:r>
      <w:r>
        <w:rPr>
          <w:rFonts w:ascii="SimSun" w:hAnsi="SimSun" w:eastAsia="SimSun" w:cs="SimSun"/>
          <w:sz w:val="15"/>
          <w:szCs w:val="15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36</w:t>
      </w:r>
      <w:r>
        <w:rPr>
          <w:rFonts w:ascii="SimSun" w:hAnsi="SimSun" w:eastAsia="SimSun" w:cs="SimSun"/>
          <w:sz w:val="15"/>
          <w:szCs w:val="15"/>
          <w:color w:val="231F20"/>
          <w:spacing w:val="-3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(5):893-911.</w:t>
      </w:r>
      <w:r>
        <w:rPr>
          <w:rFonts w:ascii="SimSun" w:hAnsi="SimSun" w:eastAsia="SimSun" w:cs="SimSun"/>
          <w:sz w:val="15"/>
          <w:szCs w:val="15"/>
          <w:color w:val="231F20"/>
          <w:spacing w:val="-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10.1016/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j.cmet.2024.03.012.</w:t>
      </w:r>
    </w:p>
    <w:p>
      <w:pPr>
        <w:ind w:left="480" w:right="1443" w:hanging="480"/>
        <w:spacing w:before="64" w:line="316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［32］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McIsaac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DI,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Aucoin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SD,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van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Walraven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C.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bayesian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>compari-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frailty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instruments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noncardiac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surgery: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cohort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study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Anesth</w:t>
      </w:r>
      <w:r>
        <w:rPr>
          <w:rFonts w:ascii="SimSun" w:hAnsi="SimSun" w:eastAsia="SimSun" w:cs="SimSu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Analg,</w:t>
      </w:r>
      <w:r>
        <w:rPr>
          <w:rFonts w:ascii="SimSun" w:hAnsi="SimSun" w:eastAsia="SimSun" w:cs="SimSun"/>
          <w:sz w:val="15"/>
          <w:szCs w:val="15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2020,</w:t>
      </w:r>
      <w:r>
        <w:rPr>
          <w:rFonts w:ascii="SimSun" w:hAnsi="SimSun" w:eastAsia="SimSun" w:cs="SimSun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133(2): 366-373.</w:t>
      </w:r>
      <w:r>
        <w:rPr>
          <w:rFonts w:ascii="SimSun" w:hAnsi="SimSun" w:eastAsia="SimSun" w:cs="SimSun"/>
          <w:sz w:val="15"/>
          <w:szCs w:val="15"/>
          <w:color w:val="231F20"/>
          <w:spacing w:val="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10.1213/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</w:rPr>
        <w:t>ane</w:t>
      </w:r>
      <w:r>
        <w:rPr>
          <w:rFonts w:ascii="SimSun" w:hAnsi="SimSun" w:eastAsia="SimSun" w:cs="SimSun"/>
          <w:sz w:val="15"/>
          <w:szCs w:val="15"/>
          <w:color w:val="231F20"/>
          <w:spacing w:val="4"/>
        </w:rPr>
        <w:t>.0000000000005290.</w:t>
      </w:r>
    </w:p>
    <w:p>
      <w:pPr>
        <w:pStyle w:val="BodyText"/>
        <w:ind w:left="3182"/>
        <w:spacing w:before="45" w:line="201" w:lineRule="auto"/>
        <w:rPr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6"/>
        </w:rPr>
        <w:t>2024-12-26</w:t>
      </w:r>
      <w:r>
        <w:rPr>
          <w:sz w:val="15"/>
          <w:szCs w:val="15"/>
          <w:color w:val="231F20"/>
          <w:spacing w:val="6"/>
        </w:rPr>
        <w:t>收稿）</w:t>
      </w:r>
    </w:p>
    <w:p>
      <w:pPr>
        <w:spacing w:line="201" w:lineRule="auto"/>
        <w:sectPr>
          <w:type w:val="continuous"/>
          <w:pgSz w:w="12246" w:h="17179"/>
          <w:pgMar w:top="0" w:right="0" w:bottom="0" w:left="0" w:header="0" w:footer="0" w:gutter="0"/>
          <w:cols w:equalWidth="0" w:num="2">
            <w:col w:w="6150" w:space="100"/>
            <w:col w:w="5996" w:space="0"/>
          </w:cols>
        </w:sectPr>
        <w:rPr>
          <w:sz w:val="15"/>
          <w:szCs w:val="15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1269888</wp:posOffset>
            </wp:positionH>
            <wp:positionV relativeFrom="paragraph">
              <wp:posOffset>17308</wp:posOffset>
            </wp:positionV>
            <wp:extent cx="5216435" cy="635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643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380"/>
        <w:spacing w:before="73" w:line="211" w:lineRule="auto"/>
        <w:rPr>
          <w:rFonts w:ascii="KaiTi" w:hAnsi="KaiTi" w:eastAsia="KaiTi" w:cs="KaiTi"/>
        </w:rPr>
      </w:pPr>
      <w:r>
        <w:rPr>
          <w:rFonts w:ascii="KaiTi" w:hAnsi="KaiTi" w:eastAsia="KaiTi" w:cs="KaiTi"/>
          <w:color w:val="231F20"/>
          <w:spacing w:val="-8"/>
        </w:rPr>
        <w:t>（上接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color w:val="231F20"/>
          <w:spacing w:val="-8"/>
        </w:rPr>
        <w:t>159 </w:t>
      </w:r>
      <w:r>
        <w:rPr>
          <w:rFonts w:ascii="KaiTi" w:hAnsi="KaiTi" w:eastAsia="KaiTi" w:cs="KaiTi"/>
          <w:color w:val="231F20"/>
          <w:spacing w:val="-8"/>
        </w:rPr>
        <w:t>页）</w:t>
      </w:r>
    </w:p>
    <w:p>
      <w:pPr>
        <w:ind w:left="1389"/>
        <w:spacing w:before="27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［21］</w:t>
      </w:r>
      <w:r>
        <w:rPr>
          <w:rFonts w:ascii="SimSun" w:hAnsi="SimSun" w:eastAsia="SimSun" w:cs="SimSun"/>
          <w:sz w:val="15"/>
          <w:szCs w:val="15"/>
          <w:color w:val="231F20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Karlsson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Persson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LO,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Sjostrom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Psychometric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proper- 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 xml:space="preserve">          guideline［J］.</w:t>
      </w:r>
      <w:r>
        <w:rPr>
          <w:rFonts w:ascii="SimSun" w:hAnsi="SimSun" w:eastAsia="SimSun" w:cs="SimSun"/>
          <w:sz w:val="15"/>
          <w:szCs w:val="15"/>
          <w:color w:val="231F20"/>
          <w:spacing w:val="-3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Obes</w:t>
      </w:r>
      <w:r>
        <w:rPr>
          <w:rFonts w:ascii="SimSun" w:hAnsi="SimSun" w:eastAsia="SimSun" w:cs="SimSun"/>
          <w:sz w:val="15"/>
          <w:szCs w:val="15"/>
          <w:color w:val="231F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Surg,</w:t>
      </w:r>
      <w:r>
        <w:rPr>
          <w:rFonts w:ascii="SimSun" w:hAnsi="SimSun" w:eastAsia="SimSun" w:cs="SimSun"/>
          <w:sz w:val="15"/>
          <w:szCs w:val="15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2023,</w:t>
      </w:r>
      <w:r>
        <w:rPr>
          <w:rFonts w:ascii="SimSun" w:hAnsi="SimSun" w:eastAsia="SimSun" w:cs="SimSun"/>
          <w:sz w:val="15"/>
          <w:szCs w:val="15"/>
          <w:color w:val="231F20"/>
          <w:spacing w:val="-3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33(8):</w:t>
      </w:r>
      <w:r>
        <w:rPr>
          <w:rFonts w:ascii="SimSun" w:hAnsi="SimSun" w:eastAsia="SimSun" w:cs="SimSun"/>
          <w:sz w:val="15"/>
          <w:szCs w:val="15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2557-2572. DOI: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10.1007/</w:t>
      </w:r>
    </w:p>
    <w:p>
      <w:pPr>
        <w:ind w:left="1927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2"/>
        </w:rPr>
        <w:t>ties and factor structure</w:t>
      </w:r>
      <w:r>
        <w:rPr>
          <w:rFonts w:ascii="SimSun" w:hAnsi="SimSun" w:eastAsia="SimSun" w:cs="SimSun"/>
          <w:sz w:val="15"/>
          <w:szCs w:val="15"/>
          <w:color w:val="231F20"/>
          <w:spacing w:val="-12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2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2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14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2"/>
        </w:rPr>
        <w:t>Three-Factor</w:t>
      </w:r>
      <w:r>
        <w:rPr>
          <w:rFonts w:ascii="SimSun" w:hAnsi="SimSun" w:eastAsia="SimSun" w:cs="SimSun"/>
          <w:sz w:val="15"/>
          <w:szCs w:val="15"/>
          <w:color w:val="231F20"/>
          <w:spacing w:val="-14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2"/>
        </w:rPr>
        <w:t>Eating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2"/>
        </w:rPr>
        <w:t>Question-            s11695-023-06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2"/>
        </w:rPr>
        <w:t>703-2.</w:t>
      </w:r>
    </w:p>
    <w:p>
      <w:pPr>
        <w:ind w:left="1928"/>
        <w:spacing w:before="65" w:line="207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naire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(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TFEQ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)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obese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men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women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Results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from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Swed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-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position w:val="1"/>
        </w:rPr>
        <w:t xml:space="preserve">  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［28］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中国研究型医院学会糖尿病与肥胖外科专业委员会</w:t>
      </w:r>
      <w:r>
        <w:rPr>
          <w:rFonts w:ascii="SimSun" w:hAnsi="SimSun" w:eastAsia="SimSun" w:cs="SimSun"/>
          <w:sz w:val="15"/>
          <w:szCs w:val="15"/>
          <w:color w:val="231F20"/>
          <w:spacing w:val="-3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减重</w:t>
      </w:r>
    </w:p>
    <w:p>
      <w:pPr>
        <w:ind w:left="1929"/>
        <w:spacing w:before="61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ish Obese Subjects (SOS) study［J］. Int J Obes Relat Metab            代谢外科围术期处理专家共识 (2019版)［J］. 中华消化外科</w:t>
      </w:r>
    </w:p>
    <w:p>
      <w:pPr>
        <w:ind w:left="1930"/>
        <w:spacing w:before="6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Disord,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2000,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24(12):1715-1725.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DOI: 10.1038/sj.ijo.0801442.             杂</w:t>
      </w:r>
      <w:r>
        <w:rPr>
          <w:rFonts w:ascii="SimSun" w:hAnsi="SimSun" w:eastAsia="SimSun" w:cs="SimSun"/>
          <w:sz w:val="15"/>
          <w:szCs w:val="15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志</w:t>
      </w:r>
      <w:r>
        <w:rPr>
          <w:rFonts w:ascii="SimSun" w:hAnsi="SimSun" w:eastAsia="SimSun" w:cs="SimSun"/>
          <w:sz w:val="15"/>
          <w:szCs w:val="15"/>
          <w:color w:val="231F20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-4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2019,</w:t>
      </w:r>
      <w:r>
        <w:rPr>
          <w:rFonts w:ascii="SimSun" w:hAnsi="SimSun" w:eastAsia="SimSun" w:cs="SimSun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18(9): 811-8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21. DOI: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10.3760/cma.j.</w:t>
      </w:r>
      <w:r>
        <w:rPr>
          <w:rFonts w:ascii="SimSun" w:hAnsi="SimSun" w:eastAsia="SimSun" w:cs="SimSun"/>
          <w:sz w:val="15"/>
          <w:szCs w:val="15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issn.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1673-</w:t>
      </w:r>
    </w:p>
    <w:p>
      <w:pPr>
        <w:ind w:left="1389"/>
        <w:spacing w:before="64" w:line="206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［22］</w:t>
      </w:r>
      <w:r>
        <w:rPr>
          <w:rFonts w:ascii="SimSun" w:hAnsi="SimSun" w:eastAsia="SimSun" w:cs="SimSun"/>
          <w:sz w:val="15"/>
          <w:szCs w:val="15"/>
          <w:color w:val="231F20"/>
          <w:spacing w:val="4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李鲁,王红妹,沈毅</w:t>
      </w:r>
      <w:r>
        <w:rPr>
          <w:rFonts w:ascii="SimSun" w:hAnsi="SimSun" w:eastAsia="SimSun" w:cs="SimSun"/>
          <w:sz w:val="15"/>
          <w:szCs w:val="15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position w:val="1"/>
        </w:rPr>
        <w:t>SF</w:t>
      </w:r>
      <w:r>
        <w:rPr>
          <w:rFonts w:ascii="SimSun" w:hAnsi="SimSun" w:eastAsia="SimSun" w:cs="SimSun"/>
          <w:sz w:val="15"/>
          <w:szCs w:val="15"/>
          <w:color w:val="231F20"/>
          <w:spacing w:val="2"/>
          <w:position w:val="1"/>
        </w:rPr>
        <w:t>-36健康调查量表中文版的研制及其           9752.2019.09.001.</w:t>
      </w:r>
    </w:p>
    <w:p>
      <w:pPr>
        <w:ind w:left="1927"/>
        <w:spacing w:before="62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性能测试［J］. 中华预防医学杂志,2002,36(2):</w:t>
      </w:r>
      <w:r>
        <w:rPr>
          <w:rFonts w:ascii="SimSun" w:hAnsi="SimSun" w:eastAsia="SimSun" w:cs="SimSun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109-113.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 xml:space="preserve">         ［29］</w:t>
      </w:r>
      <w:r>
        <w:rPr>
          <w:rFonts w:ascii="SimSun" w:hAnsi="SimSun" w:eastAsia="SimSun" w:cs="SimSun"/>
          <w:sz w:val="15"/>
          <w:szCs w:val="15"/>
          <w:color w:val="231F20"/>
          <w:spacing w:val="4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Zhu T, Zhao Y, Bi X, et al. The impact of</w:t>
      </w:r>
      <w:r>
        <w:rPr>
          <w:rFonts w:ascii="SimSun" w:hAnsi="SimSun" w:eastAsia="SimSun" w:cs="SimSun"/>
          <w:sz w:val="15"/>
          <w:szCs w:val="15"/>
          <w:color w:val="231F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type 2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diabetes</w:t>
      </w:r>
      <w:r>
        <w:rPr>
          <w:rFonts w:ascii="SimSun" w:hAnsi="SimSun" w:eastAsia="SimSun" w:cs="SimSun"/>
          <w:sz w:val="15"/>
          <w:szCs w:val="15"/>
          <w:color w:val="231F20"/>
          <w:spacing w:val="-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on</w:t>
      </w:r>
    </w:p>
    <w:p>
      <w:pPr>
        <w:ind w:left="1389"/>
        <w:spacing w:before="64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［23］  Brito JP,</w:t>
      </w:r>
      <w:r>
        <w:rPr>
          <w:rFonts w:ascii="SimSun" w:hAnsi="SimSun" w:eastAsia="SimSun" w:cs="SimSun"/>
          <w:sz w:val="15"/>
          <w:szCs w:val="15"/>
          <w:color w:val="231F20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Montori VM,</w:t>
      </w:r>
      <w:r>
        <w:rPr>
          <w:rFonts w:ascii="SimSun" w:hAnsi="SimSun" w:eastAsia="SimSun" w:cs="SimSun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Davis AM.</w:t>
      </w:r>
      <w:r>
        <w:rPr>
          <w:rFonts w:ascii="SimSun" w:hAnsi="SimSun" w:eastAsia="SimSun" w:cs="SimSun"/>
          <w:sz w:val="15"/>
          <w:szCs w:val="15"/>
          <w:color w:val="231F20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Metabolic</w:t>
      </w:r>
      <w:r>
        <w:rPr>
          <w:rFonts w:ascii="SimSun" w:hAnsi="SimSun" w:eastAsia="SimSun" w:cs="SimSun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the             polycystic ovary syndrome in pati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ents undergoing sleeve gas-</w:t>
      </w:r>
    </w:p>
    <w:p>
      <w:pPr>
        <w:ind w:left="1927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treatment algorithm for Type 2 Diabetes: a joint statement by            trectomy［J］.</w:t>
      </w:r>
      <w:r>
        <w:rPr>
          <w:rFonts w:ascii="SimSun" w:hAnsi="SimSun" w:eastAsia="SimSun" w:cs="SimSun"/>
          <w:sz w:val="15"/>
          <w:szCs w:val="15"/>
          <w:color w:val="231F20"/>
          <w:spacing w:val="3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Hum</w:t>
      </w:r>
      <w:r>
        <w:rPr>
          <w:rFonts w:ascii="SimSun" w:hAnsi="SimSun" w:eastAsia="SimSun" w:cs="SimSun"/>
          <w:sz w:val="15"/>
          <w:szCs w:val="15"/>
          <w:color w:val="231F20"/>
          <w:spacing w:val="3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Reprod,</w:t>
      </w:r>
      <w:r>
        <w:rPr>
          <w:rFonts w:ascii="SimSun" w:hAnsi="SimSun" w:eastAsia="SimSun" w:cs="SimSun"/>
          <w:sz w:val="15"/>
          <w:szCs w:val="15"/>
          <w:color w:val="231F20"/>
          <w:spacing w:val="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3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39(9): 2079-2088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.</w:t>
      </w:r>
      <w:r>
        <w:rPr>
          <w:rFonts w:ascii="SimSun" w:hAnsi="SimSun" w:eastAsia="SimSun" w:cs="SimSun"/>
          <w:sz w:val="15"/>
          <w:szCs w:val="15"/>
          <w:color w:val="231F20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DOI:</w:t>
      </w:r>
    </w:p>
    <w:p>
      <w:pPr>
        <w:ind w:left="1929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International Diabetes Organizations［J］. JAMA, 2017,</w:t>
      </w:r>
      <w:r>
        <w:rPr>
          <w:rFonts w:ascii="SimSun" w:hAnsi="SimSun" w:eastAsia="SimSun" w:cs="SimSun"/>
          <w:sz w:val="15"/>
          <w:szCs w:val="15"/>
          <w:color w:val="231F20"/>
          <w:spacing w:val="-4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317(6):             10.1093/humrep/deae15</w:t>
      </w:r>
      <w:r>
        <w:rPr>
          <w:rFonts w:ascii="SimSun" w:hAnsi="SimSun" w:eastAsia="SimSun" w:cs="SimSun"/>
          <w:sz w:val="15"/>
          <w:szCs w:val="15"/>
          <w:color w:val="231F20"/>
          <w:spacing w:val="-9"/>
          <w:position w:val="1"/>
        </w:rPr>
        <w:t>9.</w:t>
      </w:r>
    </w:p>
    <w:p>
      <w:pPr>
        <w:ind w:left="1929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635-636.DOI: 10.1001/jama.2016.20563.                        ［30］  Hu L, Ma L, Xia X, et al.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 xml:space="preserve"> Efficacy of</w:t>
      </w:r>
      <w:r>
        <w:rPr>
          <w:rFonts w:ascii="SimSun" w:hAnsi="SimSun" w:eastAsia="SimSun" w:cs="SimSun"/>
          <w:sz w:val="15"/>
          <w:szCs w:val="15"/>
          <w:color w:val="231F20"/>
          <w:spacing w:val="-1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bariatric surgery in the</w:t>
      </w:r>
    </w:p>
    <w:p>
      <w:pPr>
        <w:ind w:left="1389"/>
        <w:spacing w:before="65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［24］</w:t>
      </w:r>
      <w:r>
        <w:rPr>
          <w:rFonts w:ascii="SimSun" w:hAnsi="SimSun" w:eastAsia="SimSun" w:cs="SimSun"/>
          <w:sz w:val="15"/>
          <w:szCs w:val="15"/>
          <w:color w:val="231F20"/>
          <w:spacing w:val="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Di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Lorenzo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Anto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niou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SA,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Batterham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RL,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Clinical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prac-            treatment</w:t>
      </w:r>
      <w:r>
        <w:rPr>
          <w:rFonts w:ascii="SimSun" w:hAnsi="SimSun" w:eastAsia="SimSun" w:cs="SimSun"/>
          <w:sz w:val="15"/>
          <w:szCs w:val="15"/>
          <w:color w:val="231F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women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obesity</w:t>
      </w:r>
      <w:r>
        <w:rPr>
          <w:rFonts w:ascii="SimSun" w:hAnsi="SimSun" w:eastAsia="SimSun" w:cs="SimSun"/>
          <w:sz w:val="15"/>
          <w:szCs w:val="15"/>
          <w:color w:val="231F20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polycystic</w:t>
      </w:r>
      <w:r>
        <w:rPr>
          <w:rFonts w:ascii="SimSun" w:hAnsi="SimSun" w:eastAsia="SimSun" w:cs="SimSun"/>
          <w:sz w:val="15"/>
          <w:szCs w:val="15"/>
          <w:color w:val="231F20"/>
          <w:spacing w:val="-2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syndrome</w:t>
      </w:r>
    </w:p>
    <w:p>
      <w:pPr>
        <w:ind w:left="1927"/>
        <w:spacing w:before="64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tice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guidelines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4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European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Association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Endoscopic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Sur-           ［J］.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J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Clin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Endocrinol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Metab,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2022, 107(8):e3217-e3229.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  <w:position w:val="1"/>
        </w:rPr>
        <w:t>DOI:</w:t>
      </w:r>
    </w:p>
    <w:p>
      <w:pPr>
        <w:ind w:left="1929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gery</w:t>
      </w:r>
      <w:r>
        <w:rPr>
          <w:rFonts w:ascii="SimSun" w:hAnsi="SimSun" w:eastAsia="SimSun" w:cs="SimSun"/>
          <w:sz w:val="15"/>
          <w:szCs w:val="15"/>
          <w:color w:val="231F20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(EAES) on bariatric surgery:</w:t>
      </w:r>
      <w:r>
        <w:rPr>
          <w:rFonts w:ascii="SimSun" w:hAnsi="SimSun" w:eastAsia="SimSun" w:cs="SimSun"/>
          <w:sz w:val="15"/>
          <w:szCs w:val="15"/>
          <w:color w:val="231F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Update</w:t>
      </w:r>
      <w:r>
        <w:rPr>
          <w:rFonts w:ascii="SimSun" w:hAnsi="SimSun" w:eastAsia="SimSun" w:cs="SimSun"/>
          <w:sz w:val="15"/>
          <w:szCs w:val="15"/>
          <w:color w:val="231F20"/>
          <w:spacing w:val="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2020</w:t>
      </w:r>
      <w:r>
        <w:rPr>
          <w:rFonts w:ascii="SimSun" w:hAnsi="SimSun" w:eastAsia="SimSun" w:cs="SimSun"/>
          <w:sz w:val="15"/>
          <w:szCs w:val="15"/>
          <w:color w:val="231F20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endorsed</w:t>
      </w:r>
      <w:r>
        <w:rPr>
          <w:rFonts w:ascii="SimSun" w:hAnsi="SimSun" w:eastAsia="SimSun" w:cs="SimSun"/>
          <w:sz w:val="15"/>
          <w:szCs w:val="15"/>
          <w:color w:val="231F20"/>
          <w:spacing w:val="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by             10.1210/clinem/dgac2</w:t>
      </w:r>
      <w:r>
        <w:rPr>
          <w:rFonts w:ascii="SimSun" w:hAnsi="SimSun" w:eastAsia="SimSun" w:cs="SimSun"/>
          <w:sz w:val="15"/>
          <w:szCs w:val="15"/>
          <w:color w:val="231F20"/>
          <w:spacing w:val="-7"/>
          <w:position w:val="1"/>
        </w:rPr>
        <w:t>94.</w:t>
      </w:r>
    </w:p>
    <w:p>
      <w:pPr>
        <w:ind w:left="1929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4"/>
          <w:position w:val="1"/>
        </w:rPr>
        <w:t>IFSO-EC, EASO and ESPCOP［J］. Surg Endosc, 202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0,</w:t>
      </w:r>
      <w:r>
        <w:rPr>
          <w:rFonts w:ascii="SimSun" w:hAnsi="SimSun" w:eastAsia="SimSun" w:cs="SimSun"/>
          <w:sz w:val="15"/>
          <w:szCs w:val="15"/>
          <w:color w:val="231F20"/>
          <w:spacing w:val="-4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34(6):    ［31］  Samarasinghe SNS, Leca B, Alabdulkader S,</w:t>
      </w:r>
      <w:r>
        <w:rPr>
          <w:rFonts w:ascii="SimSun" w:hAnsi="SimSun" w:eastAsia="SimSun" w:cs="SimSun"/>
          <w:sz w:val="15"/>
          <w:szCs w:val="15"/>
          <w:color w:val="231F20"/>
          <w:spacing w:val="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Bariatric</w:t>
      </w:r>
    </w:p>
    <w:p>
      <w:pPr>
        <w:ind w:left="1928"/>
        <w:spacing w:before="65" w:line="203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2332-2358.</w:t>
      </w:r>
      <w:r>
        <w:rPr>
          <w:rFonts w:ascii="SimSun" w:hAnsi="SimSun" w:eastAsia="SimSun" w:cs="SimSun"/>
          <w:sz w:val="15"/>
          <w:szCs w:val="15"/>
          <w:color w:val="231F20"/>
          <w:spacing w:val="-2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10.1007/s00464-020-07555-y.                        surgery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for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spontaneous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ovulation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women</w:t>
      </w:r>
      <w:r>
        <w:rPr>
          <w:rFonts w:ascii="SimSun" w:hAnsi="SimSun" w:eastAsia="SimSun" w:cs="SimSun"/>
          <w:sz w:val="15"/>
          <w:szCs w:val="15"/>
          <w:color w:val="231F20"/>
          <w:spacing w:val="-29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living</w:t>
      </w:r>
      <w:r>
        <w:rPr>
          <w:rFonts w:ascii="SimSun" w:hAnsi="SimSun" w:eastAsia="SimSun" w:cs="SimSun"/>
          <w:sz w:val="15"/>
          <w:szCs w:val="15"/>
          <w:color w:val="231F20"/>
          <w:spacing w:val="-3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with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polycys-</w:t>
      </w:r>
    </w:p>
    <w:p>
      <w:pPr>
        <w:ind w:left="1926" w:right="1442" w:hanging="537"/>
        <w:spacing w:before="66" w:line="303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［25］</w:t>
      </w:r>
      <w:r>
        <w:rPr>
          <w:rFonts w:ascii="SimSun" w:hAnsi="SimSun" w:eastAsia="SimSun" w:cs="SimSun"/>
          <w:sz w:val="15"/>
          <w:szCs w:val="15"/>
          <w:color w:val="231F20"/>
          <w:spacing w:val="3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Kow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L,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Sharaiha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RZ, O'Kane M,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Methodology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results            tic</w:t>
      </w:r>
      <w:r>
        <w:rPr>
          <w:rFonts w:ascii="SimSun" w:hAnsi="SimSun" w:eastAsia="SimSun" w:cs="SimSu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ovary</w:t>
      </w:r>
      <w:r>
        <w:rPr>
          <w:rFonts w:ascii="SimSun" w:hAnsi="SimSun" w:eastAsia="SimSun" w:cs="SimSun"/>
          <w:sz w:val="15"/>
          <w:szCs w:val="15"/>
          <w:color w:val="231F20"/>
          <w:spacing w:val="5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synd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rome:</w:t>
      </w:r>
      <w:r>
        <w:rPr>
          <w:rFonts w:ascii="SimSun" w:hAnsi="SimSun" w:eastAsia="SimSun" w:cs="SimSun"/>
          <w:sz w:val="15"/>
          <w:szCs w:val="15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the</w:t>
      </w:r>
      <w:r>
        <w:rPr>
          <w:rFonts w:ascii="SimSun" w:hAnsi="SimSun" w:eastAsia="SimSun" w:cs="SimSu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BAMBINI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multicentre,</w:t>
      </w:r>
      <w:r>
        <w:rPr>
          <w:rFonts w:ascii="SimSun" w:hAnsi="SimSun" w:eastAsia="SimSun" w:cs="SimSun"/>
          <w:sz w:val="15"/>
          <w:szCs w:val="15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open-label,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joint IFSO-WGO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Delphi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survey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94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intercontinent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al,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in-            randomised</w:t>
      </w:r>
      <w:r>
        <w:rPr>
          <w:rFonts w:ascii="SimSun" w:hAnsi="SimSun" w:eastAsia="SimSun" w:cs="SimSun"/>
          <w:sz w:val="15"/>
          <w:szCs w:val="15"/>
          <w:color w:val="231F20"/>
          <w:spacing w:val="2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controlled</w:t>
      </w:r>
      <w:r>
        <w:rPr>
          <w:rFonts w:ascii="SimSun" w:hAnsi="SimSun" w:eastAsia="SimSun" w:cs="SimSu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trial</w:t>
      </w:r>
      <w:r>
        <w:rPr>
          <w:rFonts w:ascii="SimSun" w:hAnsi="SimSun" w:eastAsia="SimSun" w:cs="SimSun"/>
          <w:sz w:val="15"/>
          <w:szCs w:val="15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［J］.</w:t>
      </w:r>
      <w:r>
        <w:rPr>
          <w:rFonts w:ascii="SimSun" w:hAnsi="SimSun" w:eastAsia="SimSun" w:cs="SimSu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Lancet,</w:t>
      </w:r>
      <w:r>
        <w:rPr>
          <w:rFonts w:ascii="SimSun" w:hAnsi="SimSun" w:eastAsia="SimSun" w:cs="SimSun"/>
          <w:sz w:val="15"/>
          <w:szCs w:val="15"/>
          <w:color w:val="231F20"/>
          <w:spacing w:val="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403(10443):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terdisciplinary experts in obesity management［J］. Obes Surg,            2489-2503.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10.1016/S0140-6736(24)00538-5.</w:t>
      </w:r>
    </w:p>
    <w:p>
      <w:pPr>
        <w:ind w:left="1928"/>
        <w:spacing w:before="64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2023,33(11):3337-3352.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DOI:10.1007/s11695-023-06757-2.     ［32］</w:t>
      </w:r>
      <w:r>
        <w:rPr>
          <w:rFonts w:ascii="SimSun" w:hAnsi="SimSun" w:eastAsia="SimSun" w:cs="SimSun"/>
          <w:sz w:val="15"/>
          <w:szCs w:val="15"/>
          <w:color w:val="231F20"/>
          <w:spacing w:val="34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Roos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N,</w:t>
      </w:r>
      <w:r>
        <w:rPr>
          <w:rFonts w:ascii="SimSun" w:hAnsi="SimSun" w:eastAsia="SimSun" w:cs="SimSun"/>
          <w:sz w:val="15"/>
          <w:szCs w:val="15"/>
          <w:color w:val="231F20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Neovius</w:t>
      </w:r>
      <w:r>
        <w:rPr>
          <w:rFonts w:ascii="SimSun" w:hAnsi="SimSun" w:eastAsia="SimSun" w:cs="SimSun"/>
          <w:sz w:val="15"/>
          <w:szCs w:val="15"/>
          <w:color w:val="231F20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Cnattingius</w:t>
      </w:r>
      <w:r>
        <w:rPr>
          <w:rFonts w:ascii="SimSun" w:hAnsi="SimSun" w:eastAsia="SimSun" w:cs="SimSun"/>
          <w:sz w:val="15"/>
          <w:szCs w:val="15"/>
          <w:color w:val="231F20"/>
          <w:spacing w:val="-23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S,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Perinatal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outcomes</w:t>
      </w:r>
      <w:r>
        <w:rPr>
          <w:rFonts w:ascii="SimSun" w:hAnsi="SimSun" w:eastAsia="SimSun" w:cs="SimSun"/>
          <w:sz w:val="15"/>
          <w:szCs w:val="15"/>
          <w:color w:val="231F20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af-</w:t>
      </w:r>
    </w:p>
    <w:p>
      <w:pPr>
        <w:ind w:left="1926" w:right="1442" w:hanging="537"/>
        <w:spacing w:before="65" w:line="314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［26］</w:t>
      </w:r>
      <w:r>
        <w:rPr>
          <w:rFonts w:ascii="SimSun" w:hAnsi="SimSun" w:eastAsia="SimSun" w:cs="SimSun"/>
          <w:sz w:val="15"/>
          <w:szCs w:val="15"/>
          <w:color w:val="231F2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Benham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JL,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Corbett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KS,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Ya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mamoto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JM,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Impact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bariat-            ter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bariatric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surgery: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Nationwide</w:t>
      </w:r>
      <w:r>
        <w:rPr>
          <w:rFonts w:ascii="SimSun" w:hAnsi="SimSun" w:eastAsia="SimSun" w:cs="SimSun"/>
          <w:sz w:val="15"/>
          <w:szCs w:val="15"/>
          <w:color w:val="231F20"/>
          <w:spacing w:val="-2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population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based</w:t>
      </w:r>
      <w:r>
        <w:rPr>
          <w:rFonts w:ascii="SimSun" w:hAnsi="SimSun" w:eastAsia="SimSun" w:cs="SimSun"/>
          <w:sz w:val="15"/>
          <w:szCs w:val="15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matched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ric</w:t>
      </w:r>
      <w:r>
        <w:rPr>
          <w:rFonts w:ascii="SimSun" w:hAnsi="SimSun" w:eastAsia="SimSun" w:cs="SimSun"/>
          <w:sz w:val="15"/>
          <w:szCs w:val="15"/>
          <w:color w:val="231F20"/>
          <w:spacing w:val="-2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surgery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on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anthropometric,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metabolic,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reproductive</w:t>
      </w:r>
      <w:r>
        <w:rPr>
          <w:rFonts w:ascii="SimSun" w:hAnsi="SimSun" w:eastAsia="SimSun" w:cs="SimSun"/>
          <w:sz w:val="15"/>
          <w:szCs w:val="15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out-            hort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study［J］.</w:t>
      </w:r>
      <w:r>
        <w:rPr>
          <w:rFonts w:ascii="SimSun" w:hAnsi="SimSun" w:eastAsia="SimSun" w:cs="SimSun"/>
          <w:sz w:val="15"/>
          <w:szCs w:val="15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BMJ,</w:t>
      </w:r>
      <w:r>
        <w:rPr>
          <w:rFonts w:ascii="SimSun" w:hAnsi="SimSun" w:eastAsia="SimSun" w:cs="SimSun"/>
          <w:sz w:val="15"/>
          <w:szCs w:val="15"/>
          <w:color w:val="231F20"/>
          <w:spacing w:val="-3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2013,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347:f6460.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DOI: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 xml:space="preserve"> 10.1136/bmj.f6460.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comes in polycystic ovary syndrome: A systematic review and    ［33］</w:t>
      </w:r>
      <w:r>
        <w:rPr>
          <w:rFonts w:ascii="SimSun" w:hAnsi="SimSun" w:eastAsia="SimSun" w:cs="SimSun"/>
          <w:sz w:val="15"/>
          <w:szCs w:val="15"/>
          <w:color w:val="231F20"/>
          <w:spacing w:val="2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Akhter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Z,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Rankin</w:t>
      </w:r>
      <w:r>
        <w:rPr>
          <w:rFonts w:ascii="SimSun" w:hAnsi="SimSun" w:eastAsia="SimSun" w:cs="SimSun"/>
          <w:sz w:val="15"/>
          <w:szCs w:val="15"/>
          <w:color w:val="231F20"/>
          <w:spacing w:val="-3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J,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Ceulemans</w:t>
      </w:r>
      <w:r>
        <w:rPr>
          <w:rFonts w:ascii="SimSun" w:hAnsi="SimSun" w:eastAsia="SimSun" w:cs="SimSun"/>
          <w:sz w:val="15"/>
          <w:szCs w:val="15"/>
          <w:color w:val="231F20"/>
          <w:spacing w:val="-2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D,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Pregnancy</w:t>
      </w:r>
      <w:r>
        <w:rPr>
          <w:rFonts w:ascii="SimSun" w:hAnsi="SimSun" w:eastAsia="SimSun" w:cs="SimSun"/>
          <w:sz w:val="15"/>
          <w:szCs w:val="15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after</w:t>
      </w:r>
      <w:r>
        <w:rPr>
          <w:rFonts w:ascii="SimSun" w:hAnsi="SimSun" w:eastAsia="SimSun" w:cs="SimSun"/>
          <w:sz w:val="15"/>
          <w:szCs w:val="15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b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ariat-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meta-analysis［J］.</w:t>
      </w:r>
      <w:r>
        <w:rPr>
          <w:rFonts w:ascii="SimSun" w:hAnsi="SimSun" w:eastAsia="SimSun" w:cs="SimSun"/>
          <w:sz w:val="15"/>
          <w:szCs w:val="15"/>
          <w:color w:val="231F20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Obes</w:t>
      </w:r>
      <w:r>
        <w:rPr>
          <w:rFonts w:ascii="SimSun" w:hAnsi="SimSun" w:eastAsia="SimSun" w:cs="SimSun"/>
          <w:sz w:val="15"/>
          <w:szCs w:val="15"/>
          <w:color w:val="231F20"/>
          <w:spacing w:val="42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Rev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,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2024,</w:t>
      </w:r>
      <w:r>
        <w:rPr>
          <w:rFonts w:ascii="SimSun" w:hAnsi="SimSun" w:eastAsia="SimSun" w:cs="SimSun"/>
          <w:sz w:val="15"/>
          <w:szCs w:val="15"/>
          <w:color w:val="231F20"/>
          <w:spacing w:val="4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25(6):</w:t>
      </w:r>
      <w:r>
        <w:rPr>
          <w:rFonts w:ascii="SimSun" w:hAnsi="SimSun" w:eastAsia="SimSun" w:cs="SimSun"/>
          <w:sz w:val="15"/>
          <w:szCs w:val="15"/>
          <w:color w:val="231F20"/>
          <w:spacing w:val="40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e13737.</w:t>
      </w:r>
      <w:r>
        <w:rPr>
          <w:rFonts w:ascii="SimSun" w:hAnsi="SimSun" w:eastAsia="SimSun" w:cs="SimSun"/>
          <w:sz w:val="15"/>
          <w:szCs w:val="15"/>
          <w:color w:val="231F2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DOI:            ric surgery and adverse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perinatal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outcomes: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A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systematic</w:t>
      </w:r>
      <w:r>
        <w:rPr>
          <w:rFonts w:ascii="SimSun" w:hAnsi="SimSun" w:eastAsia="SimSun" w:cs="SimSun"/>
          <w:sz w:val="15"/>
          <w:szCs w:val="15"/>
          <w:color w:val="231F20"/>
          <w:spacing w:val="-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re-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10.1111/obr.13737.</w:t>
      </w:r>
      <w:r>
        <w:rPr>
          <w:rFonts w:ascii="SimSun" w:hAnsi="SimSun" w:eastAsia="SimSun" w:cs="SimSun"/>
          <w:sz w:val="15"/>
          <w:szCs w:val="15"/>
          <w:color w:val="231F20"/>
          <w:spacing w:val="1"/>
        </w:rPr>
        <w:t xml:space="preserve">                         </w:t>
      </w:r>
      <w:r>
        <w:rPr>
          <w:rFonts w:ascii="SimSun" w:hAnsi="SimSun" w:eastAsia="SimSun" w:cs="SimSun"/>
          <w:sz w:val="15"/>
          <w:szCs w:val="15"/>
          <w:color w:val="231F20"/>
        </w:rPr>
        <w:t xml:space="preserve">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view and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meta-analysis［J］.</w:t>
      </w:r>
      <w:r>
        <w:rPr>
          <w:rFonts w:ascii="SimSun" w:hAnsi="SimSun" w:eastAsia="SimSun" w:cs="SimSun"/>
          <w:sz w:val="15"/>
          <w:szCs w:val="15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PLoS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Med,</w:t>
      </w:r>
      <w:r>
        <w:rPr>
          <w:rFonts w:ascii="SimSun" w:hAnsi="SimSun" w:eastAsia="SimSun" w:cs="SimSun"/>
          <w:sz w:val="15"/>
          <w:szCs w:val="15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8"/>
        </w:rPr>
        <w:t>2019, 16(8):e1002866.</w:t>
      </w:r>
    </w:p>
    <w:p>
      <w:pPr>
        <w:ind w:left="1389"/>
        <w:spacing w:before="63" w:line="204" w:lineRule="exac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［27］</w:t>
      </w:r>
      <w:r>
        <w:rPr>
          <w:rFonts w:ascii="SimSun" w:hAnsi="SimSun" w:eastAsia="SimSun" w:cs="SimSun"/>
          <w:sz w:val="15"/>
          <w:szCs w:val="15"/>
          <w:color w:val="231F20"/>
          <w:spacing w:val="25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Tabesh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MR,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Eghtesadi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5"/>
          <w:position w:val="1"/>
        </w:rPr>
        <w:t>Abolha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sani</w:t>
      </w:r>
      <w:r>
        <w:rPr>
          <w:rFonts w:ascii="SimSun" w:hAnsi="SimSun" w:eastAsia="SimSun" w:cs="SimSun"/>
          <w:sz w:val="15"/>
          <w:szCs w:val="15"/>
          <w:color w:val="231F20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M,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et</w:t>
      </w:r>
      <w:r>
        <w:rPr>
          <w:rFonts w:ascii="SimSun" w:hAnsi="SimSun" w:eastAsia="SimSun" w:cs="SimSun"/>
          <w:sz w:val="15"/>
          <w:szCs w:val="15"/>
          <w:color w:val="231F20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al.</w:t>
      </w:r>
      <w:r>
        <w:rPr>
          <w:rFonts w:ascii="SimSun" w:hAnsi="SimSun" w:eastAsia="SimSun" w:cs="SimSun"/>
          <w:sz w:val="15"/>
          <w:szCs w:val="15"/>
          <w:color w:val="231F20"/>
          <w:spacing w:val="-2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Nutrition,</w:t>
      </w:r>
      <w:r>
        <w:rPr>
          <w:rFonts w:ascii="SimSun" w:hAnsi="SimSun" w:eastAsia="SimSun" w:cs="SimSun"/>
          <w:sz w:val="15"/>
          <w:szCs w:val="15"/>
          <w:color w:val="231F20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physi-            DOI:</w:t>
      </w:r>
      <w:r>
        <w:rPr>
          <w:rFonts w:ascii="SimSun" w:hAnsi="SimSun" w:eastAsia="SimSun" w:cs="SimSun"/>
          <w:sz w:val="15"/>
          <w:szCs w:val="15"/>
          <w:color w:val="231F20"/>
          <w:spacing w:val="-18"/>
          <w:position w:val="1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  <w:position w:val="1"/>
        </w:rPr>
        <w:t>10.1371/journal.pmed.1002866.</w:t>
      </w:r>
    </w:p>
    <w:p>
      <w:pPr>
        <w:pStyle w:val="BodyText"/>
        <w:ind w:left="1929"/>
        <w:spacing w:before="65" w:line="208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cal activity, and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prescription</w:t>
      </w:r>
      <w:r>
        <w:rPr>
          <w:rFonts w:ascii="SimSun" w:hAnsi="SimSun" w:eastAsia="SimSun" w:cs="SimSun"/>
          <w:sz w:val="15"/>
          <w:szCs w:val="15"/>
          <w:color w:val="231F20"/>
          <w:spacing w:val="-1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of</w:t>
      </w:r>
      <w:r>
        <w:rPr>
          <w:rFonts w:ascii="SimSun" w:hAnsi="SimSun" w:eastAsia="SimSun" w:cs="SimSun"/>
          <w:sz w:val="15"/>
          <w:szCs w:val="15"/>
          <w:color w:val="231F20"/>
          <w:spacing w:val="-2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supplements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in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pre-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and</w:t>
      </w:r>
      <w:r>
        <w:rPr>
          <w:rFonts w:ascii="SimSun" w:hAnsi="SimSun" w:eastAsia="SimSun" w:cs="SimSun"/>
          <w:sz w:val="15"/>
          <w:szCs w:val="15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6"/>
        </w:rPr>
        <w:t>post-                           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 xml:space="preserve">                       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SimSun" w:hAnsi="SimSun" w:eastAsia="SimSun" w:cs="SimSun"/>
          <w:sz w:val="15"/>
          <w:szCs w:val="15"/>
          <w:color w:val="231F20"/>
          <w:spacing w:val="-7"/>
        </w:rPr>
        <w:t>2025-01-20</w:t>
      </w:r>
      <w:r>
        <w:rPr>
          <w:sz w:val="15"/>
          <w:szCs w:val="15"/>
          <w:color w:val="231F20"/>
          <w:spacing w:val="-7"/>
        </w:rPr>
        <w:t>收稿）</w:t>
      </w:r>
    </w:p>
    <w:p>
      <w:pPr>
        <w:ind w:left="1928"/>
        <w:spacing w:before="44" w:line="22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bariatric surgery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patients:</w:t>
      </w:r>
      <w:r>
        <w:rPr>
          <w:rFonts w:ascii="SimSun" w:hAnsi="SimSun" w:eastAsia="SimSun" w:cs="SimSun"/>
          <w:sz w:val="15"/>
          <w:szCs w:val="15"/>
          <w:color w:val="231F20"/>
          <w:spacing w:val="-15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An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updated</w:t>
      </w:r>
      <w:r>
        <w:rPr>
          <w:rFonts w:ascii="SimSun" w:hAnsi="SimSun" w:eastAsia="SimSun" w:cs="SimSun"/>
          <w:sz w:val="15"/>
          <w:szCs w:val="15"/>
          <w:color w:val="231F20"/>
          <w:spacing w:val="-13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9"/>
        </w:rPr>
        <w:t>comp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rehensive</w:t>
      </w:r>
      <w:r>
        <w:rPr>
          <w:rFonts w:ascii="SimSun" w:hAnsi="SimSun" w:eastAsia="SimSun" w:cs="SimSun"/>
          <w:sz w:val="15"/>
          <w:szCs w:val="15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10"/>
        </w:rPr>
        <w:t>practical</w:t>
      </w:r>
    </w:p>
    <w:sectPr>
      <w:type w:val="continuous"/>
      <w:pgSz w:w="12246" w:h="17179"/>
      <w:pgMar w:top="0" w:right="0" w:bottom="0" w:left="0" w:header="0" w:footer="0" w:gutter="0"/>
      <w:cols w:equalWidth="0" w:num="1">
        <w:col w:w="1224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image" Target="media/image6.png"/><Relationship Id="rId7" Type="http://schemas.openxmlformats.org/officeDocument/2006/relationships/hyperlink" Target="https://www.rcog.org.uk/guidance/browse-all-guidance/green" TargetMode="External"/><Relationship Id="rId6" Type="http://schemas.openxmlformats.org/officeDocument/2006/relationships/hyperlink" Target="https://" TargetMode="External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2025-03-18T10:46:30Z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2025-10-28T22:16:20</vt:filetime>
  </property>
</Properties>
</file>