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</w:pPr>
      <w:r>
        <w:rPr>
          <w:rFonts w:ascii="Noto Sans CJK SC" w:hAnsi="Noto Sans CJK SC" w:eastAsia="Noto Sans CJK SC"/>
          <w:b/>
          <w:i w:val="0"/>
          <w:color w:val="1F4E78"/>
          <w:sz w:val="44"/>
        </w:rPr>
        <w:t>毕业设计研究计划书</w:t>
      </w:r>
    </w:p>
    <w:p>
      <w:pPr>
        <w:spacing w:before="0" w:after="160"/>
        <w:pBdr>
          <w:bottom w:val="single" w:sz="18" w:space="1" w:color="1F4E78"/>
        </w:pBdr>
      </w:pPr>
    </w:p>
    <w:p>
      <w:pPr>
        <w:spacing w:before="700" w:after="320"/>
        <w:jc w:val="center"/>
      </w:pPr>
      <w:r>
        <w:rPr>
          <w:rFonts w:ascii="Noto Sans CJK SC" w:hAnsi="Noto Sans CJK SC" w:eastAsia="Noto Sans CJK SC"/>
          <w:b/>
          <w:i w:val="0"/>
          <w:color w:val="222222"/>
          <w:sz w:val="46"/>
        </w:rPr>
        <w:t>中国股债汇市场的时变因果网络与非线性信息传递研究</w:t>
      </w:r>
    </w:p>
    <w:p>
      <w:pPr>
        <w:spacing w:after="1200"/>
        <w:jc w:val="center"/>
      </w:pPr>
      <w:r>
        <w:rPr>
          <w:rFonts w:ascii="Noto Sans CJK SC" w:hAnsi="Noto Sans CJK SC" w:eastAsia="Noto Sans CJK SC"/>
          <w:b/>
          <w:i w:val="0"/>
          <w:color w:val="2F75B5"/>
          <w:sz w:val="30"/>
        </w:rPr>
        <w:t>——基于 VAR-Granger、PCMCI 与 Transfer Entropy 的比较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DB3D3"/>
          <w:start w:val="single" w:sz="8" w:space="0" w:color="8DB3D3"/>
          <w:bottom w:val="single" w:sz="8" w:space="0" w:color="8DB3D3"/>
          <w:end w:val="single" w:sz="8" w:space="0" w:color="8DB3D3"/>
          <w:insideH w:val="single" w:sz="8" w:space="0" w:color="8DB3D3"/>
          <w:insideV w:val="single" w:sz="8" w:space="0" w:color="8DB3D3"/>
        </w:tblBorders>
      </w:tblPr>
      <w:tblGrid>
        <w:gridCol w:w="4507"/>
        <w:gridCol w:w="4507"/>
      </w:tblGrid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2"/>
              </w:rPr>
              <w:t>学生姓名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2"/>
              </w:rPr>
              <w:t>支绎竣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2"/>
              </w:rPr>
              <w:t>专业/方向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2"/>
              </w:rPr>
              <w:t>________________________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2"/>
              </w:rPr>
              <w:t>指导教师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2"/>
              </w:rPr>
              <w:t>________________________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2"/>
              </w:rPr>
              <w:t>院校/学院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2"/>
              </w:rPr>
              <w:t>________________________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2"/>
              </w:rPr>
              <w:t>提交日期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2"/>
              </w:rPr>
              <w:t>2026年7月</w:t>
            </w:r>
          </w:p>
        </w:tc>
      </w:tr>
    </w:tbl>
    <w:p>
      <w:pPr>
        <w:spacing w:before="900"/>
        <w:jc w:val="center"/>
      </w:pPr>
      <w:r>
        <w:rPr>
          <w:rFonts w:ascii="Aptos" w:hAnsi="Aptos" w:eastAsia="Aptos"/>
          <w:b w:val="0"/>
          <w:i/>
          <w:color w:val="6B7A8C"/>
          <w:sz w:val="24"/>
        </w:rPr>
        <w:t>Research Proposal</w:t>
      </w:r>
    </w:p>
    <w:p>
      <w:r>
        <w:br w:type="page"/>
      </w:r>
    </w:p>
    <w:p>
      <w:pPr>
        <w:pStyle w:val="标题1"/>
      </w:pPr>
      <w:r>
        <w:t>摘要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本研究拟构建包含沪深300收益率、人民币兑美元汇率变化、7天期Shibor变化、1年期与10年期国债收益率变化的中国股债汇市场日频数据集，采用VAR-Granger、PCMCI和Multivariate Transfer Entropy识别不同市场之间的方向性传导关系。研究首先在具有已知因果结构的合成数据上比较各方法在线性、非线性、间接因果、共同驱动和状态切换场景下的识别能力；随后在中国金融数据上开展完整样本、滚动窗口及高低波动状态分析。真实数据结果将通过边稳定性、方法共识、网络相似度和样本外预测改善进行评价。研究旨在揭示中国货币、债券、股票与外汇市场之间的动态因果结构，并分析线性与非线性方法在复杂金融时间序列中的适用性与局限。</w:t>
      </w:r>
    </w:p>
    <w:p>
      <w:pPr>
        <w:spacing w:before="120" w:after="28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>关键词：</w:t>
      </w:r>
      <w:r>
        <w:rPr>
          <w:rFonts w:ascii="Noto Serif CJK SC" w:hAnsi="Noto Serif CJK SC" w:eastAsia="Noto Serif CJK SC"/>
          <w:b w:val="0"/>
          <w:i w:val="0"/>
          <w:sz w:val="24"/>
        </w:rPr>
        <w:t>中国股债汇市场；VAR-Granger；PCMCI；Transfer Entropy；时变因果网络；非线性信息传递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8DB3D3"/>
          <w:start w:val="single" w:sz="8" w:space="0" w:color="8DB3D3"/>
          <w:bottom w:val="single" w:sz="8" w:space="0" w:color="8DB3D3"/>
          <w:end w:val="single" w:sz="8" w:space="0" w:color="8DB3D3"/>
          <w:insideH w:val="single" w:sz="8" w:space="0" w:color="8DB3D3"/>
          <w:insideV w:val="single" w:sz="8" w:space="0" w:color="8DB3D3"/>
        </w:tblBorders>
      </w:tblPr>
      <w:tblGrid>
        <w:gridCol w:w="9014"/>
      </w:tblGrid>
      <w:tr>
        <w:tc>
          <w:tcPr>
            <w:tcW w:type="dxa" w:w="9014"/>
            <w:shd w:fill="EEF5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研究定位</w:t>
            </w:r>
          </w:p>
          <w:p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i w:val="0"/>
                <w:sz w:val="21"/>
              </w:rPr>
              <w:t>本文研究的是基于时间顺序和预测改善的统计因果关系，而非通过人为干预识别的结构因果效应。因果边应解释为“源变量的过去能否为目标变量的未来提供额外信息”。</w:t>
            </w:r>
          </w:p>
        </w:tc>
      </w:tr>
    </w:tbl>
    <w:p>
      <w:pPr>
        <w:spacing w:after="0"/>
      </w:pPr>
    </w:p>
    <w:p>
      <w:pPr>
        <w:pStyle w:val="标题1"/>
      </w:pPr>
      <w:r>
        <w:t>一、研究背景与研究意义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股票市场、债券市场、货币市场与外汇市场并非相互独立。短期资金利率变化可能影响国债收益率，国债收益率变化可能通过融资成本、贴现率和资产配置影响股票市场，人民币汇率变化也可能通过企业盈利预期、跨境资金流动及风险偏好影响股票价格。研究这些市场之间的动态传导关系，有助于理解中国金融体系内部的风险扩散机制与价格发现过程。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传统研究经常使用相关系数描述不同金融变量之间的联系，但相关性具有对称性，无法给出明确的方向信息：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Corr(X, Y) = Corr(Y, X)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因此，仅凭相关性不能回答“利率变化是否领先股票市场”“人民币汇率与A股市场谁先反映风险变化”“某一联系是直接关系还是通过第三个变量间接形成”等问题。本研究将使用时间序列因果发现方法，比较线性预测因果、多变量条件因果和非线性信息传递方法。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Zaremba与Aste（2014）比较了线性Granger/Geweke、核化Geweke、Transfer Entropy和HSNCIC等方法，指出不存在适用于所有数据结构的唯一最优方法：线性方法在近似线性数据上具有较好的解释性和数值稳定性，核方法与信息论方法能够识别非线性关系，但同样会受到非平稳性、参数选择、有限样本和虚假因果的影响。因此，本研究采用多方法比较，而不是依赖单一因果指标。</w:t>
      </w:r>
    </w:p>
    <w:p>
      <w:pPr>
        <w:pStyle w:val="标题1"/>
      </w:pPr>
      <w:r>
        <w:t>二、拟定题目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DB3D3"/>
          <w:start w:val="single" w:sz="8" w:space="0" w:color="8DB3D3"/>
          <w:bottom w:val="single" w:sz="8" w:space="0" w:color="8DB3D3"/>
          <w:end w:val="single" w:sz="8" w:space="0" w:color="8DB3D3"/>
          <w:insideH w:val="single" w:sz="8" w:space="0" w:color="8DB3D3"/>
          <w:insideV w:val="single" w:sz="8" w:space="0" w:color="8DB3D3"/>
        </w:tblBorders>
      </w:tblPr>
      <w:tblGrid>
        <w:gridCol w:w="4507"/>
        <w:gridCol w:w="4507"/>
      </w:tblGrid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中文题目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1"/>
              </w:rPr>
              <w:t>中国股债汇市场的时变因果网络与非线性信息传递研究——基于VAR-Granger、PCMCI与Transfer Entropy的比较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英文题目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1"/>
              </w:rPr>
              <w:t>Time-Varying Causal Networks and Nonlinear Information Transfer in China’s Stock, Bond and Foreign Exchange Markets: A Comparison of VAR-Granger, PCMCI and Transfer Entropy</w:t>
            </w:r>
          </w:p>
        </w:tc>
      </w:tr>
    </w:tbl>
    <w:p>
      <w:pPr>
        <w:pStyle w:val="标题1"/>
      </w:pPr>
      <w:r>
        <w:t>三、研究目标</w:t>
      </w:r>
    </w:p>
    <w:p>
      <w:pPr>
        <w:pStyle w:val="列表"/>
        <w:spacing w:after="80"/>
        <w:ind w:left="420" w:hanging="34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 xml:space="preserve">1. </w:t>
      </w:r>
      <w:r>
        <w:rPr>
          <w:rFonts w:ascii="Noto Serif CJK SC" w:hAnsi="Noto Serif CJK SC" w:eastAsia="Noto Serif CJK SC"/>
          <w:b w:val="0"/>
          <w:i w:val="0"/>
          <w:sz w:val="24"/>
        </w:rPr>
        <w:t>构建中国股票、债券、货币和外汇市场的多变量日频时间序列数据集。</w:t>
      </w:r>
    </w:p>
    <w:p>
      <w:pPr>
        <w:pStyle w:val="列表"/>
        <w:spacing w:after="80"/>
        <w:ind w:left="420" w:hanging="34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 xml:space="preserve">2. </w:t>
      </w:r>
      <w:r>
        <w:rPr>
          <w:rFonts w:ascii="Noto Serif CJK SC" w:hAnsi="Noto Serif CJK SC" w:eastAsia="Noto Serif CJK SC"/>
          <w:b w:val="0"/>
          <w:i w:val="0"/>
          <w:sz w:val="24"/>
        </w:rPr>
        <w:t>使用VAR-Granger建立线性预测因果基准，并检验变量之间的方向性预测关系。</w:t>
      </w:r>
    </w:p>
    <w:p>
      <w:pPr>
        <w:pStyle w:val="列表"/>
        <w:spacing w:after="80"/>
        <w:ind w:left="420" w:hanging="34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 xml:space="preserve">3. </w:t>
      </w:r>
      <w:r>
        <w:rPr>
          <w:rFonts w:ascii="Noto Serif CJK SC" w:hAnsi="Noto Serif CJK SC" w:eastAsia="Noto Serif CJK SC"/>
          <w:b w:val="0"/>
          <w:i w:val="0"/>
          <w:sz w:val="24"/>
        </w:rPr>
        <w:t>使用PCMCI识别控制其他变量后的条件滞后关系，降低间接路径造成的误判。</w:t>
      </w:r>
    </w:p>
    <w:p>
      <w:pPr>
        <w:pStyle w:val="列表"/>
        <w:spacing w:after="80"/>
        <w:ind w:left="420" w:hanging="34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 xml:space="preserve">4. </w:t>
      </w:r>
      <w:r>
        <w:rPr>
          <w:rFonts w:ascii="Noto Serif CJK SC" w:hAnsi="Noto Serif CJK SC" w:eastAsia="Noto Serif CJK SC"/>
          <w:b w:val="0"/>
          <w:i w:val="0"/>
          <w:sz w:val="24"/>
        </w:rPr>
        <w:t>使用Multivariate Transfer Entropy识别可能被线性模型遗漏的非线性方向性信息传递。</w:t>
      </w:r>
    </w:p>
    <w:p>
      <w:pPr>
        <w:pStyle w:val="列表"/>
        <w:spacing w:after="80"/>
        <w:ind w:left="420" w:hanging="34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 xml:space="preserve">5. </w:t>
      </w:r>
      <w:r>
        <w:rPr>
          <w:rFonts w:ascii="Noto Serif CJK SC" w:hAnsi="Noto Serif CJK SC" w:eastAsia="Noto Serif CJK SC"/>
          <w:b w:val="0"/>
          <w:i w:val="0"/>
          <w:sz w:val="24"/>
        </w:rPr>
        <w:t>比较不同方法发现的因果边、方向、滞后和显著性结果。</w:t>
      </w:r>
    </w:p>
    <w:p>
      <w:pPr>
        <w:pStyle w:val="列表"/>
        <w:spacing w:after="80"/>
        <w:ind w:left="420" w:hanging="34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 xml:space="preserve">6. </w:t>
      </w:r>
      <w:r>
        <w:rPr>
          <w:rFonts w:ascii="Noto Serif CJK SC" w:hAnsi="Noto Serif CJK SC" w:eastAsia="Noto Serif CJK SC"/>
          <w:b w:val="0"/>
          <w:i w:val="0"/>
          <w:sz w:val="24"/>
        </w:rPr>
        <w:t>通过滚动窗口分析市场因果网络的时变特征。</w:t>
      </w:r>
    </w:p>
    <w:p>
      <w:pPr>
        <w:pStyle w:val="列表"/>
        <w:spacing w:after="80"/>
        <w:ind w:left="420" w:hanging="34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 xml:space="preserve">7. </w:t>
      </w:r>
      <w:r>
        <w:rPr>
          <w:rFonts w:ascii="Noto Serif CJK SC" w:hAnsi="Noto Serif CJK SC" w:eastAsia="Noto Serif CJK SC"/>
          <w:b w:val="0"/>
          <w:i w:val="0"/>
          <w:sz w:val="24"/>
        </w:rPr>
        <w:t>比较高波动和低波动状态下的市场传导结构。</w:t>
      </w:r>
    </w:p>
    <w:p>
      <w:pPr>
        <w:pStyle w:val="列表"/>
        <w:spacing w:after="80"/>
        <w:ind w:left="420" w:hanging="34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 xml:space="preserve">8. </w:t>
      </w:r>
      <w:r>
        <w:rPr>
          <w:rFonts w:ascii="Noto Serif CJK SC" w:hAnsi="Noto Serif CJK SC" w:eastAsia="Noto Serif CJK SC"/>
          <w:b w:val="0"/>
          <w:i w:val="0"/>
          <w:sz w:val="24"/>
        </w:rPr>
        <w:t>通过具有ground truth的合成数据评估方法在线性、非线性、间接因果和状态切换场景中的识别能力。</w:t>
      </w:r>
    </w:p>
    <w:p>
      <w:pPr>
        <w:pStyle w:val="标题1"/>
      </w:pPr>
      <w:r>
        <w:t>四、核心研究问题</w:t>
      </w:r>
    </w:p>
    <w:p>
      <w:pPr>
        <w:pStyle w:val="标题2"/>
      </w:pPr>
      <w:r>
        <w:t>4.1 货币市场利率是否向国债收益率曲线传导？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重点检验短期资金价格是否首先影响短端国债收益率，并进一步向长端收益率传递：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ΔSHIBOR7D  →  ΔY¹ʸ  →  ΔY¹⁰ʸ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同时检验反向反馈关系，以判断债券市场是否提前反映未来政策或宏观预期。</w:t>
      </w:r>
    </w:p>
    <w:p>
      <w:pPr>
        <w:pStyle w:val="标题2"/>
      </w:pPr>
      <w:r>
        <w:t>4.2 股票、债券和人民币汇率之间是否存在稳定的领先—跟随关系？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ΔY¹⁰ʸ  ↔  r(CSI300)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r(USD/CNY)  ↔  r(CSI300)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ΔY¹⁰ʸ  ↔  r(USD/CNY)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双向箭头表示两个方向均需检验，并不预先假定存在双向因果。</w:t>
      </w:r>
    </w:p>
    <w:p>
      <w:pPr>
        <w:pStyle w:val="标题2"/>
      </w:pPr>
      <w:r>
        <w:t>4.3 不同市场间的传导是否具有非线性？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例如，10年期国债收益率小幅变化时，股票市场可能没有明显反应；只有当收益率变化超过某一阈值时，市场才出现较强调整。可用下式表示一个可能的非线性机制：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rₜ(CSI300) = β₁ΔYₜ₋₁¹⁰ʸ + β₂(ΔYₜ₋₁¹⁰ʸ)² + εₜ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若主要作用来自平方项、阈值函数或其他非线性形式，线性VAR-Granger可能无法识别，而PCMCI-CMIknn与Transfer Entropy更可能发现该关系。</w:t>
      </w:r>
    </w:p>
    <w:p>
      <w:pPr>
        <w:pStyle w:val="标题2"/>
      </w:pPr>
      <w:r>
        <w:t>4.4 市场因果网络是否随时间和波动状态变化？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G(full sample),  G(high volatility),  G(low volatility)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G₁, G₂, …, Gₘ   （滚动窗口网络）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通过完整样本、滚动窗口和高低波动分组进行比较，识别长期稳定边、阶段性边和危机状态下增强的风险传导路径。</w:t>
      </w:r>
    </w:p>
    <w:p>
      <w:pPr>
        <w:pStyle w:val="标题2"/>
      </w:pPr>
      <w:r>
        <w:t>4.5 不同因果发现方法是否得到一致结论？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对每一条候选边分别检查VAR-Granger、PCMCI和Transfer Entropy是否支持。多种方法均支持的方向可视为较高可信度的共识边；仅由非线性方法识别的边，需要进一步分析其状态依赖、参数敏感性和有限样本风险。</w:t>
      </w:r>
    </w:p>
    <w:p>
      <w:pPr>
        <w:pStyle w:val="标题1"/>
      </w:pPr>
      <w:r>
        <w:t>五、数据设计</w:t>
      </w:r>
    </w:p>
    <w:p>
      <w:pPr>
        <w:pStyle w:val="标题2"/>
      </w:pPr>
      <w:r>
        <w:t>5.1 核心变量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Xₜ = [rₜ(CSI300), rₜ(USD/CNY), ΔSHIBOR7Dₜ, ΔYₜ¹ʸ, ΔYₜ¹⁰ʸ]ᵀ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C"/>
          <w:start w:val="single" w:sz="6" w:space="0" w:color="B7C9DC"/>
          <w:bottom w:val="single" w:sz="6" w:space="0" w:color="B7C9DC"/>
          <w:end w:val="single" w:sz="6" w:space="0" w:color="B7C9DC"/>
          <w:insideH w:val="single" w:sz="6" w:space="0" w:color="B7C9DC"/>
          <w:insideV w:val="single" w:sz="6" w:space="0" w:color="B7C9DC"/>
        </w:tblBorders>
      </w:tblPr>
      <w:tblGrid>
        <w:gridCol w:w="2253"/>
        <w:gridCol w:w="2253"/>
        <w:gridCol w:w="2253"/>
        <w:gridCol w:w="2253"/>
      </w:tblGrid>
      <w:tr>
        <w:trPr>
          <w:tblHeader w:val="true"/>
        </w:trPr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变量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代表市场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建议处理方式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方向解释</w:t>
            </w:r>
          </w:p>
        </w:tc>
      </w:tr>
      <w:tr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沪深300指数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股票市场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日度对数收益率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正值表示股市上涨</w:t>
            </w:r>
          </w:p>
        </w:tc>
      </w:tr>
      <w:tr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USD/CNY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外汇市场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日度对数变化率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正值表示人民币贬值</w:t>
            </w:r>
          </w:p>
        </w:tc>
      </w:tr>
      <w:tr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7天期Shibor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货币市场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日度变化量（BP）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正值表示资金成本上升</w:t>
            </w:r>
          </w:p>
        </w:tc>
      </w:tr>
      <w:tr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1年期国债收益率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债券短端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日度变化量（BP）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正值表示短端收益率上升</w:t>
            </w:r>
          </w:p>
        </w:tc>
      </w:tr>
      <w:tr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10年期国债收益率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债券长端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日度变化量（BP）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正值表示长端收益率上升</w:t>
            </w:r>
          </w:p>
        </w:tc>
      </w:tr>
    </w:tbl>
    <w:p>
      <w:pPr>
        <w:pStyle w:val="标题2"/>
      </w:pPr>
      <w:r>
        <w:t>5.2 市场状态变量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使用沪深300的20日滚动实现波动率刻画市场状态：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VOLₜ = √[(1/20) Σⱼ₌₀¹⁹ (rₜ₋ⱼ − r̄ₜ)²]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波动率不作为普通网络节点，而用于划分市场状态，以避免收益率与其机械构造出的波动率之间产生公式性依赖。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高波动期：VOLₜ &gt; Q₇₅%    低波动期：VOLₜ &lt; Q₂₅%</w:t>
      </w:r>
    </w:p>
    <w:p>
      <w:pPr>
        <w:pStyle w:val="标题2"/>
      </w:pPr>
      <w:r>
        <w:t>5.3 样本区间与数据来源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初步样本区间设定为2016年1月至2025年12月。该区间可形成约十年的日频样本，并支持完整样本、滚动窗口、高低波动状态及阶段性稳健性分析。实际起止日期将根据五类数据的共同可得性和连续性进行调整。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C"/>
          <w:start w:val="single" w:sz="6" w:space="0" w:color="B7C9DC"/>
          <w:bottom w:val="single" w:sz="6" w:space="0" w:color="B7C9DC"/>
          <w:end w:val="single" w:sz="6" w:space="0" w:color="B7C9DC"/>
          <w:insideH w:val="single" w:sz="6" w:space="0" w:color="B7C9DC"/>
          <w:insideV w:val="single" w:sz="6" w:space="0" w:color="B7C9DC"/>
        </w:tblBorders>
      </w:tblPr>
      <w:tblGrid>
        <w:gridCol w:w="4507"/>
        <w:gridCol w:w="4507"/>
      </w:tblGrid>
      <w:tr>
        <w:trPr>
          <w:tblHeader w:val="true"/>
        </w:trP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优先来源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沪深300指数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Wind / CSMAR / RESSET；无权限时采用公开指数数据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USD/CNY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银行间外汇市场即期收盘价；必要时使用人民币中间价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Shibor 7D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Shibor官方网站或商业数据库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国债收益率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中国债券信息网或商业数据库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稳健性替代变量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FDR007/DR007、上证综指、创业板指、其他汇率口径</w:t>
            </w:r>
          </w:p>
        </w:tc>
      </w:tr>
    </w:tbl>
    <w:p>
      <w:pPr>
        <w:pStyle w:val="标题1"/>
      </w:pPr>
      <w:r>
        <w:t>六、数据预处理</w:t>
      </w:r>
    </w:p>
    <w:p>
      <w:pPr>
        <w:pStyle w:val="标题2"/>
      </w:pPr>
      <w:r>
        <w:t>6.1 股票与汇率变量转换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rₜ = 100[ln(Pₜ) − ln(Pₜ₋₁)]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对于USD/CNY，变化率为正表示人民币相对美元贬值，变化率为负表示人民币相对美元升值。</w:t>
      </w:r>
    </w:p>
    <w:p>
      <w:pPr>
        <w:pStyle w:val="标题2"/>
      </w:pPr>
      <w:r>
        <w:t>6.2 利率与收益率变量转换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Δiₜ = 100(iₜ − iₜ₋₁)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若原始利率单位为百分比，乘以100后可转换为基点（BP）。利率水平是否直接进入模型，将根据ADF和KPSS检验结果决定。</w:t>
      </w:r>
    </w:p>
    <w:p>
      <w:pPr>
        <w:pStyle w:val="标题2"/>
      </w:pPr>
      <w:r>
        <w:t>6.3 日期对齐与缺失值处理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先在每个变量自身的有效交易日内计算收益率或变化量，再按照日期取共同交集：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D = D(stock) ∩ D(FX) ∩ D(Shibor) ∩ D(bond)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原则上不随意前向填充。前向填充会人为制造零变化，改变自相关结构，并可能影响Granger检验、条件独立检验及Transfer Entropy的概率估计。</w:t>
      </w:r>
    </w:p>
    <w:p>
      <w:pPr>
        <w:pStyle w:val="标题2"/>
      </w:pPr>
      <w:r>
        <w:t>6.4 平稳性、异常值与标准化</w:t>
      </w:r>
    </w:p>
    <w:p>
      <w:pPr>
        <w:pStyle w:val="列表"/>
        <w:spacing w:after="60"/>
        <w:ind w:left="420" w:hanging="255"/>
      </w:pPr>
      <w:r>
        <w:rPr>
          <w:rFonts w:ascii="Noto Serif CJK SC" w:hAnsi="Noto Serif CJK SC" w:eastAsia="Noto Serif CJK SC"/>
          <w:b w:val="0"/>
          <w:i w:val="0"/>
          <w:sz w:val="24"/>
        </w:rPr>
        <w:t>• 对所有序列进行ADF检验与KPSS检验，并结合时间序列图、自相关函数和偏自相关函数判断平稳性。</w:t>
      </w:r>
    </w:p>
    <w:p>
      <w:pPr>
        <w:pStyle w:val="列表"/>
        <w:spacing w:after="60"/>
        <w:ind w:left="420" w:hanging="255"/>
      </w:pPr>
      <w:r>
        <w:rPr>
          <w:rFonts w:ascii="Noto Serif CJK SC" w:hAnsi="Noto Serif CJK SC" w:eastAsia="Noto Serif CJK SC"/>
          <w:b w:val="0"/>
          <w:i w:val="0"/>
          <w:sz w:val="24"/>
        </w:rPr>
        <w:t>• 如存在明显趋势或单位根，采用对数差分、一阶差分、去趋势或分窗口分析。</w:t>
      </w:r>
    </w:p>
    <w:p>
      <w:pPr>
        <w:pStyle w:val="列表"/>
        <w:spacing w:after="60"/>
        <w:ind w:left="420" w:hanging="255"/>
      </w:pPr>
      <w:r>
        <w:rPr>
          <w:rFonts w:ascii="Noto Serif CJK SC" w:hAnsi="Noto Serif CJK SC" w:eastAsia="Noto Serif CJK SC"/>
          <w:b w:val="0"/>
          <w:i w:val="0"/>
          <w:sz w:val="24"/>
        </w:rPr>
        <w:t>• 对极端异常值进行来源核验；不直接删除真实市场冲击，但可采用温莎化结果作为稳健性对照。</w:t>
      </w:r>
    </w:p>
    <w:p>
      <w:pPr>
        <w:pStyle w:val="列表"/>
        <w:spacing w:after="60"/>
        <w:ind w:left="420" w:hanging="255"/>
      </w:pPr>
      <w:r>
        <w:rPr>
          <w:rFonts w:ascii="Noto Serif CJK SC" w:hAnsi="Noto Serif CJK SC" w:eastAsia="Noto Serif CJK SC"/>
          <w:b w:val="0"/>
          <w:i w:val="0"/>
          <w:sz w:val="24"/>
        </w:rPr>
        <w:t>• 为方便非参数方法与多变量比较，对处理后的变量进行z-score标准化。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Zᵢ,ₜ = (Xᵢ,ₜ − μᵢ) / σᵢ</w:t>
      </w:r>
    </w:p>
    <w:p>
      <w:pPr>
        <w:pStyle w:val="标题1"/>
      </w:pPr>
      <w:r>
        <w:t>七、研究方法</w:t>
      </w:r>
    </w:p>
    <w:p>
      <w:pPr>
        <w:pStyle w:val="标题2"/>
      </w:pPr>
      <w:r>
        <w:t>7.1 VAR-Granger Causality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构建五变量VAR模型：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Xₜ = c + A₁Xₜ₋₁ + A₂Xₜ₋₂ + ··· + AₚXₜ₋ₚ + εₜ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以“Shibor是否Granger导致1年期国债收益率”为例，检验Shibor各滞后项在1年期收益率方程中的系数是否联合为零。若拒绝原假设，则认为Shibor的过去值能够在控制其他变量后改善对1年期收益率的线性预测。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H₀: A₁,Y1Y,SHIBOR = ··· = Aₚ,Y1Y,SHIBOR = 0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计划搜索p∈{1,…,10}，主结果使用BIC选择滞后阶数，并以AIC、HQIC和固定滞后结果作为稳健性对照。对全部方向的p值使用Benjamini–Hochberg方法进行FDR校正。</w:t>
      </w:r>
    </w:p>
    <w:p>
      <w:pPr>
        <w:pStyle w:val="标题2"/>
      </w:pPr>
      <w:r>
        <w:t>7.2 PCMCI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PCMCI通过候选父节点筛选和条件独立检验，识别多变量时间序列中的条件滞后关系。其优势在于可以控制目标变量自身历史及其他变量的相关滞后，降低间接路径和共同驱动造成的虚假边。</w:t>
      </w:r>
    </w:p>
    <w:p>
      <w:pPr>
        <w:pStyle w:val="标题3"/>
      </w:pPr>
      <w:r>
        <w:t>7.2.1 PCMCI-ParCorr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使用偏相关作为条件独立检验，重点识别近似线性的条件关系，与VAR-Granger形成方法对照。</w:t>
      </w:r>
    </w:p>
    <w:p>
      <w:pPr>
        <w:pStyle w:val="标题3"/>
      </w:pPr>
      <w:r>
        <w:t>7.2.2 PCMCI-CMIknn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使用基于k近邻的条件互信息检验，识别非线性条件依赖：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I(Xₜ₋τ ; Yₜ | Z) &gt; 0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主分析设置τmin=1、τmax=10，不将Lag 0作为核心结果，以减少不同市场日内发布时间不一致造成的解释问题。</w:t>
      </w:r>
    </w:p>
    <w:p>
      <w:pPr>
        <w:pStyle w:val="标题2"/>
      </w:pPr>
      <w:r>
        <w:t>7.3 Multivariate Transfer Entropy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使用IDTxl估计多变量Transfer Entropy：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T(X→Y | Z) = I(Xpast ; Yₜ | Ypast, Zpast)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例如，T(SHIBOR→Y1Y | CSI300, FX, Y10Y)表示在控制1年期收益率自身历史及其他市场变量历史后，Shibor过去值仍能为当前1年期收益率提供多少额外方向性信息。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C9C9"/>
          <w:start w:val="single" w:sz="6" w:space="0" w:color="C9C9C9"/>
          <w:bottom w:val="single" w:sz="6" w:space="0" w:color="C9C9C9"/>
          <w:end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9014"/>
      </w:tblGrid>
      <w:tr>
        <w:trPr>
          <w:cantSplit/>
        </w:trPr>
        <w:tc>
          <w:tcPr>
            <w:tcW w:type="dxa" w:w="9014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i w:val="0"/>
                <w:sz w:val="18"/>
              </w:rPr>
              <w:t>settings =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sz w:val="18"/>
              </w:rPr>
              <w:t xml:space="preserve">    'cmi_estimator': 'JidtKraskovCMI',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sz w:val="18"/>
              </w:rPr>
              <w:t xml:space="preserve">    'min_lag_sources': 1,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sz w:val="18"/>
              </w:rPr>
              <w:t xml:space="preserve">    'max_lag_sources': 5,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sz w:val="18"/>
              </w:rPr>
              <w:t xml:space="preserve">    'max_lag_target': 5,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sz w:val="18"/>
              </w:rPr>
              <w:t xml:space="preserve">    'n_perm_max_stat': 200,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sz w:val="18"/>
              </w:rPr>
              <w:t xml:space="preserve">    'n_perm_min_stat': 200,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sz w:val="18"/>
              </w:rPr>
              <w:t xml:space="preserve">    'n_perm_omnibus': 500,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sz w:val="18"/>
              </w:rPr>
              <w:t xml:space="preserve">    'n_perm_max_seq': 500,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sz w:val="18"/>
              </w:rPr>
              <w:t>}</w:t>
            </w:r>
          </w:p>
        </w:tc>
      </w:tr>
    </w:tbl>
    <w:p>
      <w:pPr>
        <w:spacing w:after="0"/>
      </w:pP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稳健性检验将最大滞后扩展至10日，并提高关键结果的置换次数。由于非参数条件互信息对样本量和条件维度较敏感，滚动窗口分析将使用比VAR和PCMCI更长的窗口。</w:t>
      </w:r>
    </w:p>
    <w:p>
      <w:pPr>
        <w:pStyle w:val="标题2"/>
      </w:pPr>
      <w:r>
        <w:t>7.4 三类方法的互补关系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C"/>
          <w:start w:val="single" w:sz="6" w:space="0" w:color="B7C9DC"/>
          <w:bottom w:val="single" w:sz="6" w:space="0" w:color="B7C9DC"/>
          <w:end w:val="single" w:sz="6" w:space="0" w:color="B7C9DC"/>
          <w:insideH w:val="single" w:sz="6" w:space="0" w:color="B7C9DC"/>
          <w:insideV w:val="single" w:sz="6" w:space="0" w:color="B7C9DC"/>
        </w:tblBorders>
      </w:tblPr>
      <w:tblGrid>
        <w:gridCol w:w="2253"/>
        <w:gridCol w:w="2253"/>
        <w:gridCol w:w="2253"/>
        <w:gridCol w:w="2253"/>
      </w:tblGrid>
      <w:tr>
        <w:trPr>
          <w:tblHeader w:val="true"/>
        </w:trPr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0"/>
              </w:rPr>
              <w:t>主要回答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0"/>
              </w:rPr>
              <w:t>优势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0"/>
              </w:rPr>
              <w:t>主要限制</w:t>
            </w:r>
          </w:p>
        </w:tc>
      </w:tr>
      <w:tr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VAR-GC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加入源变量历史能否改善线性预测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清晰、快速、易解释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主要识别线性关系</w:t>
            </w:r>
          </w:p>
        </w:tc>
      </w:tr>
      <w:tr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PCMCI-ParCorr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控制其他变量后是否仍有线性条件依赖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适合多变量条件网络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依赖条件独立假设</w:t>
            </w:r>
          </w:p>
        </w:tc>
      </w:tr>
      <w:tr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PCMCI-CMIknn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是否存在非线性条件依赖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可识别非线性关系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计算量和样本需求较高</w:t>
            </w:r>
          </w:p>
        </w:tc>
      </w:tr>
      <w:tr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Multivariate TE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源变量过去提供多少额外方向性信息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非参数、方向性、非线性</w:t>
            </w:r>
          </w:p>
        </w:tc>
        <w:tc>
          <w:tcPr>
            <w:tcW w:type="dxa" w:w="225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参数敏感、样本需求较大</w:t>
            </w:r>
          </w:p>
        </w:tc>
      </w:tr>
    </w:tbl>
    <w:p>
      <w:pPr>
        <w:pStyle w:val="标题1"/>
      </w:pPr>
      <w:r>
        <w:t>八、Synthetic Benchmark设计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真实金融数据不存在已知的真实因果图，无法直接计算因果边识别准确率。因此，本研究将在实证分析前构建具有ground truth的模拟数据，用于评价不同方法的Precision、Recall和F1。</w:t>
      </w:r>
    </w:p>
    <w:p>
      <w:pPr>
        <w:pStyle w:val="标题2"/>
      </w:pPr>
      <w:r>
        <w:t>Dataset A：线性传导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构造 M → B1 → B10 → S → FX 的线性滞后链，检验VAR-GC与PCMCI-ParCorr的基准性能。</w:t>
      </w:r>
    </w:p>
    <w:p>
      <w:pPr>
        <w:pStyle w:val="标题2"/>
      </w:pPr>
      <w:r>
        <w:t>Dataset B：非线性传导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在B10→S或S→FX边中加入平方项、tanh函数或阈值函数，检验PCMCI-CMIknn与TE能否识别线性方法遗漏的关系。</w:t>
      </w:r>
    </w:p>
    <w:p>
      <w:pPr>
        <w:pStyle w:val="标题2"/>
      </w:pPr>
      <w:r>
        <w:t>Dataset C：间接因果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设置 M → B1 → S，但不存在M→S直接边，检验条件方法能否删除由间接路径形成的虚假边。</w:t>
      </w:r>
    </w:p>
    <w:p>
      <w:pPr>
        <w:pStyle w:val="标题2"/>
      </w:pPr>
      <w:r>
        <w:t>Dataset D：共同驱动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设置U同时驱动S与FX，比较已观测和未观测共同原因下的虚假边风险。</w:t>
      </w:r>
    </w:p>
    <w:p>
      <w:pPr>
        <w:pStyle w:val="标题2"/>
      </w:pPr>
      <w:r>
        <w:t>Dataset E：状态切换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低波动时期不存在B10→S，高波动时期存在该边，检验滚动窗口和状态分组识别时变网络的能力。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Precision = TP/(TP+FP)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Recall = TP/(TP+FN)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F1 = 2·Precision·Recall/(Precision+Recall)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同时报告Structural Hamming Distance、方向识别准确率、平均滞后误差及不同随机种子下的边稳定性。</w:t>
      </w:r>
    </w:p>
    <w:p>
      <w:pPr>
        <w:pStyle w:val="标题1"/>
      </w:pPr>
      <w:r>
        <w:t>九、真实数据结果评价</w:t>
      </w:r>
    </w:p>
    <w:p>
      <w:pPr>
        <w:pStyle w:val="标题2"/>
      </w:pPr>
      <w:r>
        <w:t>9.1 边稳定性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Stability(i→j) = 发现该边的窗口数 / 总窗口数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稳定性较高的边表示该方向在不同时间窗口中重复出现，但仍应解释为稳健的统计预测关系，而非已验证的干预因果。</w:t>
      </w:r>
    </w:p>
    <w:p>
      <w:pPr>
        <w:pStyle w:val="标题2"/>
      </w:pPr>
      <w:r>
        <w:t>9.2 方法共识得分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Consensus(i→j) = I(VAR) + I(PCMCI) + I(TE)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得分范围为0—3。得分3表示三类方法均支持该方向；得分1表示仅有一种方法支持，需要重点进行参数敏感性和经济机制审查。</w:t>
      </w:r>
    </w:p>
    <w:p>
      <w:pPr>
        <w:pStyle w:val="标题2"/>
      </w:pPr>
      <w:r>
        <w:t>9.3 网络相似度</w:t>
      </w:r>
    </w:p>
    <w:p>
      <w:pPr>
        <w:pStyle w:val="公式"/>
        <w:spacing w:before="80" w:after="120"/>
        <w:jc w:val="center"/>
      </w:pPr>
      <w:r>
        <w:rPr>
          <w:rFonts w:ascii="Cambria Math" w:hAnsi="Cambria Math" w:eastAsia="Cambria Math"/>
          <w:b w:val="0"/>
          <w:i w:val="0"/>
          <w:sz w:val="23"/>
        </w:rPr>
        <w:t>J(A, B) = |Eₐ ∩ Eᵦ| / |Eₐ ∪ Eᵦ|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使用Jaccard指数比较不同方法得到的有向边集合，量化方法之间的结构一致性。</w:t>
      </w:r>
    </w:p>
    <w:p>
      <w:pPr>
        <w:pStyle w:val="标题2"/>
      </w:pPr>
      <w:r>
        <w:t>9.4 样本外预测改善</w:t>
      </w:r>
    </w:p>
    <w:p>
      <w:pPr>
        <w:pStyle w:val="正文"/>
        <w:keepLines w:val="0"/>
        <w:widowControl/>
        <w:spacing w:after="120"/>
        <w:ind w:firstLine="420"/>
      </w:pPr>
      <w:r>
        <w:rPr>
          <w:rFonts w:ascii="Noto Serif CJK SC" w:hAnsi="Noto Serif CJK SC" w:eastAsia="Noto Serif CJK SC"/>
          <w:b w:val="0"/>
          <w:i w:val="0"/>
          <w:sz w:val="24"/>
        </w:rPr>
        <w:t>对发现的候选边比较受限模型与完整模型的样本外RMSE。若加入源变量历史后预测误差稳定下降，说明该方向具有实际预测价值，可作为统计因果结果的补充证据。</w:t>
      </w:r>
    </w:p>
    <w:p>
      <w:pPr>
        <w:pStyle w:val="标题1"/>
      </w:pPr>
      <w:r>
        <w:t>十、滚动窗口与状态分析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C"/>
          <w:start w:val="single" w:sz="6" w:space="0" w:color="B7C9DC"/>
          <w:bottom w:val="single" w:sz="6" w:space="0" w:color="B7C9DC"/>
          <w:end w:val="single" w:sz="6" w:space="0" w:color="B7C9DC"/>
          <w:insideH w:val="single" w:sz="6" w:space="0" w:color="B7C9DC"/>
          <w:insideV w:val="single" w:sz="6" w:space="0" w:color="B7C9DC"/>
        </w:tblBorders>
      </w:tblPr>
      <w:tblGrid>
        <w:gridCol w:w="3005"/>
        <w:gridCol w:w="3005"/>
        <w:gridCol w:w="3005"/>
      </w:tblGrid>
      <w:tr>
        <w:trPr>
          <w:tblHeader w:val="true"/>
        </w:trP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分析模块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建议窗口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VAR-GC与PCMCI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500个交易日；Step=20日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约两年窗口、每月更新一次网络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Transfer Entropy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750个交易日或状态子样本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提高非参数条件互信息估计稳定性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窗口稳健性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250 / 500 / 750日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比较窗口长度对网络结构的影响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状态分析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高波动与低波动子样本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比较风险状态下的边数量、方向与强度</w:t>
            </w:r>
          </w:p>
        </w:tc>
      </w:tr>
    </w:tbl>
    <w:p>
      <w:pPr>
        <w:pStyle w:val="标题1"/>
      </w:pPr>
      <w:r>
        <w:t>十一、预期创新点</w:t>
      </w:r>
    </w:p>
    <w:p>
      <w:pPr>
        <w:pStyle w:val="正文"/>
        <w:spacing w:after="100"/>
        <w:ind w:left="227" w:firstLine="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>1. 多方法比较：</w:t>
      </w:r>
      <w:r>
        <w:rPr>
          <w:rFonts w:ascii="Noto Serif CJK SC" w:hAnsi="Noto Serif CJK SC" w:eastAsia="Noto Serif CJK SC"/>
          <w:b w:val="0"/>
          <w:i w:val="0"/>
          <w:sz w:val="24"/>
        </w:rPr>
        <w:t>同时使用线性预测因果、多变量条件因果和非线性信息传递，避免依赖单一模型。</w:t>
      </w:r>
    </w:p>
    <w:p>
      <w:pPr>
        <w:pStyle w:val="正文"/>
        <w:spacing w:after="100"/>
        <w:ind w:left="227" w:firstLine="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>2. 线性与非线性区分：</w:t>
      </w:r>
      <w:r>
        <w:rPr>
          <w:rFonts w:ascii="Noto Serif CJK SC" w:hAnsi="Noto Serif CJK SC" w:eastAsia="Noto Serif CJK SC"/>
          <w:b w:val="0"/>
          <w:i w:val="0"/>
          <w:sz w:val="24"/>
        </w:rPr>
        <w:t>利用PCMCI-CMIknn和Transfer Entropy识别传统线性VAR可能遗漏的非线性传导。</w:t>
      </w:r>
    </w:p>
    <w:p>
      <w:pPr>
        <w:pStyle w:val="正文"/>
        <w:spacing w:after="100"/>
        <w:ind w:left="227" w:firstLine="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>3. 时变因果网络：</w:t>
      </w:r>
      <w:r>
        <w:rPr>
          <w:rFonts w:ascii="Noto Serif CJK SC" w:hAnsi="Noto Serif CJK SC" w:eastAsia="Noto Serif CJK SC"/>
          <w:b w:val="0"/>
          <w:i w:val="0"/>
          <w:sz w:val="24"/>
        </w:rPr>
        <w:t>使用滚动窗口研究不同市场关系是否随时间变化，而不是仅估计一张全样本静态网络。</w:t>
      </w:r>
    </w:p>
    <w:p>
      <w:pPr>
        <w:pStyle w:val="正文"/>
        <w:spacing w:after="100"/>
        <w:ind w:left="227" w:firstLine="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>4. 市场状态依赖：</w:t>
      </w:r>
      <w:r>
        <w:rPr>
          <w:rFonts w:ascii="Noto Serif CJK SC" w:hAnsi="Noto Serif CJK SC" w:eastAsia="Noto Serif CJK SC"/>
          <w:b w:val="0"/>
          <w:i w:val="0"/>
          <w:sz w:val="24"/>
        </w:rPr>
        <w:t>比较高波动与低波动时期的网络结构，分析风险状态是否改变市场传导路径。</w:t>
      </w:r>
    </w:p>
    <w:p>
      <w:pPr>
        <w:pStyle w:val="正文"/>
        <w:spacing w:after="100"/>
        <w:ind w:left="227" w:firstLine="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>5. Synthetic与真实数据结合：</w:t>
      </w:r>
      <w:r>
        <w:rPr>
          <w:rFonts w:ascii="Noto Serif CJK SC" w:hAnsi="Noto Serif CJK SC" w:eastAsia="Noto Serif CJK SC"/>
          <w:b w:val="0"/>
          <w:i w:val="0"/>
          <w:sz w:val="24"/>
        </w:rPr>
        <w:t>先在具有ground truth的模拟数据上评价方法，再应用于中国金融市场，避免直接把真实数据显著边视为真实因果。</w:t>
      </w:r>
    </w:p>
    <w:p>
      <w:pPr>
        <w:pStyle w:val="标题1"/>
      </w:pPr>
      <w:r>
        <w:t>十二、预期成果</w:t>
      </w:r>
    </w:p>
    <w:p>
      <w:pPr>
        <w:pStyle w:val="列表"/>
        <w:spacing w:after="80"/>
        <w:ind w:left="420" w:hanging="34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 xml:space="preserve">1. </w:t>
      </w:r>
      <w:r>
        <w:rPr>
          <w:rFonts w:ascii="Noto Serif CJK SC" w:hAnsi="Noto Serif CJK SC" w:eastAsia="Noto Serif CJK SC"/>
          <w:b w:val="0"/>
          <w:i w:val="0"/>
          <w:sz w:val="24"/>
        </w:rPr>
        <w:t>一套完成清洗、日期对齐和变量转换的中国股债汇日频数据集；</w:t>
      </w:r>
    </w:p>
    <w:p>
      <w:pPr>
        <w:pStyle w:val="列表"/>
        <w:spacing w:after="80"/>
        <w:ind w:left="420" w:hanging="34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 xml:space="preserve">2. </w:t>
      </w:r>
      <w:r>
        <w:rPr>
          <w:rFonts w:ascii="Noto Serif CJK SC" w:hAnsi="Noto Serif CJK SC" w:eastAsia="Noto Serif CJK SC"/>
          <w:b w:val="0"/>
          <w:i w:val="0"/>
          <w:sz w:val="24"/>
        </w:rPr>
        <w:t>一套可复用的VAR-GC、PCMCI和IDTxl分析代码；</w:t>
      </w:r>
    </w:p>
    <w:p>
      <w:pPr>
        <w:pStyle w:val="列表"/>
        <w:spacing w:after="80"/>
        <w:ind w:left="420" w:hanging="34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 xml:space="preserve">3. </w:t>
      </w:r>
      <w:r>
        <w:rPr>
          <w:rFonts w:ascii="Noto Serif CJK SC" w:hAnsi="Noto Serif CJK SC" w:eastAsia="Noto Serif CJK SC"/>
          <w:b w:val="0"/>
          <w:i w:val="0"/>
          <w:sz w:val="24"/>
        </w:rPr>
        <w:t>五类具有已知因果结构的合成数据及其ground truth；</w:t>
      </w:r>
    </w:p>
    <w:p>
      <w:pPr>
        <w:pStyle w:val="列表"/>
        <w:spacing w:after="80"/>
        <w:ind w:left="420" w:hanging="34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 xml:space="preserve">4. </w:t>
      </w:r>
      <w:r>
        <w:rPr>
          <w:rFonts w:ascii="Noto Serif CJK SC" w:hAnsi="Noto Serif CJK SC" w:eastAsia="Noto Serif CJK SC"/>
          <w:b w:val="0"/>
          <w:i w:val="0"/>
          <w:sz w:val="24"/>
        </w:rPr>
        <w:t>三类方法在模拟数据上的Precision、Recall、F1和SHD比较；</w:t>
      </w:r>
    </w:p>
    <w:p>
      <w:pPr>
        <w:pStyle w:val="列表"/>
        <w:spacing w:after="80"/>
        <w:ind w:left="420" w:hanging="34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 xml:space="preserve">5. </w:t>
      </w:r>
      <w:r>
        <w:rPr>
          <w:rFonts w:ascii="Noto Serif CJK SC" w:hAnsi="Noto Serif CJK SC" w:eastAsia="Noto Serif CJK SC"/>
          <w:b w:val="0"/>
          <w:i w:val="0"/>
          <w:sz w:val="24"/>
        </w:rPr>
        <w:t>中国股债汇市场完整样本因果网络；</w:t>
      </w:r>
    </w:p>
    <w:p>
      <w:pPr>
        <w:pStyle w:val="列表"/>
        <w:spacing w:after="80"/>
        <w:ind w:left="420" w:hanging="34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 xml:space="preserve">6. </w:t>
      </w:r>
      <w:r>
        <w:rPr>
          <w:rFonts w:ascii="Noto Serif CJK SC" w:hAnsi="Noto Serif CJK SC" w:eastAsia="Noto Serif CJK SC"/>
          <w:b w:val="0"/>
          <w:i w:val="0"/>
          <w:sz w:val="24"/>
        </w:rPr>
        <w:t>滚动窗口因果网络与边稳定性结果；</w:t>
      </w:r>
    </w:p>
    <w:p>
      <w:pPr>
        <w:pStyle w:val="列表"/>
        <w:spacing w:after="80"/>
        <w:ind w:left="420" w:hanging="34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 xml:space="preserve">7. </w:t>
      </w:r>
      <w:r>
        <w:rPr>
          <w:rFonts w:ascii="Noto Serif CJK SC" w:hAnsi="Noto Serif CJK SC" w:eastAsia="Noto Serif CJK SC"/>
          <w:b w:val="0"/>
          <w:i w:val="0"/>
          <w:sz w:val="24"/>
        </w:rPr>
        <w:t>高波动和低波动状态的网络对比；</w:t>
      </w:r>
    </w:p>
    <w:p>
      <w:pPr>
        <w:pStyle w:val="列表"/>
        <w:spacing w:after="80"/>
        <w:ind w:left="420" w:hanging="34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 xml:space="preserve">8. </w:t>
      </w:r>
      <w:r>
        <w:rPr>
          <w:rFonts w:ascii="Noto Serif CJK SC" w:hAnsi="Noto Serif CJK SC" w:eastAsia="Noto Serif CJK SC"/>
          <w:b w:val="0"/>
          <w:i w:val="0"/>
          <w:sz w:val="24"/>
        </w:rPr>
        <w:t>方法共识矩阵、网络相似度及样本外预测检验；</w:t>
      </w:r>
    </w:p>
    <w:p>
      <w:pPr>
        <w:pStyle w:val="列表"/>
        <w:spacing w:after="80"/>
        <w:ind w:left="420" w:hanging="340"/>
      </w:pPr>
      <w:r>
        <w:rPr>
          <w:rFonts w:ascii="Noto Serif CJK SC" w:hAnsi="Noto Serif CJK SC" w:eastAsia="Noto Serif CJK SC"/>
          <w:b/>
          <w:i w:val="0"/>
          <w:color w:val="1F4E78"/>
          <w:sz w:val="24"/>
        </w:rPr>
        <w:t xml:space="preserve">9. </w:t>
      </w:r>
      <w:r>
        <w:rPr>
          <w:rFonts w:ascii="Noto Serif CJK SC" w:hAnsi="Noto Serif CJK SC" w:eastAsia="Noto Serif CJK SC"/>
          <w:b w:val="0"/>
          <w:i w:val="0"/>
          <w:sz w:val="24"/>
        </w:rPr>
        <w:t>一篇结构完整、可复现的毕业论文或研究报告。</w:t>
      </w:r>
    </w:p>
    <w:p>
      <w:pPr>
        <w:pStyle w:val="标题1"/>
      </w:pPr>
      <w:r>
        <w:t>十三、主要风险及应对方案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C"/>
          <w:start w:val="single" w:sz="6" w:space="0" w:color="B7C9DC"/>
          <w:bottom w:val="single" w:sz="6" w:space="0" w:color="B7C9DC"/>
          <w:end w:val="single" w:sz="6" w:space="0" w:color="B7C9DC"/>
          <w:insideH w:val="single" w:sz="6" w:space="0" w:color="B7C9DC"/>
          <w:insideV w:val="single" w:sz="6" w:space="0" w:color="B7C9DC"/>
        </w:tblBorders>
      </w:tblPr>
      <w:tblGrid>
        <w:gridCol w:w="3005"/>
        <w:gridCol w:w="3005"/>
        <w:gridCol w:w="3005"/>
      </w:tblGrid>
      <w:tr>
        <w:trPr>
          <w:tblHeader w:val="true"/>
        </w:trP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可能影响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应对方案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不同市场交易日不一致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样本错位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分别计算变化后再取日期交集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数据存在缺失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样本减少或出现人为零值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检查连续性，不随意前向填充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时间序列非平稳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虚假因果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差分、ADF/KPSS、滚动窗口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TE计算量大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运行时间过长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缩短候选滞后，分阶段增加置换次数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非参数方法样本不足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估计不稳定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使用完整样本或更长窗口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多重检验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假阳性增加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BH-FDR与置换检验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真实数据无ground truth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无法计算准确率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使用稳定性、方法共识和预测改善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结果对参数敏感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结论不稳健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比较不同滞后、窗口和显著性水平</w:t>
            </w:r>
          </w:p>
        </w:tc>
      </w:tr>
      <w:tr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日内发布时间不同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同期方向难以解释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19"/>
              </w:rPr>
              <w:t>主分析限定Lag≥1，同期关系仅作补充</w:t>
            </w:r>
          </w:p>
        </w:tc>
      </w:tr>
    </w:tbl>
    <w:p>
      <w:pPr>
        <w:pStyle w:val="标题1"/>
      </w:pPr>
      <w:r>
        <w:t>十四、16周工作安排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C"/>
          <w:start w:val="single" w:sz="6" w:space="0" w:color="B7C9DC"/>
          <w:bottom w:val="single" w:sz="6" w:space="0" w:color="B7C9DC"/>
          <w:end w:val="single" w:sz="6" w:space="0" w:color="B7C9DC"/>
          <w:insideH w:val="single" w:sz="6" w:space="0" w:color="B7C9DC"/>
          <w:insideV w:val="single" w:sz="6" w:space="0" w:color="B7C9DC"/>
        </w:tblBorders>
      </w:tblPr>
      <w:tblGrid>
        <w:gridCol w:w="4507"/>
        <w:gridCol w:w="4507"/>
      </w:tblGrid>
      <w:tr>
        <w:trPr>
          <w:tblHeader w:val="true"/>
        </w:trP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主要工作内容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第1—2周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完成文献检索，明确研究问题、理论传导机制与变量定义。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第3周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收集沪深300、USD/CNY、Shibor及国债收益率数据，记录数据来源和口径。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第4周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完成数据清洗、日期对齐、变量转换、缺失值检查和描述性统计。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第5周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完成ADF、KPSS、自相关、偏自相关及初步滞后分析。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第6周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构建VAR模型并完成Granger因果检验。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第7周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完成VAR稳定性诊断、残差检验、FDR校正和网络可视化。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第8周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实现PCMCI-ParCorr并完成基准结果。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第9周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实现PCMCI-CMIknn并分析非线性条件关系。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第10周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实现IDTxl Multivariate Transfer Entropy。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第11周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构建线性、非线性、间接因果、共同驱动和状态切换模拟数据。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第12周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完成Synthetic benchmark并计算Precision、Recall、F1和SHD。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第13周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完成滚动窗口和高低波动状态分析。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第14周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完成稳健性检验、方法共识、网络相似度和预测检验。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第15周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撰写实证结果、讨论、局限和结论。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第16周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完成论文修改、代码整理、图表统一和最终复现检查。</w:t>
            </w:r>
          </w:p>
        </w:tc>
      </w:tr>
    </w:tbl>
    <w:p>
      <w:pPr>
        <w:pStyle w:val="标题1"/>
      </w:pPr>
      <w:r>
        <w:t>十五、论文结构安排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C"/>
          <w:start w:val="single" w:sz="6" w:space="0" w:color="B7C9DC"/>
          <w:bottom w:val="single" w:sz="6" w:space="0" w:color="B7C9DC"/>
          <w:end w:val="single" w:sz="6" w:space="0" w:color="B7C9DC"/>
          <w:insideH w:val="single" w:sz="6" w:space="0" w:color="B7C9DC"/>
          <w:insideV w:val="single" w:sz="6" w:space="0" w:color="B7C9DC"/>
        </w:tblBorders>
      </w:tblPr>
      <w:tblGrid>
        <w:gridCol w:w="4507"/>
        <w:gridCol w:w="4507"/>
      </w:tblGrid>
      <w:tr>
        <w:trPr>
          <w:tblHeader w:val="true"/>
        </w:trP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章节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主要内容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1F4E78"/>
                <w:sz w:val="20"/>
              </w:rPr>
              <w:t>第一章 Introduction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说明研究背景、问题、目标、贡献和论文结构。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1F4E78"/>
                <w:sz w:val="20"/>
              </w:rPr>
              <w:t>第二章 Literature Review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综述中国货币市场、债券、股票与汇率传导研究，以及VAR-GC、PCMCI和Transfer Entropy相关文献。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1F4E78"/>
                <w:sz w:val="20"/>
              </w:rPr>
              <w:t>第三章 Methodology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介绍三种因果方法、条件互信息、置换检验、FDR、滚动窗口和评价指标。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1F4E78"/>
                <w:sz w:val="20"/>
              </w:rPr>
              <w:t>第四章 Data and Preprocessing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介绍变量定义、数据来源、样本区间、交易日对齐、变量转换和平稳性处理。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1F4E78"/>
                <w:sz w:val="20"/>
              </w:rPr>
              <w:t>第五章 Synthetic Benchmark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比较各方法在线性、非线性、间接因果、共同驱动和状态切换场景下的表现。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1F4E78"/>
                <w:sz w:val="20"/>
              </w:rPr>
              <w:t>第六章 Empirical Results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展示完整样本、滚动窗口、高低波动状态和方法共识结果。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1F4E78"/>
                <w:sz w:val="20"/>
              </w:rPr>
              <w:t>第七章 Robustness Checks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替换利率、股票指数、汇率口径、最大滞后、窗口长度和显著性水平。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1F4E78"/>
                <w:sz w:val="20"/>
              </w:rPr>
              <w:t>第八章 Conclusion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0"/>
              </w:rPr>
              <w:t>总结稳定因果边、时变关系、方法差异、研究限制与未来方向。</w:t>
            </w:r>
          </w:p>
        </w:tc>
      </w:tr>
    </w:tbl>
    <w:p>
      <w:pPr>
        <w:pStyle w:val="标题1"/>
      </w:pPr>
      <w:r>
        <w:t>十六、最终研究框架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DB3D3"/>
          <w:start w:val="single" w:sz="8" w:space="0" w:color="8DB3D3"/>
          <w:bottom w:val="single" w:sz="8" w:space="0" w:color="8DB3D3"/>
          <w:end w:val="single" w:sz="8" w:space="0" w:color="8DB3D3"/>
          <w:insideH w:val="single" w:sz="8" w:space="0" w:color="8DB3D3"/>
          <w:insideV w:val="single" w:sz="8" w:space="0" w:color="8DB3D3"/>
        </w:tblBorders>
      </w:tblPr>
      <w:tblGrid>
        <w:gridCol w:w="4507"/>
        <w:gridCol w:w="4507"/>
      </w:tblGrid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核心网络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1"/>
              </w:rPr>
              <w:t>{r(CSI300), r(USD/CNY), ΔSHIBOR7D, ΔY¹ʸ, ΔY¹⁰ʸ}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状态变量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1"/>
              </w:rPr>
              <w:t>沪深300 20日实现波动率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样本区间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1"/>
              </w:rPr>
              <w:t>2016—2025年（根据数据完整性调整）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最大滞后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1"/>
              </w:rPr>
              <w:t>1—10个交易日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1"/>
              </w:rPr>
              <w:t>VAR-GC + PCMCI-ParCorr + PCMCI-CMIknn + Multivariate TE</w:t>
            </w:r>
          </w:p>
        </w:tc>
      </w:tr>
      <w:tr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21"/>
              </w:rPr>
              <w:t>实证结构</w:t>
            </w:r>
          </w:p>
        </w:tc>
        <w:tc>
          <w:tcPr>
            <w:tcW w:type="dxa" w:w="45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B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color w:val="222222"/>
                <w:sz w:val="21"/>
              </w:rPr>
              <w:t>完整样本 + 滚动窗口 + 高低波动状态 + 稳健性检验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8DB3D3"/>
          <w:start w:val="single" w:sz="8" w:space="0" w:color="8DB3D3"/>
          <w:bottom w:val="single" w:sz="8" w:space="0" w:color="8DB3D3"/>
          <w:end w:val="single" w:sz="8" w:space="0" w:color="8DB3D3"/>
          <w:insideH w:val="single" w:sz="8" w:space="0" w:color="8DB3D3"/>
          <w:insideV w:val="single" w:sz="8" w:space="0" w:color="8DB3D3"/>
        </w:tblBorders>
      </w:tblPr>
      <w:tblGrid>
        <w:gridCol w:w="9014"/>
      </w:tblGrid>
      <w:tr>
        <w:tc>
          <w:tcPr>
            <w:tcW w:type="dxa" w:w="9014"/>
            <w:shd w:fill="EEF5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21"/>
              </w:rPr>
              <w:t>方法角色分工</w:t>
            </w:r>
          </w:p>
          <w:p>
            <w:pPr>
              <w:spacing w:after="0"/>
            </w:pPr>
            <w:r>
              <w:rPr>
                <w:rFonts w:ascii="Noto Serif CJK SC" w:hAnsi="Noto Serif CJK SC" w:eastAsia="Noto Serif CJK SC"/>
                <w:b w:val="0"/>
                <w:i w:val="0"/>
                <w:sz w:val="21"/>
              </w:rPr>
              <w:t>VAR-GC作为线性预测基准；PCMCI-ParCorr识别多变量线性条件网络；PCMCI-CMIknn识别非线性条件关系；Multivariate TE衡量非线性方向性信息传递；滚动窗口与状态分组用于识别时变结构；Synthetic benchmark用于具有ground truth的方法评价。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标题1"/>
      </w:pPr>
      <w:r>
        <w:t>参考文献（初步）</w:t>
      </w:r>
    </w:p>
    <w:p>
      <w:pPr>
        <w:pStyle w:val="正文"/>
        <w:spacing w:after="40" w:line="240" w:lineRule="auto"/>
        <w:ind w:left="369" w:hanging="369"/>
      </w:pPr>
      <w:r>
        <w:rPr>
          <w:rFonts w:ascii="Noto Serif CJK SC" w:hAnsi="Noto Serif CJK SC" w:eastAsia="Noto Serif CJK SC"/>
          <w:b w:val="0"/>
          <w:i w:val="0"/>
          <w:sz w:val="18"/>
        </w:rPr>
        <w:t>Granger, C. W. J. (1969). Investigating causal relations by econometric models and cross-spectral methods. Econometrica, 37(3), 424–438.</w:t>
      </w:r>
    </w:p>
    <w:p>
      <w:pPr>
        <w:pStyle w:val="正文"/>
        <w:spacing w:after="40" w:line="240" w:lineRule="auto"/>
        <w:ind w:left="369" w:hanging="369"/>
      </w:pPr>
      <w:r>
        <w:rPr>
          <w:rFonts w:ascii="Noto Serif CJK SC" w:hAnsi="Noto Serif CJK SC" w:eastAsia="Noto Serif CJK SC"/>
          <w:b w:val="0"/>
          <w:i w:val="0"/>
          <w:sz w:val="18"/>
        </w:rPr>
        <w:t>Schreiber, T. (2000). Measuring information transfer. Physical Review Letters, 85(2), 461–464.</w:t>
      </w:r>
    </w:p>
    <w:p>
      <w:pPr>
        <w:pStyle w:val="正文"/>
        <w:spacing w:after="40" w:line="240" w:lineRule="auto"/>
        <w:ind w:left="369" w:hanging="369"/>
      </w:pPr>
      <w:r>
        <w:rPr>
          <w:rFonts w:ascii="Noto Serif CJK SC" w:hAnsi="Noto Serif CJK SC" w:eastAsia="Noto Serif CJK SC"/>
          <w:b w:val="0"/>
          <w:i w:val="0"/>
          <w:sz w:val="18"/>
        </w:rPr>
        <w:t>Zaremba, A., &amp; Aste, T. (2014). Measures of causality in complex datasets with application to financial data. Entropy, 16(4), 2309–2349.</w:t>
      </w:r>
    </w:p>
    <w:p>
      <w:pPr>
        <w:pStyle w:val="正文"/>
        <w:spacing w:after="40" w:line="240" w:lineRule="auto"/>
        <w:ind w:left="369" w:hanging="369"/>
      </w:pPr>
      <w:r>
        <w:rPr>
          <w:rFonts w:ascii="Noto Serif CJK SC" w:hAnsi="Noto Serif CJK SC" w:eastAsia="Noto Serif CJK SC"/>
          <w:b w:val="0"/>
          <w:i w:val="0"/>
          <w:sz w:val="18"/>
        </w:rPr>
        <w:t>Runge, J., Nowack, P., Kretschmer, M., Flaxman, S., &amp; Sejdinovic, D. (2019). Detecting and quantifying causal associations in large nonlinear time series datasets. Science Advances, 5(11), eaau4996.</w:t>
      </w:r>
    </w:p>
    <w:p>
      <w:pPr>
        <w:pStyle w:val="正文"/>
        <w:spacing w:after="40" w:line="240" w:lineRule="auto"/>
        <w:ind w:left="369" w:hanging="369"/>
      </w:pPr>
      <w:r>
        <w:rPr>
          <w:rFonts w:ascii="Noto Serif CJK SC" w:hAnsi="Noto Serif CJK SC" w:eastAsia="Noto Serif CJK SC"/>
          <w:b w:val="0"/>
          <w:i w:val="0"/>
          <w:sz w:val="18"/>
        </w:rPr>
        <w:t>Wollstadt, P., Lizier, J. T., Vicente, R., Finn, C., Martínez-Zarzuela, M., Medrano-Sánchez, C., &amp; Wibral, M. (2019). IDTxl: The Information Dynamics Toolkit xl: a Python package for the efficient analysis of multivariate information dynamics in networks. Journal of Open Source Software, 4(34), 1081.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 w:val="0"/>
          <w:i/>
          <w:color w:val="6B7A8C"/>
          <w:sz w:val="20"/>
        </w:rPr>
        <w:t>— 初稿，后续可根据导师意见调整变量、样本区间与方法配置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361" w:bottom="1304" w:left="153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b w:val="0"/>
        <w:i w:val="0"/>
        <w:color w:val="7F7F7F"/>
        <w:sz w:val="18"/>
      </w:rPr>
      <w:t xml:space="preserve">—  </w:t>
    </w:r>
    <w:r>
      <w:fldChar w:fldCharType="begin"/>
      <w:instrText xml:space="preserve">PAGE</w:instrText>
      <w:fldChar w:fldCharType="end"/>
    </w:r>
    <w:r>
      <w:rPr>
        <w:rFonts w:ascii="Noto Serif CJK SC" w:hAnsi="Noto Serif CJK SC" w:eastAsia="Noto Serif CJK SC"/>
        <w:b w:val="0"/>
        <w:i w:val="0"/>
        <w:color w:val="7F7F7F"/>
        <w:sz w:val="18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6B7A8C"/>
        <w:sz w:val="18"/>
      </w:rPr>
      <w:t>毕业设计研究计划书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Noto Serif CJK SC" w:hAnsi="Noto Serif CJK SC" w:eastAsia="Noto Serif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2F75B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">
    <w:name w:val="正文"/>
    <w:pPr>
      <w:spacing w:line="360" w:lineRule="auto" w:after="120"/>
      <w:jc w:val="both"/>
    </w:pPr>
    <w:rPr>
      <w:rFonts w:ascii="Noto Serif CJK SC" w:hAnsi="Noto Serif CJK SC" w:eastAsia="Noto Serif CJK SC"/>
      <w:sz w:val="24"/>
    </w:rPr>
  </w:style>
  <w:style w:type="paragraph" w:customStyle="1" w:styleId="列表">
    <w:name w:val="列表"/>
    <w:pPr>
      <w:spacing w:line="336" w:lineRule="auto"/>
    </w:pPr>
    <w:rPr>
      <w:rFonts w:ascii="Noto Serif CJK SC" w:hAnsi="Noto Serif CJK SC" w:eastAsia="Noto Serif CJK SC"/>
      <w:sz w:val="24"/>
    </w:rPr>
  </w:style>
  <w:style w:type="paragraph" w:customStyle="1" w:styleId="公式">
    <w:name w:val="公式"/>
    <w:pPr>
      <w:keepLines/>
    </w:pPr>
    <w:rPr>
      <w:rFonts w:ascii="Cambria Math" w:hAnsi="Cambria Math" w:eastAsia="Cambria Math"/>
      <w:sz w:val="23"/>
    </w:rPr>
  </w:style>
  <w:style w:type="paragraph" w:customStyle="1" w:styleId="标题1">
    <w:name w:val="标题 1"/>
    <w:basedOn w:val="Heading1"/>
    <w:pPr>
      <w:keepNext/>
      <w:spacing w:before="280" w:after="160"/>
    </w:pPr>
    <w:rPr>
      <w:rFonts w:ascii="Noto Sans CJK SC" w:hAnsi="Noto Sans CJK SC" w:eastAsia="Noto Sans CJK SC"/>
      <w:b/>
      <w:color w:val="1F4E78"/>
      <w:sz w:val="32"/>
    </w:rPr>
  </w:style>
  <w:style w:type="paragraph" w:customStyle="1" w:styleId="标题2">
    <w:name w:val="标题 2"/>
    <w:basedOn w:val="Heading2"/>
    <w:pPr>
      <w:keepNext/>
      <w:spacing w:before="200" w:after="120"/>
    </w:pPr>
    <w:rPr>
      <w:rFonts w:ascii="Noto Sans CJK SC" w:hAnsi="Noto Sans CJK SC" w:eastAsia="Noto Sans CJK SC"/>
      <w:b/>
      <w:color w:val="2F75B5"/>
      <w:sz w:val="28"/>
    </w:rPr>
  </w:style>
  <w:style w:type="paragraph" w:customStyle="1" w:styleId="标题3">
    <w:name w:val="标题 3"/>
    <w:basedOn w:val="Heading3"/>
    <w:pPr>
      <w:keepNext/>
      <w:spacing w:before="160" w:after="80"/>
    </w:pPr>
    <w:rPr>
      <w:rFonts w:ascii="Noto Sans CJK SC" w:hAnsi="Noto Sans CJK SC" w:eastAsia="Noto Sans CJK SC"/>
      <w:b/>
      <w:color w:val="1F4E78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中国股债汇市场的时变因果网络与非线性信息传递研究计划书</dc:title>
  <dc:subject>毕业设计研究计划书</dc:subject>
  <dc:creator>支绎竣</dc:creator>
  <cp:keywords>VAR-Granger; PCMCI; Transfer Entropy; 中国金融市场; 因果网络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