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1DE67428">
      <w:pPr>
        <w:pStyle w:val="Title"/>
        <w:jc w:val="center"/>
      </w:pPr>
    </w:p>
    <w:p w14:paraId="43D961C5">
      <w:pPr>
        <w:spacing w:after="200" w:line="276" w:lineRule="auto"/>
      </w:pPr>
    </w:p>
    <w:p w14:paraId="088B4030">
      <w:pPr>
        <w:pStyle w:val="Heading1"/>
      </w:pPr>
      <w:r>
        <w:rPr>
          <w:rFonts w:ascii="Times New Roman" w:hAnsi="Times New Roman" w:eastAsia="ＭＳ ゴシック" w:cs="Times New Roman" w:eastAsiaTheme="majorEastAsia" w:csTheme="majorBidi"/>
          <w:b/>
          <w:bCs/>
          <w:color w:val="1F457A"/>
          <w:sz w:val="26"/>
          <w:szCs w:val="28"/>
        </w:rPr>
        <w:t>1. Paper tham khảo làm Baseline</w:t>
      </w:r>
    </w:p>
    <w:p w14:paraId="50734AE0">
      <w:pPr>
        <w:spacing w:after="80"/>
      </w:pPr>
      <w:r>
        <w:rPr>
          <w:rFonts w:ascii="Times New Roman" w:hAnsi="Times New Roman" w:eastAsia="ＭＳ 明朝" w:cs="Times New Roman" w:eastAsiaTheme="minorEastAsia" w:csTheme="minorBidi"/>
          <w:sz w:val="24"/>
          <w:szCs w:val="22"/>
        </w:rPr>
        <w:t>Nhóm em đề xuất sử dụng paper "FedSLD: Federated Learning with Shared Label Distribution" (Luo &amp; Wu) làm tài liệu tham khảo cơ sở cho thiết kế thí nghiệm. Paper này được đăng tải tại hội nghị quốc tế uy tín (</w:t>
      </w:r>
      <w:r>
        <w:rPr>
          <w:b/>
          <w:bCs/>
          <w:i/>
          <w:iCs/>
        </w:rPr>
        <w:t>IEEE ISBI 2022 (IEEE International Symposium on Biomedical Imagin</w:t>
      </w:r>
      <w:r>
        <w:rPr>
          <w:rFonts w:ascii="Times New Roman" w:hAnsi="Times New Roman" w:eastAsia="ＭＳ 明朝" w:cs="Times New Roman" w:eastAsiaTheme="minorEastAsia" w:csTheme="minorBidi"/>
          <w:sz w:val="24"/>
          <w:szCs w:val="22"/>
        </w:rPr>
        <w:t xml:space="preserve">) </w:t>
      </w:r>
      <w:r>
        <w:rPr>
          <w:rFonts w:ascii="Times New Roman" w:hAnsi="Times New Roman" w:eastAsia="ＭＳ 明朝" w:cs="Times New Roman" w:eastAsiaTheme="minorEastAsia" w:csTheme="minorBidi"/>
          <w:b/>
          <w:bCs/>
          <w:sz w:val="24"/>
          <w:szCs w:val="22"/>
        </w:rPr>
        <w:t>Core Rank</w:t>
      </w:r>
      <w:r>
        <w:rPr>
          <w:rFonts w:ascii="Times New Roman" w:hAnsi="Times New Roman" w:eastAsia="ＭＳ 明朝" w:cs="Times New Roman" w:eastAsiaTheme="minorEastAsia" w:csTheme="minorBidi"/>
          <w:sz w:val="24"/>
          <w:szCs w:val="22"/>
        </w:rPr>
        <w:t xml:space="preserve"> </w:t>
      </w:r>
      <w:r>
        <w:rPr>
          <w:rFonts w:ascii="Times New Roman" w:hAnsi="Times New Roman" w:eastAsia="ＭＳ 明朝" w:cs="Times New Roman" w:eastAsiaTheme="minorEastAsia" w:csTheme="minorBidi"/>
          <w:b/>
          <w:bCs/>
          <w:sz w:val="24"/>
          <w:szCs w:val="22"/>
        </w:rPr>
        <w:t>A</w:t>
      </w:r>
      <w:r>
        <w:rPr>
          <w:rFonts w:ascii="Times New Roman" w:hAnsi="Times New Roman" w:eastAsia="ＭＳ 明朝" w:cs="Times New Roman" w:eastAsiaTheme="minorEastAsia" w:csTheme="minorBidi"/>
          <w:sz w:val="24"/>
          <w:szCs w:val="22"/>
        </w:rPr>
        <w:t>), cung cấp kết quả FedAvg và FedProx trên các bộ dữ liệu y tế làm cơ sở so sánh đáng tin cậy.</w:t>
      </w:r>
    </w:p>
    <w:p w14:paraId="2FD27EA1">
      <w:pPr>
        <w:spacing w:after="80"/>
      </w:pPr>
      <w:r>
        <w:rPr>
          <w:rFonts w:ascii="Times New Roman" w:hAnsi="Times New Roman" w:eastAsia="ＭＳ 明朝" w:cs="Times New Roman" w:eastAsiaTheme="minorEastAsia" w:csTheme="minorBidi"/>
          <w:sz w:val="24"/>
          <w:szCs w:val="22"/>
        </w:rPr>
        <w:t>Paper sử dụng hai bộ dữ liệu y tế từ bộ MedMNIST:</w:t>
      </w:r>
    </w:p>
    <w:p w14:paraId="4EE14084">
      <w:pPr>
        <w:pStyle w:val="ListBullet"/>
        <w:spacing w:after="40"/>
        <w:ind w:left="360" w:hanging="360"/>
      </w:pPr>
      <w:r>
        <w:rPr>
          <w:rFonts w:ascii="Times New Roman" w:hAnsi="Times New Roman" w:eastAsia="ＭＳ 明朝" w:cs="Times New Roman" w:eastAsiaTheme="minorEastAsia" w:csTheme="minorBidi"/>
          <w:sz w:val="24"/>
          <w:szCs w:val="22"/>
        </w:rPr>
        <w:t>PathMNIST — 9 lớp, hình ảnh mô học ung thư đại trực tràng, 28×28 RGB</w:t>
      </w:r>
    </w:p>
    <w:p w14:paraId="70074004">
      <w:pPr>
        <w:pStyle w:val="ListBullet"/>
        <w:spacing w:after="40"/>
        <w:ind w:left="360" w:hanging="360"/>
      </w:pPr>
      <w:r>
        <w:rPr>
          <w:rFonts w:ascii="Times New Roman" w:hAnsi="Times New Roman" w:eastAsia="ＭＳ 明朝" w:cs="Times New Roman" w:eastAsiaTheme="minorEastAsia" w:csTheme="minorBidi"/>
          <w:sz w:val="24"/>
          <w:szCs w:val="22"/>
        </w:rPr>
        <w:t>OrganMNIST (Axial) — 11 lớp, hình ảnh CT bụng, 28×28 grayscale</w:t>
      </w:r>
    </w:p>
    <w:p w14:paraId="5E57C39B">
      <w:pPr>
        <w:spacing w:after="200" w:line="276" w:lineRule="auto"/>
      </w:pPr>
    </w:p>
    <w:p w14:paraId="72DE9722">
      <w:pPr>
        <w:spacing w:after="80"/>
      </w:pPr>
      <w:r>
        <w:rPr>
          <w:rFonts w:ascii="Times New Roman" w:hAnsi="Times New Roman" w:eastAsia="ＭＳ 明朝" w:cs="Times New Roman" w:eastAsiaTheme="minorEastAsia" w:csTheme="minorBidi"/>
          <w:sz w:val="24"/>
          <w:szCs w:val="22"/>
        </w:rPr>
        <w:t>Kết quả FedAvg và FedProx được paper công bố (Practical Non-IID, 12 clients):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351"/>
        <w:gridCol w:w="2351"/>
        <w:gridCol w:w="2351"/>
        <w:gridCol w:w="2351"/>
      </w:tblGrid>
      <w:t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BDD7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98AA6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b/>
                <w:bCs/>
                <w:sz w:val="22"/>
                <w:szCs w:val="22"/>
              </w:rPr>
              <w:t>Dataset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BDD7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9A605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b/>
                <w:bCs/>
                <w:sz w:val="22"/>
                <w:szCs w:val="22"/>
              </w:rPr>
              <w:t>FedAvg (BTA)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BDD7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2FD2E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b/>
                <w:bCs/>
                <w:sz w:val="22"/>
                <w:szCs w:val="22"/>
              </w:rPr>
              <w:t>FedProx (BTA)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BDD7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FEE40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b/>
                <w:bCs/>
                <w:sz w:val="22"/>
                <w:szCs w:val="22"/>
              </w:rPr>
              <w:t>FedSLD (BTA)</w:t>
            </w:r>
          </w:p>
        </w:tc>
      </w:tr>
      <w:t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56059D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sz w:val="22"/>
                <w:szCs w:val="22"/>
              </w:rPr>
              <w:t>PathMNIST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85C43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sz w:val="22"/>
                <w:szCs w:val="22"/>
              </w:rPr>
              <w:t>57.38%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25D69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sz w:val="22"/>
                <w:szCs w:val="22"/>
              </w:rPr>
              <w:t>57.72%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C4BA86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sz w:val="22"/>
                <w:szCs w:val="22"/>
              </w:rPr>
              <w:t>57.90%</w:t>
            </w:r>
          </w:p>
        </w:tc>
      </w:tr>
      <w:t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4FC8F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sz w:val="22"/>
                <w:szCs w:val="22"/>
              </w:rPr>
              <w:t>OrganMNIST (Axial)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2E8021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sz w:val="22"/>
                <w:szCs w:val="22"/>
              </w:rPr>
              <w:t>85.69%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32D2D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sz w:val="22"/>
                <w:szCs w:val="22"/>
              </w:rPr>
              <w:t>85.54%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F7097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sz w:val="22"/>
                <w:szCs w:val="22"/>
              </w:rPr>
              <w:t>87.37%</w:t>
            </w:r>
          </w:p>
        </w:tc>
      </w:tr>
    </w:tbl>
    <w:p w14:paraId="3AD0DCAC">
      <w:pPr>
        <w:spacing w:after="200" w:line="276" w:lineRule="auto"/>
      </w:pPr>
    </w:p>
    <w:p w14:paraId="1D56E036">
      <w:pPr>
        <w:pStyle w:val="Heading1"/>
      </w:pPr>
      <w:r>
        <w:rPr>
          <w:rFonts w:ascii="Times New Roman" w:hAnsi="Times New Roman" w:eastAsia="ＭＳ ゴシック" w:cs="Times New Roman" w:eastAsiaTheme="majorEastAsia" w:csTheme="majorBidi"/>
          <w:b/>
          <w:bCs/>
          <w:color w:val="1F457A"/>
          <w:sz w:val="26"/>
          <w:szCs w:val="28"/>
        </w:rPr>
        <w:t>2. Lý Do Không Triển Khai FedSLD</w:t>
      </w:r>
    </w:p>
    <w:p w14:paraId="49F2AC67">
      <w:pPr>
        <w:spacing w:after="80"/>
      </w:pPr>
      <w:r>
        <w:rPr>
          <w:rFonts w:ascii="Times New Roman" w:hAnsi="Times New Roman" w:eastAsia="ＭＳ 明朝" w:cs="Times New Roman" w:eastAsiaTheme="minorEastAsia" w:csTheme="minorBidi"/>
          <w:sz w:val="24"/>
          <w:szCs w:val="22"/>
        </w:rPr>
        <w:t xml:space="preserve">FedSLD yêu cầu mỗi client chia sẻ thống kê phân phối nhãn với Server trước khi huấn luyện. Nhóm em  không triển khai FedSLD vì hai lý do:</w:t>
      </w:r>
    </w:p>
    <w:p w14:paraId="191E43B7">
      <w:pPr>
        <w:pStyle w:val="ListBullet"/>
        <w:spacing w:after="40"/>
        <w:ind w:left="360" w:hanging="360"/>
      </w:pPr>
      <w:r>
        <w:rPr>
          <w:rFonts w:ascii="Times New Roman" w:hAnsi="Times New Roman" w:eastAsia="ＭＳ 明朝" w:cs="Times New Roman" w:eastAsiaTheme="minorEastAsia" w:csTheme="minorBidi"/>
          <w:b/>
          <w:bCs/>
          <w:sz w:val="24"/>
          <w:szCs w:val="22"/>
        </w:rPr>
        <w:t xml:space="preserve">Privacy: </w:t>
      </w:r>
      <w:r>
        <w:rPr>
          <w:rFonts w:ascii="Times New Roman" w:hAnsi="Times New Roman" w:eastAsia="ＭＳ 明朝" w:cs="Times New Roman" w:eastAsiaTheme="minorEastAsia" w:csTheme="minorBidi"/>
          <w:sz w:val="24"/>
          <w:szCs w:val="22"/>
        </w:rPr>
        <w:t>Chia sẻ phân phối nhãn có thể tiết lộ đặc điểm dữ liệu bệnh nhân — không phù hợp với yêu cầu bảo mật trong môi trường y tế thực tế.</w:t>
      </w:r>
    </w:p>
    <w:p w14:paraId="3B83D162">
      <w:pPr>
        <w:pStyle w:val="ListBullet"/>
        <w:spacing w:after="40"/>
        <w:ind w:left="360" w:hanging="360"/>
      </w:pPr>
      <w:r>
        <w:rPr>
          <w:rFonts w:ascii="Times New Roman" w:hAnsi="Times New Roman" w:eastAsia="ＭＳ 明朝" w:cs="Times New Roman" w:eastAsiaTheme="minorEastAsia" w:csTheme="minorBidi"/>
          <w:b/>
          <w:bCs/>
          <w:sz w:val="24"/>
          <w:szCs w:val="22"/>
        </w:rPr>
        <w:t xml:space="preserve">Phạm vi: </w:t>
      </w:r>
      <w:r>
        <w:rPr>
          <w:rFonts w:ascii="Times New Roman" w:hAnsi="Times New Roman" w:eastAsia="ＭＳ 明朝" w:cs="Times New Roman" w:eastAsiaTheme="minorEastAsia" w:csTheme="minorBidi"/>
          <w:sz w:val="24"/>
          <w:szCs w:val="22"/>
        </w:rPr>
        <w:t>FedSLD can thiệp vào hàm loss phía client. Nghiên cứu của nhóm em tập trung vào chiến lược aggregation phía server — đây là hướng nghiên cứu bổ sung, không trùng lặp.</w:t>
      </w:r>
    </w:p>
    <w:p w14:paraId="75B3F0F5">
      <w:pPr>
        <w:spacing w:after="200" w:line="276" w:lineRule="auto"/>
      </w:pPr>
    </w:p>
    <w:p w14:paraId="6AEAFAC3">
      <w:pPr>
        <w:pStyle w:val="Heading1"/>
      </w:pPr>
      <w:r>
        <w:rPr>
          <w:rFonts w:ascii="Times New Roman" w:hAnsi="Times New Roman" w:eastAsia="ＭＳ ゴシック" w:cs="Times New Roman" w:eastAsiaTheme="majorEastAsia" w:csTheme="majorBidi"/>
          <w:b/>
          <w:bCs/>
          <w:color w:val="1F457A"/>
          <w:sz w:val="26"/>
          <w:szCs w:val="28"/>
        </w:rPr>
        <w:t>3. Lý Do Sử Dụng Mô Hình ~20K Tham Số</w:t>
      </w:r>
    </w:p>
    <w:p w14:paraId="00A9F9C7">
      <w:pPr>
        <w:spacing w:after="80"/>
      </w:pPr>
      <w:r>
        <w:rPr>
          <w:rFonts w:ascii="Times New Roman" w:hAnsi="Times New Roman" w:eastAsia="ＭＳ 明朝" w:cs="Times New Roman" w:eastAsiaTheme="minorEastAsia" w:csTheme="minorBidi"/>
          <w:sz w:val="24"/>
          <w:szCs w:val="22"/>
        </w:rPr>
        <w:t>FedSLD paper sử dụng CNN 4 lớp (~570K tham số). Nhóm em sử dụng SimpleCNN nhẹ hơn (~20K tham số) :</w:t>
      </w:r>
    </w:p>
    <w:p w14:paraId="33A84F43">
      <w:pPr>
        <w:pStyle w:val="ListBullet"/>
        <w:spacing w:after="40"/>
        <w:ind w:left="360" w:hanging="360"/>
      </w:pPr>
      <w:r>
        <w:rPr>
          <w:rFonts w:ascii="Times New Roman" w:hAnsi="Times New Roman" w:eastAsia="ＭＳ 明朝" w:cs="Times New Roman" w:eastAsiaTheme="minorEastAsia" w:csTheme="minorBidi"/>
          <w:b/>
          <w:bCs/>
          <w:sz w:val="24"/>
          <w:szCs w:val="22"/>
        </w:rPr>
        <w:t xml:space="preserve">Edge deployment: </w:t>
      </w:r>
      <w:r>
        <w:rPr>
          <w:rFonts w:ascii="Times New Roman" w:hAnsi="Times New Roman" w:eastAsia="ＭＳ 明朝" w:cs="Times New Roman" w:eastAsiaTheme="minorEastAsia" w:csTheme="minorBidi"/>
          <w:sz w:val="24"/>
          <w:szCs w:val="22"/>
        </w:rPr>
        <w:t>Phù hợp với giới hạn bộ nhớ và tính toán của NVIDIA Jetson Nano/Orin — đây là mục tiêu triển khai thực tế của đề tài.</w:t>
      </w:r>
    </w:p>
    <w:p w14:paraId="46AC7086">
      <w:pPr>
        <w:pStyle w:val="ListBullet"/>
        <w:spacing w:after="40"/>
        <w:ind w:left="360" w:hanging="360"/>
      </w:pPr>
      <w:r>
        <w:rPr>
          <w:rFonts w:ascii="Times New Roman" w:hAnsi="Times New Roman" w:eastAsia="ＭＳ 明朝" w:cs="Times New Roman" w:eastAsiaTheme="minorEastAsia" w:csTheme="minorBidi"/>
          <w:b/>
          <w:bCs/>
          <w:sz w:val="24"/>
          <w:szCs w:val="22"/>
        </w:rPr>
        <w:t xml:space="preserve">Communication cost: </w:t>
      </w:r>
      <w:r>
        <w:rPr>
          <w:rFonts w:ascii="Times New Roman" w:hAnsi="Times New Roman" w:eastAsia="ＭＳ 明朝" w:cs="Times New Roman" w:eastAsiaTheme="minorEastAsia" w:csTheme="minorBidi"/>
          <w:sz w:val="24"/>
          <w:szCs w:val="22"/>
        </w:rPr>
        <w:t>Giảm chi phí truyền thông mỗi FL round, phù hợp với môi trường mạng không ổn định.</w:t>
      </w:r>
    </w:p>
    <w:p w14:paraId="411F45AD">
      <w:pPr>
        <w:pStyle w:val="ListBullet"/>
        <w:spacing w:after="40"/>
        <w:ind w:left="360" w:hanging="360"/>
      </w:pPr>
      <w:r>
        <w:rPr>
          <w:rFonts w:ascii="Times New Roman" w:hAnsi="Times New Roman" w:eastAsia="ＭＳ 明朝" w:cs="Times New Roman" w:eastAsiaTheme="minorEastAsia" w:csTheme="minorBidi"/>
          <w:b/>
          <w:bCs/>
          <w:sz w:val="24"/>
          <w:szCs w:val="22"/>
        </w:rPr>
        <w:t xml:space="preserve">Tính nhất quán: </w:t>
      </w:r>
      <w:r>
        <w:rPr>
          <w:rFonts w:ascii="Times New Roman" w:hAnsi="Times New Roman" w:eastAsia="ＭＳ 明朝" w:cs="Times New Roman" w:eastAsiaTheme="minorEastAsia" w:csTheme="minorBidi"/>
          <w:sz w:val="24"/>
          <w:szCs w:val="22"/>
        </w:rPr>
        <w:t>Kết quả so sánh giữa các FL strategies vẫn có ý nghĩa khi cùng sử dụng một model — xu hướng cải thiện (FedBN &gt; FedProx &gt; FedAvg) không phụ thuộc vào kích thước model.</w:t>
      </w:r>
    </w:p>
    <w:p w14:paraId="34F9F4C6">
      <w:pPr>
        <w:spacing w:after="200" w:line="276" w:lineRule="auto"/>
      </w:pPr>
    </w:p>
    <w:p w14:paraId="3ACBD967">
      <w:pPr>
        <w:pStyle w:val="Heading1"/>
      </w:pPr>
      <w:r>
        <w:rPr>
          <w:rFonts w:ascii="Times New Roman" w:hAnsi="Times New Roman" w:eastAsia="ＭＳ ゴシック" w:cs="Times New Roman" w:eastAsiaTheme="majorEastAsia" w:csTheme="majorBidi"/>
          <w:b/>
          <w:bCs/>
          <w:color w:val="1F457A"/>
          <w:sz w:val="26"/>
          <w:szCs w:val="28"/>
        </w:rPr>
        <w:t>4. Kế Hoạch Thực Hiện</w:t>
      </w:r>
    </w:p>
    <w:p w14:paraId="29412428">
      <w:pPr>
        <w:spacing w:after="80"/>
      </w:pPr>
      <w:r>
        <w:rPr>
          <w:rFonts w:ascii="Times New Roman" w:hAnsi="Times New Roman" w:eastAsia="ＭＳ 明朝" w:cs="Times New Roman" w:eastAsiaTheme="minorEastAsia" w:csTheme="minorBidi"/>
          <w:sz w:val="24"/>
          <w:szCs w:val="22"/>
        </w:rPr>
        <w:t>Nhóm sẽ áp dụng đúng cách chia dữ liệu Practical Non-IID của FedSLD (12 clients, phân phối 1%/10%/80%) để chạy thử FedAvg và FedProx trên PathMNIST và OrganMNIST. Mục tiêu là kiểm tra xem xu hướng kết quả (FedProx ≥ FedAvg, OrganMNIST dễ hơn PathMNIST) có phù hợp với paper không. Nếu xu hướng đúng, tức là cách hiện thực đã đáng tin cậy.</w:t>
      </w:r>
    </w:p>
    <w:p w14:paraId="6277BC9F">
      <w:pPr>
        <w:spacing w:after="200" w:line="276" w:lineRule="auto"/>
      </w:pPr>
    </w:p>
    <w:p w14:paraId="2BEE634E">
      <w:pPr>
        <w:spacing w:after="80"/>
      </w:pPr>
      <w:r>
        <w:rPr>
          <w:rFonts w:ascii="Times New Roman" w:hAnsi="Times New Roman" w:eastAsia="ＭＳ 明朝" w:cs="Times New Roman" w:eastAsiaTheme="minorEastAsia" w:csTheme="minorBidi"/>
          <w:sz w:val="24"/>
          <w:szCs w:val="22"/>
        </w:rPr>
        <w:t>Các giai đoạn thực hiện theo thứ tự: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135"/>
        <w:gridCol w:w="3135"/>
        <w:gridCol w:w="3135"/>
      </w:tblGrid>
      <w:t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BDD7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96DFC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b/>
                <w:bCs/>
                <w:sz w:val="22"/>
                <w:szCs w:val="22"/>
              </w:rPr>
              <w:t>Bước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BDD7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A8607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b/>
                <w:bCs/>
                <w:sz w:val="22"/>
                <w:szCs w:val="22"/>
              </w:rPr>
              <w:t>Nội dung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BDD7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54566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b/>
                <w:bCs/>
                <w:sz w:val="22"/>
                <w:szCs w:val="22"/>
              </w:rPr>
              <w:t>Mục tiêu</w:t>
            </w:r>
          </w:p>
        </w:tc>
      </w:tr>
      <w:t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BCA785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sz w:val="22"/>
                <w:szCs w:val="22"/>
              </w:rPr>
              <w:t>1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7FE6C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sz w:val="22"/>
                <w:szCs w:val="22"/>
              </w:rPr>
              <w:t>Chạy FedAvg + FedProx trên PathMNIST &amp; OrganMNIST</w:t>
            </w:r>
            <w:r>
              <w:br w:type="textWrapping"/>
            </w:r>
            <w:r>
              <w:rPr>
                <w:rFonts w:ascii="Times New Roman" w:hAnsi="Times New Roman" w:eastAsia="ＭＳ 明朝" w:cs="Times New Roman" w:eastAsiaTheme="minorEastAsia" w:csTheme="minorBidi"/>
                <w:sz w:val="22"/>
                <w:szCs w:val="22"/>
              </w:rPr>
              <w:t>(Practical Non-IID, 12 clients, cách chia như FedSLD)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CD753C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sz w:val="22"/>
                <w:szCs w:val="22"/>
              </w:rPr>
              <w:t>Verify xu hướng kết quả so với paper</w:t>
            </w:r>
          </w:p>
        </w:tc>
      </w:tr>
      <w:t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4DD86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sz w:val="22"/>
                <w:szCs w:val="22"/>
              </w:rPr>
              <w:t>2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7A829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sz w:val="22"/>
                <w:szCs w:val="22"/>
              </w:rPr>
              <w:t>Implement &amp; chạy giả lập FedBN, FedNova, SCAFFOLD</w:t>
            </w:r>
            <w:r>
              <w:br w:type="textWrapping"/>
            </w:r>
            <w:r>
              <w:rPr>
                <w:rFonts w:ascii="Times New Roman" w:hAnsi="Times New Roman" w:eastAsia="ＭＳ 明朝" w:cs="Times New Roman" w:eastAsiaTheme="minorEastAsia" w:csTheme="minorBidi"/>
                <w:sz w:val="22"/>
                <w:szCs w:val="22"/>
              </w:rPr>
              <w:t>trên cùng 2 dataset trên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403EA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sz w:val="22"/>
                <w:szCs w:val="22"/>
              </w:rPr>
              <w:t>So sánh phương pháp đề xuất với baseline</w:t>
            </w:r>
          </w:p>
        </w:tc>
      </w:tr>
      <w:t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9EC4B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sz w:val="22"/>
                <w:szCs w:val="22"/>
              </w:rPr>
              <w:t>3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3FEA9C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sz w:val="22"/>
                <w:szCs w:val="22"/>
              </w:rPr>
              <w:t>Triển khai trên NVIDIA Jetson (real federated)</w:t>
            </w:r>
            <w:r>
              <w:br w:type="textWrapping"/>
            </w:r>
            <w:r>
              <w:rPr>
                <w:rFonts w:ascii="Times New Roman" w:hAnsi="Times New Roman" w:eastAsia="ＭＳ 明朝" w:cs="Times New Roman" w:eastAsiaTheme="minorEastAsia" w:csTheme="minorBidi"/>
                <w:sz w:val="22"/>
                <w:szCs w:val="22"/>
              </w:rPr>
              <w:t>với chiến lược cho kết quả tốt nhất ở bước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217A1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sz w:val="22"/>
                <w:szCs w:val="22"/>
              </w:rPr>
              <w:t>Đánh giá thực tế trên edge device</w:t>
            </w:r>
          </w:p>
        </w:tc>
      </w:tr>
    </w:tbl>
    <w:p w14:paraId="0C6B3347">
      <w:pPr>
        <w:spacing w:after="200" w:line="276" w:lineRule="auto"/>
      </w:pPr>
    </w:p>
    <w:p w14:paraId="2188D757">
      <w:pPr>
        <w:jc w:val="center"/>
      </w:pPr>
      <w:r>
        <w:rPr>
          <w:rFonts w:ascii="Times New Roman" w:hAnsi="Times New Roman" w:eastAsia="ＭＳ 明朝" w:cs="Times New Roman" w:eastAsiaTheme="minorEastAsia" w:csTheme="minorBidi"/>
          <w:i/>
          <w:iCs/>
          <w:color w:val="505050"/>
          <w:sz w:val="22"/>
          <w:szCs w:val="22"/>
        </w:rPr>
        <w:t>Kính mong Thầy/Cô cho ý kiến về hướng đề xuất trên, đặc biệt về tính phù hợp của việc sử dụng kết quả FedAvg/FedProx từ paper làm cơ sở đối chiếu và các phương pháp đề xuất (FedBN, FedNova, SCAFFOLD).</w:t>
      </w:r>
    </w:p>
    <w:sectPr>
      <w:pgSz w:w="12240" w:h="15840"/>
      <w:pgMar w:top="1417" w:right="1134" w:bottom="1417" w:left="1701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2026-10-10T06:54:04.120Z</dcterms:modified>
  <cp:category/>
</cp:coreProperties>
</file>