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20A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　《最高人民法院关于外币及港澳台货币逾期付款利息计算标准的批复》已于2024年11月25日经最高人民法院审判委员会第1933次会议通过，现予公布，自2025年2月13日起施行。</w:t>
      </w:r>
    </w:p>
    <w:p w14:paraId="5AA73E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right"/>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　　最高人民法院</w:t>
      </w:r>
    </w:p>
    <w:p w14:paraId="266B68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right"/>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　　2025年2月12日</w:t>
      </w:r>
    </w:p>
    <w:p w14:paraId="47B35B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rPr>
          <w:rFonts w:hint="eastAsia" w:ascii="微软雅黑" w:hAnsi="微软雅黑" w:eastAsia="微软雅黑" w:cs="微软雅黑"/>
          <w:i w:val="0"/>
          <w:iCs w:val="0"/>
          <w:caps w:val="0"/>
          <w:color w:val="2F2F2F"/>
          <w:spacing w:val="0"/>
          <w:sz w:val="18"/>
          <w:szCs w:val="18"/>
        </w:rPr>
      </w:pPr>
    </w:p>
    <w:p w14:paraId="6F14F2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center"/>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　　法释〔2025〕2号</w:t>
      </w:r>
    </w:p>
    <w:p w14:paraId="4759C3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center"/>
        <w:rPr>
          <w:rFonts w:hint="eastAsia" w:ascii="微软雅黑" w:hAnsi="微软雅黑" w:eastAsia="微软雅黑" w:cs="微软雅黑"/>
          <w:i w:val="0"/>
          <w:iCs w:val="0"/>
          <w:caps w:val="0"/>
          <w:color w:val="2F2F2F"/>
          <w:spacing w:val="0"/>
          <w:sz w:val="18"/>
          <w:szCs w:val="18"/>
        </w:rPr>
      </w:pPr>
      <w:r>
        <w:rPr>
          <w:rStyle w:val="5"/>
          <w:rFonts w:hint="eastAsia" w:ascii="微软雅黑" w:hAnsi="微软雅黑" w:eastAsia="微软雅黑" w:cs="微软雅黑"/>
          <w:i w:val="0"/>
          <w:iCs w:val="0"/>
          <w:caps w:val="0"/>
          <w:color w:val="2F2F2F"/>
          <w:spacing w:val="0"/>
          <w:sz w:val="18"/>
          <w:szCs w:val="18"/>
          <w:bdr w:val="none" w:color="auto" w:sz="0" w:space="0"/>
          <w:shd w:val="clear" w:fill="FFFFFF"/>
        </w:rPr>
        <w:t>最高人民法院关于外币及港澳台货币逾期付款利息计算标准的批复</w:t>
      </w:r>
    </w:p>
    <w:p w14:paraId="6CF784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center"/>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（2024年11月25日最高人民法院审判委员会第1933次会议通过，自2025年2月13日起施行）</w:t>
      </w:r>
    </w:p>
    <w:p w14:paraId="51DFF6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各省、自治区、直辖市高级人民法院，解放军军事法院，新疆维吾尔自治区高级人民法院生产建设兵团分院：</w:t>
      </w:r>
    </w:p>
    <w:p w14:paraId="403803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　　近来，部分高级人民法院就外币及港澳台货币逾期付款计算利息损失时如何确定相关利率提出请示。经研究，批复如下：</w:t>
      </w:r>
    </w:p>
    <w:p w14:paraId="542CE5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　　一、外币逾期付款情形下，当事人就逾期付款主张利息损失时，对利率计算标准有约定的，按当事人约定处理。但是双方约定的利率计算标准超过案涉纠纷适用的准据法规定上限的，对超过的部分不予支持。</w:t>
      </w:r>
    </w:p>
    <w:p w14:paraId="2FD5C4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　　二、当事人没有约定利率计算标准或者约定不明时，依据下列方式确定逾期付款利息的计算标准：</w:t>
      </w:r>
    </w:p>
    <w:p w14:paraId="7EA19E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　　（一）对于美元逾期付款利息的计算标准，可以依据中国人民银行官网定期公开发布的《中国货币政策执行报告》附表中公布的3个月以内、3（含）至6个月、6（含）至12个月、1年、1年以上美元贷款平均利率，由人民法院根据案件具体情况予以确定。</w:t>
      </w:r>
    </w:p>
    <w:p w14:paraId="6434B3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　　（二）对于欧元、英镑、日元、澳大利亚元、瑞士法郎、加拿大元、新西兰元、新加坡元逾期付款利息的计算标准，可以分别参考欧元银行间同业拆借利率（EURIBOR）、英镑隔夜平均利率（SONIA）、东京隔夜平均利率（TONA）、澳大利亚元银行票据利率（BBSW）、瑞士法郎担保隔夜利率（SARON）、加拿大元担保隔夜利率（CORRA）、新西兰元银行票据利率（BKBM）、新加坡元无担保隔夜利率（SORA）确定。</w:t>
      </w:r>
    </w:p>
    <w:p w14:paraId="2E7B69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　　（三）对于其他外币逾期付款利息的计算标准，可以参考相关国家中央银行官方网站公布的该币种基准利率确定。</w:t>
      </w:r>
    </w:p>
    <w:p w14:paraId="6BA3D0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rPr>
          <w:rFonts w:hint="eastAsia" w:ascii="微软雅黑" w:hAnsi="微软雅黑" w:eastAsia="微软雅黑" w:cs="微软雅黑"/>
          <w:i w:val="0"/>
          <w:iCs w:val="0"/>
          <w:caps w:val="0"/>
          <w:color w:val="2F2F2F"/>
          <w:spacing w:val="0"/>
          <w:sz w:val="18"/>
          <w:szCs w:val="18"/>
        </w:rPr>
      </w:pPr>
      <w:r>
        <w:rPr>
          <w:rFonts w:hint="eastAsia" w:ascii="微软雅黑" w:hAnsi="微软雅黑" w:eastAsia="微软雅黑" w:cs="微软雅黑"/>
          <w:i w:val="0"/>
          <w:iCs w:val="0"/>
          <w:caps w:val="0"/>
          <w:color w:val="2F2F2F"/>
          <w:spacing w:val="0"/>
          <w:sz w:val="18"/>
          <w:szCs w:val="18"/>
          <w:bdr w:val="none" w:color="auto" w:sz="0" w:space="0"/>
          <w:shd w:val="clear" w:fill="FFFFFF"/>
        </w:rPr>
        <w:t>　　三、对于港币、澳门元、新台币逾期付款利息的计算标准，当事人有约定的，参照本批复第一条的规定执行。当事人没有约定或者约定不明的，可以分别参考香港银行间同业拆借利率、澳门元综合利率、新台币基本放款利率确定。</w:t>
      </w:r>
    </w:p>
    <w:p w14:paraId="7E19693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A31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2025-03-31T01:39:00Z</dcterms:created>
  <dc:creator>18170</dc:creator>
  <cp:lastModifiedBy>许力</cp:lastModifiedBy>
  <dcterms:modified xsi:type="dcterms:W3CDTF">2025-03-31T01:39:13Z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eyJoZGlkIjoiNDNlZDg2MTExN2Y1NGYwNmI1YWEwNjQzZDZkYzRkMmQiLCJ1c2VySWQiOiIxNDc4ODM2NjY4In0=</vt:lpwstr>
  </property>
  <property fmtid="{D5CDD505-2E9C-101B-9397-08002B2CF9AE}" pid="4" name="ICV">
    <vt:lpwstr>2FC1CF295850443CBB71E474308D1F3E_12</vt:lpwstr>
  </property>
</Properties>
</file>