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style20"/>
        <w:spacing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SynDx Prototype: Enhanced Digital Tool for Syndromic STI Diagnosis Harmonizing WHO Guideline and AI-Based Reasoning</w:t>
      </w:r>
    </w:p>
    <w:p>
      <w:pPr>
        <w:pStyle w:val="style13"/>
        <w:numPr>
          <w:ilvl w:val="0"/>
          <w:numId w:val="0"/>
        </w:numPr>
        <w:spacing w:line="360" w:lineRule="auto"/>
        <w:jc w:val="left"/>
        <w:outlineLvl w:val="3"/>
        <w:rPr>
          <w:rFonts w:ascii="Times New Roman" w:hAnsi="Times New Roman" w:eastAsia="Times New Roman" w:cs="Times New Roman"/>
          <w:b/>
          <w:bCs/>
          <w:color w:val="auto"/>
          <w:spacing w:val="-10"/>
          <w:sz w:val="24"/>
          <w:szCs w:val="24"/>
          <w:lang w:val="en-US" w:eastAsia="en-US" w:bidi="ar-SA"/>
        </w:rPr>
      </w:pPr>
      <w:r>
        <w:rPr>
          <w:rFonts w:ascii="Times New Roman" w:hAnsi="Times New Roman" w:eastAsia="Times New Roman" w:cs="Times New Roman"/>
          <w:b/>
          <w:bCs/>
          <w:color w:val="auto"/>
          <w:spacing w:val="-10"/>
          <w:sz w:val="24"/>
          <w:szCs w:val="24"/>
          <w:lang w:val="en-US" w:eastAsia="en-US" w:bidi="ar-SA"/>
        </w:rPr>
        <w:t xml:space="preserve">Abstract</w:t>
      </w:r>
    </w:p>
    <w:p>
      <w:pPr>
        <w:pStyle w:val="style7"/>
        <w:spacing w:line="360" w:lineRule="auto"/>
        <w:jc w:val="both"/>
      </w:pPr>
      <w:r>
        <w:rPr>
          <w:rFonts w:ascii="Times New Roman" w:hAnsi="Times New Roman" w:eastAsia="Times New Roman" w:cs="Times New Roman"/>
          <w:color w:val="000000"/>
          <w:sz w:val="24"/>
          <w:szCs w:val="22"/>
          <w:lang w:val="en-US" w:eastAsia="en-US" w:bidi="ar-SA"/>
        </w:rPr>
        <w:t xml:space="preserve">Background:</w:t>
      </w:r>
      <w:r>
        <w:rPr>
          <w:rFonts w:ascii="Times New Roman" w:hAnsi="Times New Roman" w:eastAsia="Times New Roman" w:cs="Times New Roman"/>
          <w:b w:val="0"/>
          <w:bCs w:val="0"/>
          <w:color w:val="000000"/>
          <w:sz w:val="24"/>
          <w:szCs w:val="22"/>
          <w:lang w:val="en-US" w:eastAsia="en-US" w:bidi="ar-SA"/>
        </w:rPr>
        <w:t xml:space="preserve"> Sexually transmitted infections (STIs) remain a major public health challenge in low- and middle-income countries, where WHO syndromic management algorithms continue to guide care. To date, no digital tools </w:t>
      </w:r>
      <w:r>
        <w:rPr>
          <w:rFonts w:ascii="Times New Roman" w:hAnsi="Times New Roman" w:eastAsia="Times New Roman" w:cs="Times New Roman"/>
          <w:b w:val="0"/>
          <w:bCs w:val="0"/>
          <w:color w:val="000000"/>
          <w:sz w:val="24"/>
          <w:szCs w:val="22"/>
          <w:lang w:val="en-US" w:eastAsia="en-US" w:bidi="ar-SA"/>
        </w:rPr>
        <w:t xml:space="preserve">and published studies to laverage WHO</w:t>
      </w:r>
      <w:r>
        <w:rPr>
          <w:rFonts w:ascii="Times New Roman" w:hAnsi="Times New Roman" w:eastAsia="Times New Roman" w:cs="Times New Roman"/>
          <w:b w:val="0"/>
          <w:bCs w:val="0"/>
          <w:color w:val="000000"/>
          <w:sz w:val="24"/>
          <w:szCs w:val="22"/>
          <w:lang w:val="en-US" w:eastAsia="en-US" w:bidi="ar-SA"/>
        </w:rPr>
        <w:t xml:space="preserve"> syndromic algorithms </w:t>
      </w:r>
      <w:r>
        <w:rPr>
          <w:rFonts w:ascii="Times New Roman" w:hAnsi="Times New Roman" w:eastAsia="Times New Roman" w:cs="Times New Roman"/>
          <w:b w:val="0"/>
          <w:bCs w:val="0"/>
          <w:color w:val="000000"/>
          <w:sz w:val="24"/>
          <w:szCs w:val="22"/>
          <w:lang w:val="en-US" w:eastAsia="en-US" w:bidi="ar-SA"/>
        </w:rPr>
        <w:t xml:space="preserve">with</w:t>
      </w:r>
      <w:r>
        <w:rPr>
          <w:rFonts w:ascii="Times New Roman" w:hAnsi="Times New Roman" w:eastAsia="Times New Roman" w:cs="Times New Roman"/>
          <w:b w:val="0"/>
          <w:bCs w:val="0"/>
          <w:color w:val="000000"/>
          <w:sz w:val="24"/>
          <w:szCs w:val="22"/>
          <w:lang w:val="en-US" w:eastAsia="en-US" w:bidi="ar-SA"/>
        </w:rPr>
        <w:t xml:space="preserve"> artificial intelligence. In contrast, </w:t>
      </w:r>
      <w:r>
        <w:rPr>
          <w:rFonts w:ascii="Times New Roman" w:hAnsi="Times New Roman" w:eastAsia="Times New Roman" w:cs="Times New Roman"/>
          <w:b w:val="0"/>
          <w:bCs w:val="0"/>
          <w:color w:val="000000"/>
          <w:sz w:val="24"/>
          <w:szCs w:val="22"/>
          <w:lang w:val="en-US" w:eastAsia="en-US" w:bidi="ar-SA"/>
        </w:rPr>
        <w:t xml:space="preserve">we developed</w:t>
      </w:r>
      <w:r>
        <w:rPr>
          <w:rFonts w:ascii="Times New Roman" w:hAnsi="Times New Roman" w:eastAsia="Times New Roman" w:cs="Times New Roman"/>
          <w:b w:val="0"/>
          <w:bCs w:val="0"/>
          <w:color w:val="000000"/>
          <w:sz w:val="24"/>
          <w:szCs w:val="22"/>
          <w:lang w:val="en-US" w:eastAsia="en-US" w:bidi="ar-SA"/>
        </w:rPr>
        <w:t xml:space="preserve"> Syndx dashboard as a prototype AI-assisted system that integrates WHO guidelines with </w:t>
      </w:r>
      <w:r>
        <w:rPr>
          <w:rFonts w:ascii="Times New Roman" w:hAnsi="Times New Roman" w:eastAsia="Times New Roman" w:cs="Times New Roman"/>
          <w:b w:val="0"/>
          <w:bCs w:val="0"/>
          <w:color w:val="000000"/>
          <w:sz w:val="24"/>
          <w:szCs w:val="22"/>
          <w:lang w:val="en-US" w:eastAsia="en-US" w:bidi="ar-SA"/>
        </w:rPr>
        <w:t xml:space="preserve">AI</w:t>
      </w:r>
      <w:r>
        <w:rPr>
          <w:rFonts w:ascii="Times New Roman" w:hAnsi="Times New Roman" w:eastAsia="Times New Roman" w:cs="Times New Roman"/>
          <w:b w:val="0"/>
          <w:bCs w:val="0"/>
          <w:color w:val="000000"/>
          <w:sz w:val="24"/>
          <w:szCs w:val="22"/>
          <w:lang w:val="en-US" w:eastAsia="en-US" w:bidi="ar-SA"/>
        </w:rPr>
        <w:t xml:space="preserve">-based reasoning to enhance transparency, usability, and training value in STI care.</w:t>
      </w:r>
    </w:p>
    <w:p>
      <w:pPr>
        <w:pStyle w:val="style7"/>
        <w:spacing w:line="360" w:lineRule="auto"/>
        <w:jc w:val="both"/>
      </w:pPr>
      <w:r>
        <w:rPr>
          <w:rFonts w:ascii="Times New Roman" w:hAnsi="Times New Roman" w:eastAsia="Times New Roman" w:cs="Times New Roman"/>
          <w:b/>
          <w:bCs/>
          <w:color w:val="000000"/>
          <w:sz w:val="24"/>
          <w:szCs w:val="22"/>
          <w:lang w:val="en-US" w:eastAsia="en-US" w:bidi="ar-SA"/>
        </w:rPr>
        <w:t xml:space="preserve">Methods:</w:t>
      </w:r>
      <w:r>
        <w:rPr>
          <w:rFonts w:ascii="Times New Roman" w:hAnsi="Times New Roman" w:eastAsia="Times New Roman" w:cs="Times New Roman"/>
          <w:b w:val="0"/>
          <w:bCs w:val="0"/>
          <w:color w:val="000000"/>
          <w:sz w:val="24"/>
          <w:szCs w:val="22"/>
          <w:lang w:val="en-US" w:eastAsia="en-US" w:bidi="ar-SA"/>
        </w:rPr>
        <w:t xml:space="preserve"> The dashboard was implemented using </w:t>
      </w:r>
      <w:r>
        <w:rPr>
          <w:rFonts w:ascii="Times New Roman" w:hAnsi="Times New Roman" w:eastAsia="Times New Roman" w:cs="Times New Roman"/>
          <w:b w:val="0"/>
          <w:bCs w:val="0"/>
          <w:color w:val="000000"/>
          <w:sz w:val="24"/>
          <w:szCs w:val="22"/>
          <w:lang w:val="en-US" w:eastAsia="en-US" w:bidi="ar-SA"/>
        </w:rPr>
        <w:t xml:space="preserve">Python 3.13.5</w:t>
      </w:r>
      <w:r>
        <w:rPr>
          <w:rFonts w:ascii="Times New Roman" w:hAnsi="Times New Roman" w:eastAsia="Times New Roman" w:cs="Times New Roman"/>
          <w:b w:val="0"/>
          <w:bCs w:val="0"/>
          <w:color w:val="000000"/>
          <w:sz w:val="24"/>
          <w:szCs w:val="22"/>
          <w:lang w:val="en-US" w:eastAsia="en-US" w:bidi="ar-SA"/>
        </w:rPr>
        <w:t xml:space="preserve"> within a conda-managed environment and built on the </w:t>
      </w:r>
      <w:r>
        <w:rPr>
          <w:rFonts w:ascii="Times New Roman" w:hAnsi="Times New Roman" w:eastAsia="Times New Roman" w:cs="Times New Roman"/>
          <w:b w:val="0"/>
          <w:bCs w:val="0"/>
          <w:color w:val="000000"/>
          <w:sz w:val="24"/>
          <w:szCs w:val="22"/>
          <w:lang w:val="en-US" w:eastAsia="en-US" w:bidi="ar-SA"/>
        </w:rPr>
        <w:t xml:space="preserve">Streamlit framework</w:t>
      </w:r>
      <w:r>
        <w:rPr>
          <w:rFonts w:ascii="Times New Roman" w:hAnsi="Times New Roman" w:eastAsia="Times New Roman" w:cs="Times New Roman"/>
          <w:b w:val="0"/>
          <w:bCs w:val="0"/>
          <w:color w:val="000000"/>
          <w:sz w:val="24"/>
          <w:szCs w:val="22"/>
          <w:lang w:val="en-US" w:eastAsia="en-US" w:bidi="ar-SA"/>
        </w:rPr>
        <w:t xml:space="preserve">. Version control was maintained using </w:t>
      </w:r>
      <w:r>
        <w:rPr>
          <w:rFonts w:ascii="Times New Roman" w:hAnsi="Times New Roman" w:eastAsia="Times New Roman" w:cs="Times New Roman"/>
          <w:b w:val="0"/>
          <w:bCs w:val="0"/>
          <w:color w:val="000000"/>
          <w:sz w:val="24"/>
          <w:szCs w:val="22"/>
          <w:lang w:val="en-US" w:eastAsia="en-US" w:bidi="ar-SA"/>
        </w:rPr>
        <w:t xml:space="preserve">Git</w:t>
      </w:r>
      <w:r>
        <w:rPr>
          <w:rFonts w:ascii="Times New Roman" w:hAnsi="Times New Roman" w:eastAsia="Times New Roman" w:cs="Times New Roman"/>
          <w:b w:val="0"/>
          <w:bCs w:val="0"/>
          <w:color w:val="000000"/>
          <w:sz w:val="24"/>
          <w:szCs w:val="22"/>
          <w:lang w:val="en-US" w:eastAsia="en-US" w:bidi="ar-SA"/>
        </w:rPr>
        <w:t xml:space="preserve"> with repositories hosted on GitHub. Core libraries included </w:t>
      </w:r>
      <w:r>
        <w:rPr>
          <w:rFonts w:ascii="Times New Roman" w:hAnsi="Times New Roman" w:eastAsia="Times New Roman" w:cs="Times New Roman"/>
          <w:b w:val="0"/>
          <w:bCs w:val="0"/>
          <w:color w:val="000000"/>
          <w:sz w:val="24"/>
          <w:szCs w:val="22"/>
          <w:lang w:val="en-US" w:eastAsia="en-US" w:bidi="ar-SA"/>
        </w:rPr>
        <w:t xml:space="preserve">pandas</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numpy</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scikit-learn</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matplotlib</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seaborn</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plotly</w:t>
      </w:r>
      <w:r>
        <w:rPr>
          <w:rFonts w:ascii="Times New Roman" w:hAnsi="Times New Roman" w:eastAsia="Times New Roman" w:cs="Times New Roman"/>
          <w:b w:val="0"/>
          <w:bCs w:val="0"/>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python-dotenv</w:t>
      </w:r>
      <w:r>
        <w:rPr>
          <w:rFonts w:ascii="Times New Roman" w:hAnsi="Times New Roman" w:eastAsia="Times New Roman" w:cs="Times New Roman"/>
          <w:b w:val="0"/>
          <w:bCs w:val="0"/>
          <w:color w:val="000000"/>
          <w:sz w:val="24"/>
          <w:szCs w:val="22"/>
          <w:lang w:val="en-US" w:eastAsia="en-US" w:bidi="ar-SA"/>
        </w:rPr>
        <w:t xml:space="preserve">, and the </w:t>
      </w:r>
      <w:r>
        <w:rPr>
          <w:rFonts w:ascii="Times New Roman" w:hAnsi="Times New Roman" w:eastAsia="Times New Roman" w:cs="Times New Roman"/>
          <w:b w:val="0"/>
          <w:bCs w:val="0"/>
          <w:color w:val="000000"/>
          <w:sz w:val="24"/>
          <w:szCs w:val="22"/>
          <w:lang w:val="en-US" w:eastAsia="en-US" w:bidi="ar-SA"/>
        </w:rPr>
        <w:t xml:space="preserve">OpenAI Python client</w:t>
      </w:r>
      <w:r>
        <w:rPr>
          <w:rFonts w:ascii="Times New Roman" w:hAnsi="Times New Roman" w:eastAsia="Times New Roman" w:cs="Times New Roman"/>
          <w:b w:val="0"/>
          <w:bCs w:val="0"/>
          <w:color w:val="000000"/>
          <w:sz w:val="24"/>
          <w:szCs w:val="22"/>
          <w:lang w:val="en-US" w:eastAsia="en-US" w:bidi="ar-SA"/>
        </w:rPr>
        <w:t xml:space="preserve">. The system architecture consisted of (i) a </w:t>
      </w:r>
      <w:r>
        <w:rPr>
          <w:rFonts w:ascii="Times New Roman" w:hAnsi="Times New Roman" w:eastAsia="Times New Roman" w:cs="Times New Roman"/>
          <w:b w:val="0"/>
          <w:bCs w:val="0"/>
          <w:color w:val="000000"/>
          <w:sz w:val="24"/>
          <w:szCs w:val="22"/>
          <w:lang w:val="en-US" w:eastAsia="en-US" w:bidi="ar-SA"/>
        </w:rPr>
        <w:t xml:space="preserve">rule-based module</w:t>
      </w:r>
      <w:r>
        <w:rPr>
          <w:rFonts w:ascii="Times New Roman" w:hAnsi="Times New Roman" w:eastAsia="Times New Roman" w:cs="Times New Roman"/>
          <w:b w:val="0"/>
          <w:bCs w:val="0"/>
          <w:color w:val="000000"/>
          <w:sz w:val="24"/>
          <w:szCs w:val="22"/>
          <w:lang w:val="en-US" w:eastAsia="en-US" w:bidi="ar-SA"/>
        </w:rPr>
        <w:t xml:space="preserve"> encoding WHO syndromic algorithms, (ii) an </w:t>
      </w:r>
      <w:r>
        <w:rPr>
          <w:rFonts w:ascii="Times New Roman" w:hAnsi="Times New Roman" w:eastAsia="Times New Roman" w:cs="Times New Roman"/>
          <w:b w:val="0"/>
          <w:bCs w:val="0"/>
          <w:color w:val="000000"/>
          <w:sz w:val="24"/>
          <w:szCs w:val="22"/>
          <w:lang w:val="en-US" w:eastAsia="en-US" w:bidi="ar-SA"/>
        </w:rPr>
        <w:t xml:space="preserve">AI module</w:t>
      </w:r>
      <w:r>
        <w:rPr>
          <w:rFonts w:ascii="Times New Roman" w:hAnsi="Times New Roman" w:eastAsia="Times New Roman" w:cs="Times New Roman"/>
          <w:b w:val="0"/>
          <w:bCs w:val="0"/>
          <w:color w:val="000000"/>
          <w:sz w:val="24"/>
          <w:szCs w:val="22"/>
          <w:lang w:val="en-US" w:eastAsia="en-US" w:bidi="ar-SA"/>
        </w:rPr>
        <w:t xml:space="preserve"> integrated via the OpenAI API, and (iii) a </w:t>
      </w:r>
      <w:r>
        <w:rPr>
          <w:rFonts w:ascii="Times New Roman" w:hAnsi="Times New Roman" w:eastAsia="Times New Roman" w:cs="Times New Roman"/>
          <w:b w:val="0"/>
          <w:bCs w:val="0"/>
          <w:color w:val="000000"/>
          <w:sz w:val="24"/>
          <w:szCs w:val="22"/>
          <w:lang w:val="en-US" w:eastAsia="en-US" w:bidi="ar-SA"/>
        </w:rPr>
        <w:t xml:space="preserve">user interface</w:t>
      </w:r>
      <w:r>
        <w:rPr>
          <w:rFonts w:ascii="Times New Roman" w:hAnsi="Times New Roman" w:eastAsia="Times New Roman" w:cs="Times New Roman"/>
          <w:b w:val="0"/>
          <w:bCs w:val="0"/>
          <w:color w:val="000000"/>
          <w:sz w:val="24"/>
          <w:szCs w:val="22"/>
          <w:lang w:val="en-US" w:eastAsia="en-US" w:bidi="ar-SA"/>
        </w:rPr>
        <w:t xml:space="preserve"> with seven functional components. Deployment was performed on </w:t>
      </w:r>
      <w:r>
        <w:rPr>
          <w:rFonts w:ascii="Times New Roman" w:hAnsi="Times New Roman" w:eastAsia="Times New Roman" w:cs="Times New Roman"/>
          <w:b w:val="0"/>
          <w:bCs w:val="0"/>
          <w:color w:val="000000"/>
          <w:sz w:val="24"/>
          <w:szCs w:val="22"/>
          <w:lang w:val="en-US" w:eastAsia="en-US" w:bidi="ar-SA"/>
        </w:rPr>
        <w:t xml:space="preserve">Streamlit Cloud</w:t>
      </w:r>
      <w:r>
        <w:rPr>
          <w:rFonts w:ascii="Times New Roman" w:hAnsi="Times New Roman" w:eastAsia="Times New Roman" w:cs="Times New Roman"/>
          <w:b w:val="0"/>
          <w:bCs w:val="0"/>
          <w:color w:val="000000"/>
          <w:sz w:val="24"/>
          <w:szCs w:val="22"/>
          <w:lang w:val="en-US" w:eastAsia="en-US" w:bidi="ar-SA"/>
        </w:rPr>
        <w:t xml:space="preserve">, enabling browser-based access without local installation.</w:t>
      </w:r>
    </w:p>
    <w:p>
      <w:pPr>
        <w:pStyle w:val="style7"/>
        <w:spacing w:line="360" w:lineRule="auto"/>
        <w:jc w:val="both"/>
      </w:pPr>
      <w:r>
        <w:rPr>
          <w:rFonts w:ascii="Times New Roman" w:hAnsi="Times New Roman" w:eastAsia="Times New Roman" w:cs="Times New Roman"/>
          <w:b/>
          <w:bCs/>
          <w:color w:val="000000"/>
          <w:sz w:val="24"/>
          <w:szCs w:val="22"/>
          <w:lang w:val="en-US" w:eastAsia="en-US" w:bidi="ar-SA"/>
        </w:rPr>
        <w:t xml:space="preserve">Results:</w:t>
      </w:r>
      <w:r>
        <w:rPr>
          <w:rFonts w:ascii="Times New Roman" w:hAnsi="Times New Roman" w:eastAsia="Times New Roman" w:cs="Times New Roman"/>
          <w:b/>
          <w:bCs/>
          <w:color w:val="000000"/>
          <w:sz w:val="24"/>
          <w:szCs w:val="22"/>
          <w:lang w:val="en-US" w:eastAsia="en-US" w:bidi="ar-SA"/>
        </w:rPr>
        <w:t xml:space="preserve"> </w:t>
      </w:r>
      <w:r>
        <w:rPr>
          <w:rFonts w:ascii="Times New Roman" w:hAnsi="Times New Roman" w:eastAsia="Times New Roman" w:cs="Times New Roman"/>
          <w:b w:val="0"/>
          <w:bCs w:val="0"/>
          <w:color w:val="000000"/>
          <w:sz w:val="24"/>
          <w:szCs w:val="22"/>
          <w:lang w:val="en-US" w:eastAsia="en-US" w:bidi="ar-SA"/>
        </w:rPr>
        <w:t xml:space="preserve">SynDx</w:t>
      </w:r>
      <w:r>
        <w:rPr>
          <w:rFonts w:ascii="Times New Roman" w:hAnsi="Times New Roman" w:eastAsia="Times New Roman" w:cs="Times New Roman"/>
          <w:b w:val="0"/>
          <w:bCs w:val="0"/>
          <w:color w:val="000000"/>
          <w:sz w:val="24"/>
          <w:szCs w:val="22"/>
          <w:lang w:val="en-US" w:eastAsia="en-US" w:bidi="ar-SA"/>
        </w:rPr>
        <w:t xml:space="preserve"> dashboard integrated seven functional modules-including Diagnosis, Case History, Analytics, and Clinical Guidelines-while harmonizing outputs with AI reasoning to add differential diagnoses, triage alerts, and patient SMS communication. This combination preserved transparency with WHO guidelines while providing clear </w:t>
      </w:r>
      <w:r>
        <w:rPr>
          <w:rFonts w:ascii="Times New Roman" w:hAnsi="Times New Roman" w:eastAsia="Times New Roman" w:cs="Times New Roman"/>
          <w:b w:val="0"/>
          <w:bCs w:val="0"/>
          <w:color w:val="000000"/>
          <w:sz w:val="24"/>
          <w:szCs w:val="22"/>
          <w:lang w:val="en-US" w:eastAsia="en-US" w:bidi="ar-SA"/>
        </w:rPr>
        <w:t xml:space="preserve">added value through AI augmentation</w:t>
      </w:r>
      <w:r>
        <w:rPr>
          <w:rFonts w:ascii="Times New Roman" w:hAnsi="Times New Roman" w:eastAsia="Times New Roman" w:cs="Times New Roman"/>
          <w:b w:val="0"/>
          <w:bCs w:val="0"/>
          <w:color w:val="000000"/>
          <w:sz w:val="24"/>
          <w:szCs w:val="22"/>
          <w:lang w:val="en-US" w:eastAsia="en-US" w:bidi="ar-SA"/>
        </w:rPr>
        <w:t xml:space="preserve">. </w:t>
        <w:t xml:space="preserve"> </w:t>
        <w:t xml:space="preserve">In testing with 25 synthetic cases (10 females, 15 males; ages 16-51; HIV-negative n=10, HIV-positive n=8, unknown n=7), Syndx reproduced all WHO syndromic categories with </w:t>
      </w:r>
      <w:r>
        <w:rPr>
          <w:rFonts w:ascii="Times New Roman" w:hAnsi="Times New Roman" w:eastAsia="Times New Roman" w:cs="Times New Roman"/>
          <w:b w:val="0"/>
          <w:bCs w:val="0"/>
          <w:color w:val="000000"/>
          <w:sz w:val="24"/>
          <w:szCs w:val="22"/>
          <w:lang w:val="en-US" w:eastAsia="en-US" w:bidi="ar-SA"/>
        </w:rPr>
        <w:t xml:space="preserve">100% concordance</w:t>
      </w:r>
      <w:r>
        <w:rPr>
          <w:rFonts w:ascii="Times New Roman" w:hAnsi="Times New Roman" w:eastAsia="Times New Roman" w:cs="Times New Roman"/>
          <w:b w:val="0"/>
          <w:bCs w:val="0"/>
          <w:color w:val="000000"/>
          <w:sz w:val="24"/>
          <w:szCs w:val="22"/>
          <w:lang w:val="en-US" w:eastAsia="en-US" w:bidi="ar-SA"/>
        </w:rPr>
        <w:t xml:space="preserve"> (Cohen’s Kappa=</w:t>
      </w:r>
      <w:r>
        <w:rPr>
          <w:rFonts w:ascii="Times New Roman" w:hAnsi="Times New Roman" w:eastAsia="Times New Roman" w:cs="Times New Roman"/>
          <w:b w:val="0"/>
          <w:bCs w:val="0"/>
          <w:color w:val="000000"/>
          <w:sz w:val="24"/>
          <w:szCs w:val="22"/>
          <w:lang w:val="en-US" w:eastAsia="en-US" w:bidi="ar-SA"/>
        </w:rPr>
        <w:t xml:space="preserve">1.0</w:t>
      </w:r>
      <w:r>
        <w:rPr>
          <w:rFonts w:ascii="Times New Roman" w:hAnsi="Times New Roman" w:eastAsia="Times New Roman" w:cs="Times New Roman"/>
          <w:b w:val="0"/>
          <w:bCs w:val="0"/>
          <w:color w:val="000000"/>
          <w:sz w:val="24"/>
          <w:szCs w:val="22"/>
          <w:lang w:val="en-US" w:eastAsia="en-US" w:bidi="ar-SA"/>
        </w:rPr>
        <w:t xml:space="preserve">). While WHO algorithms did not account for behavioral risk factors, the AI module incorporated them to generate individualized reasoning, thereby preserving transparency with WHO guidelines while providing added value through AI augmentation.</w:t>
      </w:r>
    </w:p>
    <w:p>
      <w:pPr>
        <w:pStyle w:val="style7"/>
        <w:spacing w:line="360" w:lineRule="auto"/>
        <w:jc w:val="both"/>
      </w:pPr>
      <w:r>
        <w:rPr>
          <w:rFonts w:ascii="Times New Roman" w:hAnsi="Times New Roman" w:eastAsia="Times New Roman" w:cs="Times New Roman"/>
          <w:b/>
          <w:bCs/>
          <w:color w:val="000000"/>
          <w:sz w:val="24"/>
          <w:szCs w:val="22"/>
          <w:lang w:val="en-US" w:eastAsia="en-US" w:bidi="ar-SA"/>
        </w:rPr>
        <w:t xml:space="preserve">Conclusion:</w:t>
      </w:r>
      <w:r>
        <w:rPr>
          <w:rFonts w:ascii="Times New Roman" w:hAnsi="Times New Roman" w:eastAsia="Times New Roman" w:cs="Times New Roman"/>
          <w:b w:val="0"/>
          <w:bCs w:val="0"/>
          <w:color w:val="000000"/>
          <w:sz w:val="24"/>
          <w:szCs w:val="22"/>
          <w:lang w:val="en-US" w:eastAsia="en-US" w:bidi="ar-SA"/>
        </w:rPr>
        <w:t xml:space="preserve"> The Syndx prototype demonstrates the feasibility of combining WHO-standard syndromic management with AI-enhanced reasoning in a transparent dashboard environment. By integrating triage, guideline-based recommendations, AI commentary, and patient SMS delivery, Syndx has potential to strengthen STI care, improve clinical decision-making, and support train</w:t>
      </w:r>
      <w:r>
        <w:rPr>
          <w:rFonts w:ascii="Times New Roman" w:hAnsi="Times New Roman" w:eastAsia="Times New Roman" w:cs="Times New Roman"/>
          <w:b w:val="0"/>
          <w:bCs w:val="0"/>
          <w:color w:val="000000"/>
          <w:sz w:val="24"/>
          <w:szCs w:val="22"/>
          <w:lang w:val="en-US" w:eastAsia="en-US" w:bidi="ar-SA"/>
        </w:rPr>
        <w:t xml:space="preserve">ing of healthcare workers in resource-limited settings. Further validation in real-world clinical environments is warranted.</w:t>
      </w:r>
    </w:p>
    <w:p>
      <w:pPr>
        <w:pStyle w:val="style12"/>
        <w:numPr>
          <w:ilvl w:val="0"/>
          <w:numId w:val="0"/>
        </w:numPr>
        <w:ind w:right="0" w:firstLine="0" w:left="0"/>
        <w:outlineLvl w:val="2"/>
        <w:rPr>
          <w:rFonts w:ascii="Times New Roman" w:hAnsi="Times New Roman" w:eastAsia="Times New Roman" w:cs="Times New Roman"/>
          <w:b/>
          <w:color w:val="000000"/>
          <w:sz w:val="24"/>
          <w:szCs w:val="22"/>
        </w:rPr>
      </w:pPr>
      <w:r>
        <w:rPr>
          <w:rFonts w:ascii="Times New Roman" w:hAnsi="Times New Roman" w:eastAsia="Times New Roman" w:cs="Times New Roman"/>
          <w:b/>
          <w:color w:val="000000"/>
          <w:sz w:val="24"/>
          <w:szCs w:val="22"/>
        </w:rPr>
        <w:t xml:space="preserve">Background</w:t>
      </w:r>
    </w:p>
    <w:p>
      <w:pPr>
        <w:pStyle w:val="style5"/>
        <w:spacing w:line="360" w:lineRule="auto"/>
        <w:jc w:val="both"/>
      </w:pPr>
      <w:r>
        <w:rPr>
          <w:rFonts w:ascii="Times New Roman" w:hAnsi="Times New Roman" w:eastAsia="Times New Roman" w:cs="Times New Roman"/>
          <w:color w:val="000000"/>
          <w:sz w:val="24"/>
        </w:rPr>
        <w:t xml:space="preserve">Sexually transmitted infections (STIs) are a group of infectious diseases that are primarily transmitted through sexual contact, including vaginal, anal, and oral intercourse. They are caused by a wide range of pathogens such as bacteria (</w:t>
      </w:r>
      <w:r>
        <w:rPr>
          <w:rFonts w:ascii="Times New Roman" w:hAnsi="Times New Roman" w:eastAsia="Times New Roman" w:cs="Times New Roman"/>
          <w:color w:val="000000"/>
          <w:sz w:val="24"/>
        </w:rPr>
        <w:t xml:space="preserve">Neisseria gonorrhoeae</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Chlamydia trachomatis</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Treponema pallidum</w:t>
      </w:r>
      <w:r>
        <w:rPr>
          <w:rFonts w:ascii="Times New Roman" w:hAnsi="Times New Roman" w:eastAsia="Times New Roman" w:cs="Times New Roman"/>
          <w:color w:val="000000"/>
          <w:sz w:val="24"/>
        </w:rPr>
        <w:t xml:space="preserve">), viruses (HIV, HPV, HBV, HSV), and parasites (</w:t>
      </w:r>
      <w:r>
        <w:rPr>
          <w:rFonts w:ascii="Times New Roman" w:hAnsi="Times New Roman" w:eastAsia="Times New Roman" w:cs="Times New Roman"/>
          <w:color w:val="000000"/>
          <w:sz w:val="24"/>
        </w:rPr>
        <w:t xml:space="preserve">Trichomonas vaginalis</w:t>
      </w:r>
      <w:r>
        <w:rPr>
          <w:rFonts w:ascii="Times New Roman" w:hAnsi="Times New Roman" w:eastAsia="Times New Roman" w:cs="Times New Roman"/>
          <w:color w:val="000000"/>
          <w:sz w:val="24"/>
        </w:rPr>
        <w:t xml:space="preserve">). Beyond sexual transmission, some STIs can also be spread through blood transfusion, sharing of contaminated needles, and from mother to child during pregnancy, delivery, or breastfeeding</w:t>
      </w:r>
      <w:r>
        <w:rPr>
          <w:rFonts w:ascii="Times New Roman" w:hAnsi="Times New Roman" w:eastAsia="Times New Roman" w:cs="Times New Roman"/>
          <w:color w:val="000000"/>
          <w:sz w:val="24"/>
        </w:rPr>
        <w:t xml:space="preserve">(1)</w:t>
      </w:r>
      <w:r>
        <w:rPr>
          <w:rFonts w:ascii="Times New Roman" w:hAnsi="Times New Roman" w:eastAsia="Times New Roman" w:cs="Times New Roman"/>
          <w:color w:val="000000"/>
          <w:sz w:val="24"/>
        </w:rPr>
        <w:t xml:space="preserve">.</w:t>
      </w:r>
    </w:p>
    <w:p>
      <w:pPr>
        <w:pStyle w:val="style5"/>
        <w:spacing w:line="360" w:lineRule="auto"/>
        <w:jc w:val="both"/>
      </w:pPr>
      <w:r>
        <w:rPr>
          <w:rFonts w:ascii="Times New Roman" w:hAnsi="Times New Roman" w:eastAsia="Times New Roman" w:cs="Times New Roman"/>
          <w:color w:val="000000"/>
          <w:sz w:val="24"/>
        </w:rPr>
        <w:t xml:space="preserve">Sexually transmitted infections (STIs) remain a significant public health concern worldwide, with an estimated 374 million new infections of curable STIs (chlamydia, gonorrhea, syphilis, and trichomoniasis) occurring annually according to the World Health Organization (WHO). In low- and middle-income countries (LMICs), where diagnostic resources are limited, syndromic management has been the cornerstone of STI control since the 1990s</w:t>
      </w:r>
      <w:r>
        <w:rPr>
          <w:rFonts w:ascii="Times New Roman" w:hAnsi="Times New Roman" w:eastAsia="Times New Roman" w:cs="Times New Roman"/>
          <w:color w:val="000000"/>
          <w:sz w:val="24"/>
        </w:rPr>
        <w:t xml:space="preserve">(2)</w:t>
      </w:r>
      <w:r>
        <w:rPr>
          <w:rFonts w:ascii="Times New Roman" w:hAnsi="Times New Roman" w:eastAsia="Times New Roman" w:cs="Times New Roman"/>
          <w:color w:val="000000"/>
          <w:sz w:val="24"/>
        </w:rPr>
        <w:t xml:space="preserve">. The WHO syndromic management guidelines allow primary health care (PHC) providers to treat patients based on presenting symptoms and signs without requiring laboratory confirmation. This approach has been credited with improving access to care and reducing delays in treatment initiation</w:t>
      </w: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t xml:space="preserve">. Despite its wide adoption, syndromic management has notable limitations, the reliance on symptom clusters often leads to both over-treatment and under-treatment, as overlapping clinical features make it difficult to differentiate between pathogens</w:t>
      </w:r>
      <w:r>
        <w:rPr>
          <w:rFonts w:ascii="Times New Roman" w:hAnsi="Times New Roman" w:eastAsia="Times New Roman" w:cs="Times New Roman"/>
          <w:color w:val="000000"/>
          <w:sz w:val="24"/>
        </w:rPr>
        <w:t xml:space="preserve">(4,5)</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A cohort study from Kenya reported a</w:t>
      </w:r>
      <w:r>
        <w:rPr>
          <w:rFonts w:ascii="Times New Roman" w:hAnsi="Times New Roman" w:eastAsia="Times New Roman" w:cs="Times New Roman"/>
          <w:color w:val="000000"/>
          <w:sz w:val="24"/>
        </w:rPr>
        <w:t xml:space="preserve">greement between syndromic and aetiological diagnoses was poor </w:t>
      </w:r>
      <w:r>
        <w:rPr>
          <w:rFonts w:ascii="Times New Roman" w:hAnsi="Times New Roman" w:eastAsia="Times New Roman" w:cs="Times New Roman"/>
          <w:color w:val="000000"/>
          <w:sz w:val="24"/>
        </w:rPr>
        <w:t xml:space="preserve">with </w:t>
      </w:r>
      <w:r>
        <w:rPr>
          <w:rFonts w:ascii="Times New Roman" w:hAnsi="Times New Roman" w:eastAsia="Times New Roman" w:cs="Times New Roman"/>
          <w:color w:val="000000"/>
          <w:sz w:val="24"/>
        </w:rPr>
        <w:t xml:space="preserve">overall kappa = 0.09</w:t>
      </w:r>
      <w:r>
        <w:rPr>
          <w:rFonts w:ascii="Times New Roman" w:hAnsi="Times New Roman" w:eastAsia="Times New Roman" w:cs="Times New Roman"/>
          <w:color w:val="000000"/>
          <w:sz w:val="24"/>
        </w:rPr>
        <w:t xml:space="preserve">(6)</w:t>
      </w:r>
      <w:r>
        <w:rPr>
          <w:rFonts w:ascii="Times New Roman" w:hAnsi="Times New Roman" w:eastAsia="Times New Roman" w:cs="Times New Roman"/>
          <w:color w:val="000000"/>
          <w:sz w:val="24"/>
        </w:rPr>
        <w:t xml:space="preserve">.</w:t>
      </w:r>
    </w:p>
    <w:p>
      <w:pPr>
        <w:pStyle w:val="style5"/>
        <w:spacing w:line="360" w:lineRule="auto"/>
        <w:jc w:val="both"/>
      </w:pPr>
      <w:r>
        <w:rPr>
          <w:rFonts w:ascii="Times New Roman" w:hAnsi="Times New Roman" w:eastAsia="Times New Roman" w:cs="Times New Roman"/>
          <w:color w:val="000000"/>
          <w:sz w:val="24"/>
        </w:rPr>
        <w:t xml:space="preserve">Recent advances in artificial intelligence (AI), particularly natural language processing (NLP) models such as Generative Pre-trained Transformers (GPT), offer new opportunities to enhance clinical decision support in resource-limited settings. AI can provide probabilistic reasoning, highlight differential diagnoses, and offer contextualized recommendations while aligning with established guidelines. Unlike static rule-based algorithms, AI systems can integrate multiple inputs such as symptom combinations, risk factors, comorbidities, and patient demographics to generate more tailored insights</w:t>
      </w:r>
      <w:r>
        <w:rPr>
          <w:rFonts w:ascii="Times New Roman" w:hAnsi="Times New Roman" w:eastAsia="Times New Roman" w:cs="Times New Roman"/>
          <w:b w:val="0"/>
          <w:i w:val="0"/>
          <w:caps w:val="0"/>
          <w:smallCaps w:val="0"/>
          <w:color w:val="000000"/>
          <w:position w:val="0"/>
          <w:sz w:val="24"/>
          <w:u w:val="none"/>
        </w:rPr>
        <w:t xml:space="preserve">(7</w:t>
      </w:r>
      <w:r>
        <w:rPr>
          <w:b w:val="0"/>
          <w:i w:val="0"/>
          <w:caps w:val="0"/>
          <w:smallCaps w:val="0"/>
          <w:position w:val="0"/>
          <w:sz w:val="22"/>
          <w:u w:val="none"/>
        </w:rPr>
        <w:t xml:space="preserve">–10)</w:t>
      </w:r>
      <w:r>
        <w:rPr>
          <w:rFonts w:ascii="Times New Roman" w:hAnsi="Times New Roman" w:eastAsia="Times New Roman" w:cs="Times New Roman"/>
          <w:color w:val="000000"/>
          <w:sz w:val="24"/>
        </w:rPr>
        <w:t xml:space="preserve">.</w:t>
      </w:r>
    </w:p>
    <w:p>
      <w:pPr>
        <w:pStyle w:val="style5"/>
        <w:spacing w:line="360" w:lineRule="auto"/>
        <w:ind w:right="0" w:firstLine="0" w:left="0"/>
        <w:jc w:val="both"/>
      </w:pPr>
      <w:r>
        <w:rPr>
          <w:rFonts w:ascii="Times New Roman" w:hAnsi="Times New Roman" w:eastAsia="Times New Roman" w:cs="Times New Roman"/>
          <w:color w:val="000000"/>
          <w:sz w:val="24"/>
        </w:rPr>
        <w:t xml:space="preserve">However, </w:t>
      </w:r>
      <w:r>
        <w:rPr>
          <w:rFonts w:ascii="Times New Roman" w:hAnsi="Times New Roman" w:eastAsia="Times New Roman" w:cs="Times New Roman"/>
          <w:color w:val="000000"/>
          <w:sz w:val="24"/>
        </w:rPr>
        <w:t xml:space="preserve">there were no </w:t>
      </w:r>
      <w:r>
        <w:rPr>
          <w:rFonts w:ascii="Times New Roman" w:hAnsi="Times New Roman" w:eastAsia="Times New Roman" w:cs="Times New Roman"/>
          <w:color w:val="000000"/>
          <w:sz w:val="24"/>
        </w:rPr>
        <w:t xml:space="preserve">tools to date have attempted to harmonize AI reasoning with WHO’s rule-based syndromic management in a clinically safe and transparent way. The lack of integration between guideline-based standards and adaptive AI reasoning leaves a critical gap in supporting frontline providers in PHC facilities. To address this gap, we</w:t>
      </w:r>
      <w:r>
        <w:rPr>
          <w:rFonts w:ascii="Times New Roman" w:hAnsi="Times New Roman" w:eastAsia="Times New Roman" w:cs="Times New Roman"/>
          <w:b w:val="0"/>
          <w:bCs w:val="0"/>
          <w:color w:val="000000"/>
          <w:sz w:val="24"/>
        </w:rPr>
        <w:t xml:space="preserve"> developed SynDx, a prototype AI-enhanced digital dashboard for syndromic STI diagnosis. SynDx integrates WH</w:t>
      </w:r>
      <w:r>
        <w:rPr>
          <w:rFonts w:ascii="Times New Roman" w:hAnsi="Times New Roman" w:eastAsia="Times New Roman" w:cs="Times New Roman"/>
          <w:color w:val="000000"/>
          <w:sz w:val="24"/>
        </w:rPr>
        <w:t xml:space="preserve">O 2016 syndromic guidelines with GPT-based reasoning, presenting both rule-based and AI-generated outputs side by side. The tool also provides commentary to highlight areas of agreement, divergence, and potential nuance, while preserving WHO recommendations as the clinical anchor. This approach seeks to improve transparency, clinician confidence, and the usability of syndromic management in real-world PHC settings.</w:t>
      </w:r>
    </w:p>
    <w:p>
      <w:pPr>
        <w:pStyle w:val="style11"/>
        <w:numPr>
          <w:ilvl w:val="0"/>
          <w:numId w:val="0"/>
        </w:numPr>
        <w:ind w:right="0" w:firstLine="0" w:left="0"/>
        <w:outlineLvl w:val="1"/>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Methods</w:t>
      </w:r>
    </w:p>
    <w:p>
      <w:pPr>
        <w:pStyle w:val="style13"/>
        <w:numPr>
          <w:ilvl w:val="0"/>
          <w:numId w:val="0"/>
        </w:numPr>
        <w:spacing w:line="360" w:lineRule="auto"/>
        <w:ind w:right="0" w:firstLine="0" w:left="0"/>
        <w:jc w:val="both"/>
        <w:outlineLvl w:val="3"/>
      </w:pPr>
      <w:r>
        <w:rPr>
          <w:rFonts w:ascii="Times New Roman" w:hAnsi="Times New Roman" w:eastAsia="Times New Roman" w:cs="Times New Roman"/>
          <w:b/>
          <w:bCs/>
          <w:color w:val="000000"/>
          <w:sz w:val="24"/>
          <w:szCs w:val="24"/>
        </w:rPr>
        <w:t xml:space="preserve">Study Design </w:t>
      </w:r>
    </w:p>
    <w:p>
      <w:pPr>
        <w:pStyle w:val="style5"/>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This study employed a </w:t>
      </w:r>
      <w:r>
        <w:rPr>
          <w:rFonts w:ascii="Times New Roman" w:hAnsi="Times New Roman" w:eastAsia="Times New Roman" w:cs="Times New Roman"/>
          <w:b w:val="0"/>
          <w:bCs w:val="0"/>
          <w:color w:val="000000"/>
          <w:sz w:val="24"/>
          <w:szCs w:val="24"/>
          <w:lang w:val="en-US" w:eastAsia="en-US" w:bidi="ar-SA"/>
        </w:rPr>
        <w:t xml:space="preserve">prototype development and verification design</w:t>
      </w:r>
      <w:r>
        <w:rPr>
          <w:rFonts w:ascii="Times New Roman" w:hAnsi="Times New Roman" w:eastAsia="Times New Roman" w:cs="Times New Roman"/>
          <w:b w:val="0"/>
          <w:bCs w:val="0"/>
          <w:color w:val="000000"/>
          <w:sz w:val="24"/>
          <w:szCs w:val="24"/>
          <w:lang w:val="en-US" w:eastAsia="en-US" w:bidi="ar-SA"/>
        </w:rPr>
        <w:t xml:space="preserve">, focusing on the creation and early-stage validation of </w:t>
      </w:r>
      <w:r>
        <w:rPr>
          <w:rFonts w:ascii="Times New Roman" w:hAnsi="Times New Roman" w:eastAsia="Times New Roman" w:cs="Times New Roman"/>
          <w:b w:val="0"/>
          <w:bCs w:val="0"/>
          <w:color w:val="000000"/>
          <w:sz w:val="24"/>
          <w:szCs w:val="24"/>
          <w:lang w:val="en-US" w:eastAsia="en-US" w:bidi="ar-SA"/>
        </w:rPr>
        <w:t xml:space="preserve">SynDx</w:t>
      </w:r>
      <w:r>
        <w:rPr>
          <w:rFonts w:ascii="Times New Roman" w:hAnsi="Times New Roman" w:eastAsia="Times New Roman" w:cs="Times New Roman"/>
          <w:b w:val="0"/>
          <w:bCs w:val="0"/>
          <w:color w:val="000000"/>
          <w:sz w:val="24"/>
          <w:szCs w:val="24"/>
          <w:lang w:val="en-US" w:eastAsia="en-US" w:bidi="ar-SA"/>
        </w:rPr>
        <w:t xml:space="preserve">, a digital decision support tool for syndromic management of STIs. The study followed an iterative design-build-test approach to develop a hybrid system that integrates WHO syndromic management guidelines with artificial intelligence reasoning modules.</w:t>
      </w:r>
    </w:p>
    <w:p>
      <w:pPr>
        <w:pStyle w:val="style13"/>
        <w:numPr>
          <w:ilvl w:val="0"/>
          <w:numId w:val="0"/>
        </w:numPr>
        <w:spacing w:line="360" w:lineRule="auto"/>
        <w:ind w:right="0" w:firstLine="0" w:left="0"/>
        <w:jc w:val="both"/>
        <w:outlineLvl w:val="3"/>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System Architecture</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Syndx dashboard was developed on a Linux-based environment (Pop!_OS 22.04) using </w:t>
      </w:r>
      <w:r>
        <w:rPr>
          <w:rFonts w:ascii="Times New Roman" w:hAnsi="Times New Roman" w:eastAsia="Times New Roman" w:cs="Times New Roman"/>
          <w:b w:val="0"/>
          <w:bCs w:val="0"/>
          <w:color w:val="000000"/>
          <w:sz w:val="24"/>
          <w:szCs w:val="24"/>
          <w:lang w:val="en-US" w:eastAsia="en-US" w:bidi="ar-SA"/>
        </w:rPr>
        <w:t xml:space="preserve">Python 3.13.5</w:t>
      </w:r>
      <w:r>
        <w:rPr>
          <w:rFonts w:ascii="Times New Roman" w:hAnsi="Times New Roman" w:eastAsia="Times New Roman" w:cs="Times New Roman"/>
          <w:b w:val="0"/>
          <w:bCs w:val="0"/>
          <w:color w:val="000000"/>
          <w:sz w:val="24"/>
          <w:szCs w:val="24"/>
          <w:lang w:val="en-US" w:eastAsia="en-US" w:bidi="ar-SA"/>
        </w:rPr>
        <w:t xml:space="preserve"> within a conda-managed environment. To ensure reproducibility and collaborative development, </w:t>
      </w:r>
      <w:r>
        <w:rPr>
          <w:rFonts w:ascii="Times New Roman" w:hAnsi="Times New Roman" w:eastAsia="Times New Roman" w:cs="Times New Roman"/>
          <w:b w:val="0"/>
          <w:bCs w:val="0"/>
          <w:color w:val="000000"/>
          <w:sz w:val="24"/>
          <w:szCs w:val="24"/>
          <w:lang w:val="en-US" w:eastAsia="en-US" w:bidi="ar-SA"/>
        </w:rPr>
        <w:t xml:space="preserve">Git</w:t>
      </w:r>
      <w:r>
        <w:rPr>
          <w:rFonts w:ascii="Times New Roman" w:hAnsi="Times New Roman" w:eastAsia="Times New Roman" w:cs="Times New Roman"/>
          <w:b w:val="0"/>
          <w:bCs w:val="0"/>
          <w:color w:val="000000"/>
          <w:sz w:val="24"/>
          <w:szCs w:val="24"/>
          <w:lang w:val="en-US" w:eastAsia="en-US" w:bidi="ar-SA"/>
        </w:rPr>
        <w:t xml:space="preserve"> was employed for version control and repositories were hosted on </w:t>
      </w:r>
      <w:r>
        <w:rPr>
          <w:rFonts w:ascii="Times New Roman" w:hAnsi="Times New Roman" w:eastAsia="Times New Roman" w:cs="Times New Roman"/>
          <w:b w:val="0"/>
          <w:bCs w:val="0"/>
          <w:color w:val="000000"/>
          <w:sz w:val="24"/>
          <w:szCs w:val="24"/>
          <w:lang w:val="en-US" w:eastAsia="en-US" w:bidi="ar-SA"/>
        </w:rPr>
        <w:t xml:space="preserve">GitHub</w:t>
      </w:r>
      <w:r>
        <w:rPr>
          <w:rFonts w:ascii="Times New Roman" w:hAnsi="Times New Roman" w:eastAsia="Times New Roman" w:cs="Times New Roman"/>
          <w:b w:val="0"/>
          <w:bCs w:val="0"/>
          <w:color w:val="000000"/>
          <w:sz w:val="24"/>
          <w:szCs w:val="24"/>
          <w:lang w:val="en-US" w:eastAsia="en-US" w:bidi="ar-SA"/>
        </w:rPr>
        <w:t xml:space="preserve">, enabling transparent tracking of code revisions and seamless integration of new features.</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development stack combined a set of widely adopted Python libraries. </w:t>
      </w:r>
      <w:r>
        <w:rPr>
          <w:rFonts w:ascii="Times New Roman" w:hAnsi="Times New Roman" w:eastAsia="Times New Roman" w:cs="Times New Roman"/>
          <w:b w:val="0"/>
          <w:bCs w:val="0"/>
          <w:color w:val="000000"/>
          <w:sz w:val="24"/>
          <w:szCs w:val="24"/>
          <w:lang w:val="en-US" w:eastAsia="en-US" w:bidi="ar-SA"/>
        </w:rPr>
        <w:t xml:space="preserve">Streamlit</w:t>
      </w:r>
      <w:r>
        <w:rPr>
          <w:rFonts w:ascii="Times New Roman" w:hAnsi="Times New Roman" w:eastAsia="Times New Roman" w:cs="Times New Roman"/>
          <w:b w:val="0"/>
          <w:bCs w:val="0"/>
          <w:color w:val="000000"/>
          <w:sz w:val="24"/>
          <w:szCs w:val="24"/>
          <w:lang w:val="en-US" w:eastAsia="en-US" w:bidi="ar-SA"/>
        </w:rPr>
        <w:t xml:space="preserve"> served as the core framework for building the interactive dashboard, while </w:t>
      </w:r>
      <w:r>
        <w:rPr>
          <w:rFonts w:ascii="Times New Roman" w:hAnsi="Times New Roman" w:eastAsia="Times New Roman" w:cs="Times New Roman"/>
          <w:b w:val="0"/>
          <w:bCs w:val="0"/>
          <w:color w:val="000000"/>
          <w:sz w:val="24"/>
          <w:szCs w:val="24"/>
          <w:lang w:val="en-US" w:eastAsia="en-US" w:bidi="ar-SA"/>
        </w:rPr>
        <w:t xml:space="preserve">pandas</w:t>
      </w:r>
      <w:r>
        <w:rPr>
          <w:rFonts w:ascii="Times New Roman" w:hAnsi="Times New Roman" w:eastAsia="Times New Roman" w:cs="Times New Roman"/>
          <w:b w:val="0"/>
          <w:bCs w:val="0"/>
          <w:color w:val="000000"/>
          <w:sz w:val="24"/>
          <w:szCs w:val="24"/>
          <w:lang w:val="en-US" w:eastAsia="en-US" w:bidi="ar-SA"/>
        </w:rPr>
        <w:t xml:space="preserve"> and </w:t>
      </w:r>
      <w:r>
        <w:rPr>
          <w:rFonts w:ascii="Times New Roman" w:hAnsi="Times New Roman" w:eastAsia="Times New Roman" w:cs="Times New Roman"/>
          <w:b w:val="0"/>
          <w:bCs w:val="0"/>
          <w:color w:val="000000"/>
          <w:sz w:val="24"/>
          <w:szCs w:val="24"/>
          <w:lang w:val="en-US" w:eastAsia="en-US" w:bidi="ar-SA"/>
        </w:rPr>
        <w:t xml:space="preserve">numpy</w:t>
      </w:r>
      <w:r>
        <w:rPr>
          <w:rFonts w:ascii="Times New Roman" w:hAnsi="Times New Roman" w:eastAsia="Times New Roman" w:cs="Times New Roman"/>
          <w:b w:val="0"/>
          <w:bCs w:val="0"/>
          <w:color w:val="000000"/>
          <w:sz w:val="24"/>
          <w:szCs w:val="24"/>
          <w:lang w:val="en-US" w:eastAsia="en-US" w:bidi="ar-SA"/>
        </w:rPr>
        <w:t xml:space="preserve"> underpinned data handling and preprocessing. Visualization and reporting were supported by </w:t>
      </w:r>
      <w:r>
        <w:rPr>
          <w:rFonts w:ascii="Times New Roman" w:hAnsi="Times New Roman" w:eastAsia="Times New Roman" w:cs="Times New Roman"/>
          <w:b w:val="0"/>
          <w:bCs w:val="0"/>
          <w:color w:val="000000"/>
          <w:sz w:val="24"/>
          <w:szCs w:val="24"/>
          <w:lang w:val="en-US" w:eastAsia="en-US" w:bidi="ar-SA"/>
        </w:rPr>
        <w:t xml:space="preserve">matplotlib</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seaborn</w:t>
      </w:r>
      <w:r>
        <w:rPr>
          <w:rFonts w:ascii="Times New Roman" w:hAnsi="Times New Roman" w:eastAsia="Times New Roman" w:cs="Times New Roman"/>
          <w:b w:val="0"/>
          <w:bCs w:val="0"/>
          <w:color w:val="000000"/>
          <w:sz w:val="24"/>
          <w:szCs w:val="24"/>
          <w:lang w:val="en-US" w:eastAsia="en-US" w:bidi="ar-SA"/>
        </w:rPr>
        <w:t xml:space="preserve">, and </w:t>
      </w:r>
      <w:r>
        <w:rPr>
          <w:rFonts w:ascii="Times New Roman" w:hAnsi="Times New Roman" w:eastAsia="Times New Roman" w:cs="Times New Roman"/>
          <w:b w:val="0"/>
          <w:bCs w:val="0"/>
          <w:color w:val="000000"/>
          <w:sz w:val="24"/>
          <w:szCs w:val="24"/>
          <w:lang w:val="en-US" w:eastAsia="en-US" w:bidi="ar-SA"/>
        </w:rPr>
        <w:t xml:space="preserve">plotly</w:t>
      </w:r>
      <w:r>
        <w:rPr>
          <w:rFonts w:ascii="Times New Roman" w:hAnsi="Times New Roman" w:eastAsia="Times New Roman" w:cs="Times New Roman"/>
          <w:b w:val="0"/>
          <w:bCs w:val="0"/>
          <w:color w:val="000000"/>
          <w:sz w:val="24"/>
          <w:szCs w:val="24"/>
          <w:lang w:val="en-US" w:eastAsia="en-US" w:bidi="ar-SA"/>
        </w:rPr>
        <w:t xml:space="preserve">, whereas </w:t>
      </w:r>
      <w:r>
        <w:rPr>
          <w:rFonts w:ascii="Times New Roman" w:hAnsi="Times New Roman" w:eastAsia="Times New Roman" w:cs="Times New Roman"/>
          <w:b w:val="0"/>
          <w:bCs w:val="0"/>
          <w:color w:val="000000"/>
          <w:sz w:val="24"/>
          <w:szCs w:val="24"/>
          <w:lang w:val="en-US" w:eastAsia="en-US" w:bidi="ar-SA"/>
        </w:rPr>
        <w:t xml:space="preserve">scikit-learn</w:t>
      </w:r>
      <w:r>
        <w:rPr>
          <w:rFonts w:ascii="Times New Roman" w:hAnsi="Times New Roman" w:eastAsia="Times New Roman" w:cs="Times New Roman"/>
          <w:b w:val="0"/>
          <w:bCs w:val="0"/>
          <w:color w:val="000000"/>
          <w:sz w:val="24"/>
          <w:szCs w:val="24"/>
          <w:lang w:val="en-US" w:eastAsia="en-US" w:bidi="ar-SA"/>
        </w:rPr>
        <w:t xml:space="preserve"> was incorporated for machine learning utilities to support analytical expansion in later iterations. Secure handling of API keys and environment variables was achieved using </w:t>
      </w:r>
      <w:r>
        <w:rPr>
          <w:rFonts w:ascii="Times New Roman" w:hAnsi="Times New Roman" w:eastAsia="Times New Roman" w:cs="Times New Roman"/>
          <w:b w:val="0"/>
          <w:bCs w:val="0"/>
          <w:color w:val="000000"/>
          <w:sz w:val="24"/>
          <w:szCs w:val="24"/>
          <w:lang w:val="en-US" w:eastAsia="en-US" w:bidi="ar-SA"/>
        </w:rPr>
        <w:t xml:space="preserve">python-dotenv</w:t>
      </w:r>
      <w:r>
        <w:rPr>
          <w:rFonts w:ascii="Times New Roman" w:hAnsi="Times New Roman" w:eastAsia="Times New Roman" w:cs="Times New Roman"/>
          <w:b w:val="0"/>
          <w:bCs w:val="0"/>
          <w:color w:val="000000"/>
          <w:sz w:val="24"/>
          <w:szCs w:val="24"/>
          <w:lang w:val="en-US" w:eastAsia="en-US" w:bidi="ar-SA"/>
        </w:rPr>
        <w:t xml:space="preserve">, and the </w:t>
      </w:r>
      <w:r>
        <w:rPr>
          <w:rFonts w:ascii="Times New Roman" w:hAnsi="Times New Roman" w:eastAsia="Times New Roman" w:cs="Times New Roman"/>
          <w:b w:val="0"/>
          <w:bCs w:val="0"/>
          <w:color w:val="000000"/>
          <w:sz w:val="24"/>
          <w:szCs w:val="24"/>
          <w:lang w:val="en-US" w:eastAsia="en-US" w:bidi="ar-SA"/>
        </w:rPr>
        <w:t xml:space="preserve">OpenAI Python client</w:t>
      </w:r>
      <w:r>
        <w:rPr>
          <w:rFonts w:ascii="Times New Roman" w:hAnsi="Times New Roman" w:eastAsia="Times New Roman" w:cs="Times New Roman"/>
          <w:b w:val="0"/>
          <w:bCs w:val="0"/>
          <w:color w:val="000000"/>
          <w:sz w:val="24"/>
          <w:szCs w:val="24"/>
          <w:lang w:val="en-US" w:eastAsia="en-US" w:bidi="ar-SA"/>
        </w:rPr>
        <w:t xml:space="preserve"> enabled integration with the GPT-3.5 API for AI-driven diagnostic reasoning.</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architecture was modular, consisting of </w:t>
      </w:r>
      <w:r>
        <w:rPr>
          <w:rFonts w:ascii="Times New Roman" w:hAnsi="Times New Roman" w:eastAsia="Times New Roman" w:cs="Times New Roman"/>
          <w:b w:val="0"/>
          <w:bCs w:val="0"/>
          <w:color w:val="000000"/>
          <w:sz w:val="24"/>
          <w:szCs w:val="24"/>
          <w:lang w:val="en-US" w:eastAsia="en-US" w:bidi="ar-SA"/>
        </w:rPr>
        <w:t xml:space="preserve">functional dashboard components</w:t>
      </w:r>
      <w:r>
        <w:rPr>
          <w:rFonts w:ascii="Times New Roman" w:hAnsi="Times New Roman" w:eastAsia="Times New Roman" w:cs="Times New Roman"/>
          <w:b w:val="0"/>
          <w:bCs w:val="0"/>
          <w:color w:val="000000"/>
          <w:sz w:val="24"/>
          <w:szCs w:val="24"/>
          <w:lang w:val="en-US" w:eastAsia="en-US" w:bidi="ar-SA"/>
        </w:rPr>
        <w:t xml:space="preserve"> designed for clinical usability and research extensibility:</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About Syndx</w:t>
      </w:r>
      <w:r>
        <w:rPr>
          <w:rStyle w:val="style78"/>
          <w:b/>
          <w:bCs/>
        </w:rPr>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provided an overview of the tool, its scope, and guidance for users.</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Diagnosis</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the core decision support interface where patient demographics, vital signs, symptoms, risk factors, and free-text notes were entered. Outputs from the WHO syndromic algorithms and the AI module were displayed side by side, with an additional AI commentary column to enhance interpretability.</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Case History</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maintained a structured archive of patient-level diagnostic records for follow-up and audit.</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Export</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allowed users to securely download case-level data and diagnostic summaries for integration into external workflows.</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Analysis Dashboard</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provided visualizations and aggregated statistics on syndromes, probable etiologies, and treatment patterns to support surveillance and research.</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Clinical Guidelines</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embedded WHO STI syndromic management protocols and national treatment guidelines for quick reference during consultations.</w:t>
      </w:r>
    </w:p>
    <w:p>
      <w:pPr>
        <w:pStyle w:val="style7"/>
        <w:widowControl w:val="true"/>
        <w:numPr>
          <w:ilvl w:val="0"/>
          <w:numId w:val="2"/>
        </w:numPr>
        <w:shd w:val="clear" w:color="auto" w:fill="auto"/>
        <w:spacing w:after="140" w:before="0" w:line="360" w:lineRule="auto"/>
        <w:ind w:right="0" w:firstLine="0" w:left="-179"/>
        <w:jc w:val="both"/>
        <w:rPr>
          <w:b/>
          <w:bCs/>
        </w:rPr>
      </w:pPr>
      <w:r>
        <w:rPr>
          <w:rStyle w:val="style78"/>
          <w:b/>
          <w:bCs/>
        </w:rPr>
      </w:r>
      <w:r>
        <w:rPr>
          <w:rFonts w:ascii="Times New Roman" w:hAnsi="Times New Roman" w:eastAsia="Times New Roman" w:cs="Times New Roman"/>
          <w:b/>
          <w:bCs/>
          <w:color w:val="000000"/>
          <w:sz w:val="24"/>
          <w:szCs w:val="24"/>
          <w:lang w:val="en-US" w:eastAsia="en-US" w:bidi="ar-SA"/>
        </w:rPr>
        <w:t xml:space="preserve">Training and Education</w:t>
      </w:r>
      <w:r>
        <w:rPr>
          <w:rStyle w:val="style78"/>
          <w:b/>
          <w:bCs/>
        </w:rPr>
      </w:r>
      <w:r>
        <w:rPr>
          <w:rFonts w:ascii="Times New Roman" w:hAnsi="Times New Roman" w:eastAsia="Times New Roman" w:cs="Times New Roman"/>
          <w:b w:val="0"/>
          <w:bCs w:val="0"/>
          <w:color w:val="000000"/>
          <w:sz w:val="24"/>
          <w:szCs w:val="24"/>
          <w:lang w:val="en-US" w:eastAsia="en-US" w:bidi="ar-SA"/>
        </w:rPr>
        <w:t xml:space="preserve">-</w:t>
      </w:r>
      <w:r>
        <w:rPr>
          <w:rFonts w:ascii="Times New Roman" w:hAnsi="Times New Roman" w:eastAsia="Times New Roman" w:cs="Times New Roman"/>
          <w:b w:val="0"/>
          <w:bCs w:val="0"/>
          <w:color w:val="000000"/>
          <w:sz w:val="24"/>
          <w:szCs w:val="24"/>
          <w:lang w:val="en-US" w:eastAsia="en-US" w:bidi="ar-SA"/>
        </w:rPr>
        <w:t xml:space="preserve">offered interactive modules and resources for capacity building among healthcare workers, reinforcing correct STI management practices.</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At the core of the system were two processing modules. The </w:t>
      </w:r>
      <w:r>
        <w:rPr>
          <w:rFonts w:ascii="Times New Roman" w:hAnsi="Times New Roman" w:eastAsia="Times New Roman" w:cs="Times New Roman"/>
          <w:b w:val="0"/>
          <w:bCs w:val="0"/>
          <w:color w:val="000000"/>
          <w:sz w:val="24"/>
          <w:szCs w:val="24"/>
          <w:lang w:val="en-US" w:eastAsia="en-US" w:bidi="ar-SA"/>
        </w:rPr>
        <w:t xml:space="preserve">rule-based module</w:t>
      </w:r>
      <w:r>
        <w:rPr>
          <w:rFonts w:ascii="Times New Roman" w:hAnsi="Times New Roman" w:eastAsia="Times New Roman" w:cs="Times New Roman"/>
          <w:b w:val="0"/>
          <w:bCs w:val="0"/>
          <w:color w:val="000000"/>
          <w:sz w:val="24"/>
          <w:szCs w:val="24"/>
          <w:lang w:val="en-US" w:eastAsia="en-US" w:bidi="ar-SA"/>
        </w:rPr>
        <w:t xml:space="preserve"> encoded WHO syndromic algorithms, mapping symptom clusters to standardized STI syndromes and associated treatment recommendations. In parallel, the </w:t>
      </w:r>
      <w:r>
        <w:rPr>
          <w:rFonts w:ascii="Times New Roman" w:hAnsi="Times New Roman" w:eastAsia="Times New Roman" w:cs="Times New Roman"/>
          <w:b w:val="0"/>
          <w:bCs w:val="0"/>
          <w:color w:val="000000"/>
          <w:sz w:val="24"/>
          <w:szCs w:val="24"/>
          <w:lang w:val="en-US" w:eastAsia="en-US" w:bidi="ar-SA"/>
        </w:rPr>
        <w:t xml:space="preserve">AI module</w:t>
      </w:r>
      <w:r>
        <w:rPr>
          <w:rFonts w:ascii="Times New Roman" w:hAnsi="Times New Roman" w:eastAsia="Times New Roman" w:cs="Times New Roman"/>
          <w:b w:val="0"/>
          <w:bCs w:val="0"/>
          <w:color w:val="000000"/>
          <w:sz w:val="24"/>
          <w:szCs w:val="24"/>
          <w:lang w:val="en-US" w:eastAsia="en-US" w:bidi="ar-SA"/>
        </w:rPr>
        <w:t xml:space="preserve"> processed the same structured inputs through the OpenAI GPT-3.5 API, generating contextual reasoning such as risk assessment, severity highlighting, and follow-up recommendations while remaining restricted to the STI domain.</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By combining WHO-standard outputs with AI-augmented reasoning, and embedding them into a dashboard that integrates diagnostic, analytical, educational, and guideline components, the Syndx architecture ensured both </w:t>
      </w:r>
      <w:r>
        <w:rPr>
          <w:rFonts w:ascii="Times New Roman" w:hAnsi="Times New Roman" w:eastAsia="Times New Roman" w:cs="Times New Roman"/>
          <w:b w:val="0"/>
          <w:bCs w:val="0"/>
          <w:color w:val="000000"/>
          <w:sz w:val="24"/>
          <w:szCs w:val="24"/>
          <w:lang w:val="en-US" w:eastAsia="en-US" w:bidi="ar-SA"/>
        </w:rPr>
        <w:t xml:space="preserve">clinical transparency</w:t>
      </w:r>
      <w:r>
        <w:rPr>
          <w:rFonts w:ascii="Times New Roman" w:hAnsi="Times New Roman" w:eastAsia="Times New Roman" w:cs="Times New Roman"/>
          <w:b w:val="0"/>
          <w:bCs w:val="0"/>
          <w:color w:val="000000"/>
          <w:sz w:val="24"/>
          <w:szCs w:val="24"/>
          <w:lang w:val="en-US" w:eastAsia="en-US" w:bidi="ar-SA"/>
        </w:rPr>
        <w:t xml:space="preserve"> and </w:t>
      </w:r>
      <w:r>
        <w:rPr>
          <w:rFonts w:ascii="Times New Roman" w:hAnsi="Times New Roman" w:eastAsia="Times New Roman" w:cs="Times New Roman"/>
          <w:b w:val="0"/>
          <w:bCs w:val="0"/>
          <w:color w:val="000000"/>
          <w:sz w:val="24"/>
          <w:szCs w:val="24"/>
          <w:lang w:val="en-US" w:eastAsia="en-US" w:bidi="ar-SA"/>
        </w:rPr>
        <w:t xml:space="preserve">scalability</w:t>
      </w:r>
      <w:r>
        <w:rPr>
          <w:rFonts w:ascii="Times New Roman" w:hAnsi="Times New Roman" w:eastAsia="Times New Roman" w:cs="Times New Roman"/>
          <w:b w:val="0"/>
          <w:bCs w:val="0"/>
          <w:color w:val="000000"/>
          <w:sz w:val="24"/>
          <w:szCs w:val="24"/>
          <w:lang w:val="en-US" w:eastAsia="en-US" w:bidi="ar-SA"/>
        </w:rPr>
        <w:t xml:space="preserve"> for broader public health applications </w:t>
      </w:r>
      <w:r>
        <w:rPr>
          <w:rFonts w:ascii="Times New Roman" w:hAnsi="Times New Roman" w:eastAsia="Times New Roman" w:cs="Times New Roman"/>
          <w:b/>
          <w:bCs/>
          <w:color w:val="000000"/>
          <w:sz w:val="24"/>
          <w:szCs w:val="24"/>
          <w:lang w:val="en-US" w:eastAsia="en-US" w:bidi="ar-SA"/>
        </w:rPr>
        <w:t xml:space="preserve">(Figure-1)</w:t>
      </w:r>
      <w:r>
        <w:rPr>
          <w:rFonts w:ascii="Times New Roman" w:hAnsi="Times New Roman" w:eastAsia="Times New Roman" w:cs="Times New Roman"/>
          <w:b w:val="0"/>
          <w:bCs w:val="0"/>
          <w:color w:val="000000"/>
          <w:sz w:val="24"/>
          <w:szCs w:val="24"/>
          <w:lang w:val="en-US" w:eastAsia="en-US" w:bidi="ar-SA"/>
        </w:rPr>
        <w:t xml:space="preserve">.</w:t>
      </w:r>
    </w:p>
    <w:p>
      <w:pPr>
        <w:pStyle w:val="style5"/>
        <w:spacing w:line="360" w:lineRule="auto"/>
        <w:ind w:right="0" w:firstLine="0" w:left="0"/>
        <w:jc w:val="left"/>
      </w:pPr>
      <w:r>
        <mc:AlternateContent>
          <mc:Choice Requires="wpg">
            <w:drawing>
              <wp:inline xmlns:wp="http://schemas.openxmlformats.org/drawingml/2006/wordprocessingDrawing" distT="0" distB="0" distL="0" distR="0">
                <wp:extent cx="6140561" cy="426924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r/>
                      </pic:nvPicPr>
                      <pic:blipFill rotWithShape="0">
                        <a:blip r:embed="rId7">
                          <a:alphaModFix amt="100000"/>
                          <a:lum bright="0" contrast="0"/>
                        </a:blip>
                        <a:stretch>
                          <a:fillRect/>
                        </a:stretch>
                      </pic:blipFill>
                      <pic:spPr>
                        <a:xfrm flipH="0" flipV="0">
                          <a:off x="0" y="0"/>
                          <a:ext cx="6140561" cy="4269242"/>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83.51pt;height:336.16pt;mso-wrap-distance-left:0.00pt;mso-wrap-distance-top:0.00pt;mso-wrap-distance-right:0.00pt;mso-wrap-distance-bottom:0.00pt;z-index:1;" stroked="false">
                <v:imagedata r:id="rId7" o:title=""/>
                <o:lock v:ext="edit" rotation="t"/>
              </v:shape>
            </w:pict>
          </mc:Fallback>
        </mc:AlternateContent>
      </w:r>
      <w:r>
        <w:rPr>
          <w:rFonts w:ascii="Times New Roman" w:hAnsi="Times New Roman" w:eastAsia="Times New Roman" w:cs="Times New Roman"/>
          <w:color w:val="000000"/>
          <w:sz w:val="24"/>
          <w:szCs w:val="24"/>
        </w:rPr>
        <w:t xml:space="preserve">Figure 1. </w:t>
      </w:r>
      <w:r>
        <w:rPr>
          <w:rFonts w:ascii="Times New Roman" w:hAnsi="Times New Roman" w:eastAsia="Times New Roman" w:cs="Times New Roman"/>
          <w:b w:val="0"/>
          <w:bCs w:val="0"/>
          <w:color w:val="000000"/>
          <w:sz w:val="24"/>
          <w:szCs w:val="24"/>
        </w:rPr>
        <w:t xml:space="preserve">Syndx Dashboard-Diagnosis Portal</w:t>
      </w:r>
    </w:p>
    <w:p>
      <w:pPr>
        <w:pStyle w:val="style5"/>
        <w:spacing w:line="360" w:lineRule="auto"/>
        <w:ind w:right="0" w:firstLine="0" w:left="0"/>
        <w:jc w:val="both"/>
      </w:pPr>
      <w:r>
        <w:rPr>
          <w:rFonts w:ascii="Times New Roman" w:hAnsi="Times New Roman" w:eastAsia="Times New Roman" w:cs="Times New Roman"/>
          <w:b w:val="0"/>
          <w:bCs w:val="0"/>
          <w:color w:val="000000"/>
          <w:sz w:val="24"/>
          <w:szCs w:val="24"/>
        </w:rPr>
        <w:t xml:space="preserve">The interactive diagnosis portal of the Syndx dashboard, showing patient demographics, vitals, symptoms, risk factors, and clinical notes input fields. This interface represents one of the core modules within the system architecture, integrating WHO syndromic algorithms and AI-based reasoning outputs for decision support.</w:t>
      </w:r>
    </w:p>
    <w:p>
      <w:pPr>
        <w:pStyle w:val="style5"/>
        <w:spacing w:line="360" w:lineRule="auto"/>
        <w:ind w:right="0" w:firstLine="0" w:left="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Patient Input Simulation and Rule-Based Diagnosis Mapping</w:t>
      </w:r>
    </w:p>
    <w:p>
      <w:pPr>
        <w:pStyle w:val="style5"/>
        <w:spacing w:line="360" w:lineRule="auto"/>
        <w:jc w:val="both"/>
      </w:pPr>
      <w:r>
        <w:rPr>
          <w:rFonts w:ascii="Times New Roman" w:hAnsi="Times New Roman" w:eastAsia="Times New Roman" w:cs="Times New Roman"/>
          <w:b w:val="0"/>
          <w:bCs w:val="0"/>
          <w:color w:val="000000"/>
          <w:sz w:val="24"/>
          <w:szCs w:val="24"/>
        </w:rPr>
        <w:t xml:space="preserve">To evaluate the dashboard, a set of synthetic patient cases was generated. Each case included demographic information such as age, sex, pregnancy, and HIV status; clinical parameters including temperature, blood pressure, heart rate, and pain score; and symptom clusters that directly aligned with WHO guideline definitions, such as vaginal discharge, urethral discharge, genital ulceration, inguinal swelling, or lower abdominal pain. Risk factors such as multiple sexual partners, unprotected sex, recent antibiotic use, or being under 25 years of age were also included, together with short free-text clinical notes. This approach allowed the testing of diverse scenarios </w:t>
      </w:r>
      <w:r>
        <w:rPr>
          <w:rFonts w:ascii="Times New Roman" w:hAnsi="Times New Roman" w:eastAsia="Times New Roman" w:cs="Times New Roman"/>
          <w:b w:val="0"/>
          <w:bCs w:val="0"/>
          <w:color w:val="000000"/>
          <w:sz w:val="24"/>
          <w:szCs w:val="24"/>
        </w:rPr>
        <w:t xml:space="preserve">that mirror routine presentations in primary healthcare, while maintaining ethical safeguards by avoiding the use of real patient data. The WHO module applied deterministic rules that reflect the guideline</w:t>
      </w:r>
      <w:r>
        <w:rPr>
          <w:rFonts w:ascii="Times New Roman" w:hAnsi="Times New Roman" w:eastAsia="Times New Roman" w:cs="Times New Roman"/>
          <w:b w:val="0"/>
          <w:bCs w:val="0"/>
          <w:color w:val="000000"/>
          <w:sz w:val="24"/>
          <w:szCs w:val="24"/>
        </w:rPr>
        <w:t xml:space="preserve">(3)</w:t>
      </w:r>
      <w:r>
        <w:rPr>
          <w:rFonts w:ascii="Times New Roman" w:hAnsi="Times New Roman" w:eastAsia="Times New Roman" w:cs="Times New Roman"/>
          <w:b w:val="0"/>
          <w:bCs w:val="0"/>
          <w:color w:val="000000"/>
          <w:sz w:val="24"/>
          <w:szCs w:val="24"/>
        </w:rPr>
        <w:t xml:space="preserve">.</w:t>
      </w:r>
    </w:p>
    <w:p>
      <w:pPr>
        <w:pStyle w:val="style13"/>
        <w:numPr>
          <w:ilvl w:val="0"/>
          <w:numId w:val="0"/>
        </w:numPr>
        <w:spacing w:line="360" w:lineRule="auto"/>
        <w:ind w:right="0" w:firstLine="0" w:left="0"/>
        <w:jc w:val="both"/>
        <w:outlineLvl w:val="3"/>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AI Reasoning Integration</w:t>
      </w:r>
    </w:p>
    <w:p>
      <w:pPr>
        <w:pStyle w:val="style5"/>
        <w:spacing w:line="360" w:lineRule="auto"/>
        <w:ind w:right="0" w:firstLine="0" w:left="0"/>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The AI module was designed not to replace but to complement the WHO algorithm. It generated a parallel diagnostic impression, offering both probable and possible causes of the syndrome, proposed treatment options aligned with WHO standards, and additional interpretive commentary. The AI was explicitly instructed to exclude diagnoses outside the STI domain-for example, respiratory or gastrointestinal infections-and to reinforce WHO regimens as the baseline. When aligned with WHO, the AI outputs served to validate the rule-based result. When broader or more detailed, they provided context, such as highlighting the possibility of co-infections or emphasizing risk factors like pregnancy or HIV status.</w:t>
      </w:r>
    </w:p>
    <w:p>
      <w:pPr>
        <w:pStyle w:val="style13"/>
        <w:numPr>
          <w:ilvl w:val="0"/>
          <w:numId w:val="0"/>
        </w:numPr>
        <w:spacing w:line="360" w:lineRule="auto"/>
        <w:ind w:right="0" w:firstLine="0" w:left="0"/>
        <w:jc w:val="both"/>
        <w:outlineLvl w:val="3"/>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Verification with Synthetic Cases</w:t>
      </w:r>
    </w:p>
    <w:p>
      <w:pPr>
        <w:pStyle w:val="style5"/>
        <w:spacing w:line="360" w:lineRule="auto"/>
        <w:ind w:right="0" w:firstLine="0" w:left="0"/>
        <w:jc w:val="both"/>
      </w:pPr>
      <w:r>
        <w:rPr>
          <w:rFonts w:ascii="Times New Roman" w:hAnsi="Times New Roman" w:eastAsia="Times New Roman" w:cs="Times New Roman"/>
          <w:b w:val="0"/>
          <w:bCs w:val="0"/>
          <w:color w:val="000000"/>
          <w:sz w:val="24"/>
          <w:szCs w:val="24"/>
        </w:rPr>
        <w:t xml:space="preserve">The prototype was tested using 25 synthetic cases </w:t>
      </w:r>
      <w:r>
        <w:rPr>
          <w:rFonts w:ascii="Times New Roman" w:hAnsi="Times New Roman" w:eastAsia="Times New Roman" w:cs="Times New Roman"/>
          <w:b/>
          <w:bCs/>
          <w:color w:val="000000"/>
          <w:sz w:val="24"/>
          <w:szCs w:val="24"/>
        </w:rPr>
        <w:t xml:space="preserve">(Supplementary Table-1)</w:t>
      </w:r>
      <w:r>
        <w:rPr>
          <w:rFonts w:ascii="Times New Roman" w:hAnsi="Times New Roman" w:eastAsia="Times New Roman" w:cs="Times New Roman"/>
          <w:b w:val="0"/>
          <w:bCs w:val="0"/>
          <w:color w:val="000000"/>
          <w:sz w:val="24"/>
          <w:szCs w:val="24"/>
        </w:rPr>
        <w:t xml:space="preserve">, which were entered sequentially into the dashboard. Each case was processed through both the WHO rule-based module and the AI module. Outputs were compared for concordance and discrepancies, with attention to instances where the AI offered broader syndromic categories or diverged from the WHO standard. Mismatches such as pelvic inflammatory disease being classified as vaginal discharge syndrome, or inguinal bubo syndrome being categorized under genital ulcer disease, were carefully documented to highlight potential risks and opportunities for refinement. Safety was assessed by ensuring that no irrelevant AI diagnoses were generated and that all outputs remained within the STI scope. </w:t>
      </w:r>
    </w:p>
    <w:p>
      <w:pPr>
        <w:pStyle w:val="style13"/>
        <w:numPr>
          <w:ilvl w:val="0"/>
          <w:numId w:val="0"/>
        </w:numPr>
        <w:spacing w:line="360" w:lineRule="auto"/>
        <w:ind w:right="0" w:firstLine="0" w:left="0"/>
        <w:jc w:val="both"/>
        <w:outlineLvl w:val="3"/>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Deployment</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Following internal verification and testing in the development environment, the Syndx dashboard was deployed on </w:t>
      </w:r>
      <w:r>
        <w:rPr>
          <w:rFonts w:ascii="Times New Roman" w:hAnsi="Times New Roman" w:eastAsia="Times New Roman" w:cs="Times New Roman"/>
          <w:b w:val="0"/>
          <w:bCs w:val="0"/>
          <w:color w:val="000000"/>
          <w:sz w:val="24"/>
          <w:szCs w:val="24"/>
          <w:lang w:val="en-US" w:eastAsia="en-US" w:bidi="ar-SA"/>
        </w:rPr>
        <w:t xml:space="preserve">Streamlit Cloud</w:t>
      </w:r>
      <w:r>
        <w:rPr>
          <w:rFonts w:ascii="Times New Roman" w:hAnsi="Times New Roman" w:eastAsia="Times New Roman" w:cs="Times New Roman"/>
          <w:b w:val="0"/>
          <w:bCs w:val="0"/>
          <w:color w:val="000000"/>
          <w:sz w:val="24"/>
          <w:szCs w:val="24"/>
          <w:lang w:val="en-US" w:eastAsia="en-US" w:bidi="ar-SA"/>
        </w:rPr>
        <w:t xml:space="preserve"> to provide remote, browser-based access without requiring local installation. Deployment was managed directly from the project’s GitHub repository, with automated builds triggered on each push to the main branch. This ensured that updates to the source code, including modifications to diagnostic logic, interface elements, or integration routines, were reflected in real-time on the live application.</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Streamlit Cloud environment replicated the conda-based configuration used in local development. Key dependencies, including </w:t>
      </w:r>
      <w:r>
        <w:rPr>
          <w:rFonts w:ascii="Times New Roman" w:hAnsi="Times New Roman" w:eastAsia="Times New Roman" w:cs="Times New Roman"/>
          <w:b w:val="0"/>
          <w:bCs w:val="0"/>
          <w:color w:val="000000"/>
          <w:sz w:val="24"/>
          <w:szCs w:val="24"/>
          <w:lang w:val="en-US" w:eastAsia="en-US" w:bidi="ar-SA"/>
        </w:rPr>
        <w:t xml:space="preserve">Streamlit</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pandas</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numpy</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scikit-learn</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matplotlib</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seaborn</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plotly</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python-dotenv</w:t>
      </w:r>
      <w:r>
        <w:rPr>
          <w:rFonts w:ascii="Times New Roman" w:hAnsi="Times New Roman" w:eastAsia="Times New Roman" w:cs="Times New Roman"/>
          <w:b w:val="0"/>
          <w:bCs w:val="0"/>
          <w:color w:val="000000"/>
          <w:sz w:val="24"/>
          <w:szCs w:val="24"/>
          <w:lang w:val="en-US" w:eastAsia="en-US" w:bidi="ar-SA"/>
        </w:rPr>
        <w:t xml:space="preserve">, and the </w:t>
      </w:r>
      <w:r>
        <w:rPr>
          <w:rFonts w:ascii="Times New Roman" w:hAnsi="Times New Roman" w:eastAsia="Times New Roman" w:cs="Times New Roman"/>
          <w:b w:val="0"/>
          <w:bCs w:val="0"/>
          <w:color w:val="000000"/>
          <w:sz w:val="24"/>
          <w:szCs w:val="24"/>
          <w:lang w:val="en-US" w:eastAsia="en-US" w:bidi="ar-SA"/>
        </w:rPr>
        <w:t xml:space="preserve">OpenAI Python client</w:t>
      </w:r>
      <w:r>
        <w:rPr>
          <w:rFonts w:ascii="Times New Roman" w:hAnsi="Times New Roman" w:eastAsia="Times New Roman" w:cs="Times New Roman"/>
          <w:b w:val="0"/>
          <w:bCs w:val="0"/>
          <w:color w:val="000000"/>
          <w:sz w:val="24"/>
          <w:szCs w:val="24"/>
          <w:lang w:val="en-US" w:eastAsia="en-US" w:bidi="ar-SA"/>
        </w:rPr>
        <w:t xml:space="preserve">, were specified in a </w:t>
      </w:r>
      <w:r>
        <w:rPr>
          <w:rFonts w:ascii="Times New Roman" w:hAnsi="Times New Roman" w:eastAsia="Times New Roman" w:cs="Times New Roman"/>
          <w:b w:val="0"/>
          <w:bCs w:val="0"/>
          <w:color w:val="000000"/>
          <w:sz w:val="24"/>
          <w:szCs w:val="24"/>
          <w:lang w:val="en-US" w:eastAsia="en-US" w:bidi="ar-SA"/>
        </w:rPr>
        <w:t xml:space="preserve">requirements.txt</w:t>
      </w:r>
      <w:r>
        <w:rPr>
          <w:rFonts w:ascii="Times New Roman" w:hAnsi="Times New Roman" w:eastAsia="Times New Roman" w:cs="Times New Roman"/>
          <w:b w:val="0"/>
          <w:bCs w:val="0"/>
          <w:color w:val="000000"/>
          <w:sz w:val="24"/>
          <w:szCs w:val="24"/>
          <w:lang w:val="en-US" w:eastAsia="en-US" w:bidi="ar-SA"/>
        </w:rPr>
        <w:t xml:space="preserve"> file to guarantee consistency and reproducibility across local and deployed instances.</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deployment pipeline incorporated secure handling of API keys and environment variables through Streamlit Cloud’s </w:t>
      </w:r>
      <w:r>
        <w:rPr>
          <w:rFonts w:ascii="Times New Roman" w:hAnsi="Times New Roman" w:eastAsia="Times New Roman" w:cs="Times New Roman"/>
          <w:b w:val="0"/>
          <w:bCs w:val="0"/>
          <w:color w:val="000000"/>
          <w:sz w:val="24"/>
          <w:szCs w:val="24"/>
          <w:lang w:val="en-US" w:eastAsia="en-US" w:bidi="ar-SA"/>
        </w:rPr>
        <w:t xml:space="preserve">Secrets Management</w:t>
      </w:r>
      <w:r>
        <w:rPr>
          <w:rFonts w:ascii="Times New Roman" w:hAnsi="Times New Roman" w:eastAsia="Times New Roman" w:cs="Times New Roman"/>
          <w:b w:val="0"/>
          <w:bCs w:val="0"/>
          <w:color w:val="000000"/>
          <w:sz w:val="24"/>
          <w:szCs w:val="24"/>
          <w:lang w:val="en-US" w:eastAsia="en-US" w:bidi="ar-SA"/>
        </w:rPr>
        <w:t xml:space="preserve"> system. This safeguarded sensitive information, including the OpenAI API key used for AI integration and SMS gateway configurations. Once deployed, the dashboard became accessible via a public URL, enabling use on both desktop and mobile browsers: </w:t>
      </w:r>
      <w:hyperlink r:id="rId8">
        <w:r>
          <w:rPr>
            <w:rStyle w:val="style75"/>
          </w:rPr>
        </w:r>
        <w:r>
          <w:rPr>
            <w:rStyle w:val="style75"/>
          </w:rPr>
          <w:t xml:space="preserve">https://syndx-dashboard.streamlit.app/</w:t>
        </w:r>
      </w:hyperlink>
      <w:r>
        <w:rPr>
          <w:rFonts w:ascii="Times New Roman" w:hAnsi="Times New Roman" w:eastAsia="Times New Roman" w:cs="Times New Roman"/>
          <w:b w:val="0"/>
          <w:bCs w:val="0"/>
          <w:color w:val="000000"/>
          <w:sz w:val="24"/>
          <w:szCs w:val="24"/>
          <w:lang w:val="en-US" w:eastAsia="en-US" w:bidi="ar-SA"/>
        </w:rPr>
        <w:t xml:space="preserve">.</w:t>
      </w:r>
    </w:p>
    <w:p>
      <w:pPr>
        <w:pStyle w:val="style11"/>
        <w:numPr>
          <w:ilvl w:val="0"/>
          <w:numId w:val="0"/>
        </w:numPr>
        <w:spacing w:line="360" w:lineRule="auto"/>
        <w:ind w:right="0" w:firstLine="0" w:left="0"/>
        <w:jc w:val="both"/>
        <w:outlineLvl w:val="1"/>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Results</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System Development and Functionality</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SynDx prototype was successfully implemented as a browser-based dashboard that integrates WHO syndromic management guidelines with an AI reasoning layer. The interface enabled clinicians to enter structured demographic, clinical, and risk-factor information and to obtain both WHO rule-based outputs and AI-generated interpretations in real time. For each patient case, the system presented syndromic classifications, recommended treatments and triage levels, while also generating a concise AI commentary highlighting agreements, discrepancies, or contextual nuances. The integration of WHO and AI outputs within a single comparison table ensured that users could easily recognize the WHO standard while simultaneously benefiting from AI-supported insights.</w:t>
      </w:r>
    </w:p>
    <w:p>
      <w:pPr>
        <w:pStyle w:val="style5"/>
        <w:spacing w:line="360" w:lineRule="auto"/>
        <w:ind w:right="0" w:firstLine="0" w:left="0"/>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 xml:space="preserve">SynDx is a lightweight, AI-enhanced digital tool designed to support syndromic management of STIs at the </w:t>
      </w:r>
      <w:r>
        <w:rPr>
          <w:rFonts w:ascii="Times New Roman" w:hAnsi="Times New Roman" w:eastAsia="Times New Roman" w:cs="Times New Roman"/>
          <w:color w:val="000000"/>
          <w:sz w:val="24"/>
          <w:szCs w:val="24"/>
          <w:lang w:val="en-US"/>
        </w:rPr>
        <w:t xml:space="preserve">PHC</w:t>
      </w:r>
      <w:r>
        <w:rPr>
          <w:rFonts w:ascii="Times New Roman" w:hAnsi="Times New Roman" w:eastAsia="Times New Roman" w:cs="Times New Roman"/>
          <w:color w:val="000000"/>
          <w:sz w:val="24"/>
          <w:szCs w:val="24"/>
          <w:lang w:val="en-US"/>
        </w:rPr>
        <w:t xml:space="preserve"> level. The system integrates WHO’s rule-based algorithms with GPT-driven reasoning, allowing clinicians to input patient demographics, symptoms, and risk factors to generate both guideline-based and AI-refined diagnoses with interpretive commentary. Key functionalities include case history tracking, export of patient data in CSV format for monitoring and research, an embedded analytics dashboard to visualize diagnostic patterns, direct access to clinical guidelines for quick reference, and a training mode that uses synthetic data for health worker capacity building. By combining real-time diagnosis, surveillance, and education, SynDx func</w:t>
        <w:t xml:space="preserve">tions as both a clinical decision support system and a professional training platform, bridging global standards with AI-enhanced insights </w:t>
      </w:r>
      <w:r>
        <w:rPr>
          <w:rFonts w:ascii="Times New Roman" w:hAnsi="Times New Roman" w:eastAsia="Times New Roman" w:cs="Times New Roman"/>
          <w:b/>
          <w:bCs/>
          <w:color w:val="000000"/>
          <w:sz w:val="24"/>
          <w:szCs w:val="24"/>
          <w:lang w:val="en-US"/>
        </w:rPr>
        <w:t xml:space="preserve">(Figure-2)</w:t>
      </w:r>
      <w:r>
        <w:rPr>
          <w:rFonts w:ascii="Times New Roman" w:hAnsi="Times New Roman" w:eastAsia="Times New Roman" w:cs="Times New Roman"/>
          <w:color w:val="000000"/>
          <w:sz w:val="24"/>
          <w:szCs w:val="24"/>
          <w:lang w:val="en-US"/>
        </w:rPr>
        <w:t xml:space="preserve">.</w:t>
      </w:r>
    </w:p>
    <w:p>
      <w:pPr>
        <w:pStyle w:val="style5"/>
        <w:spacing w:line="360" w:lineRule="auto"/>
        <w:ind w:right="0" w:firstLine="0" w:left="0"/>
        <w:jc w:val="both"/>
      </w:pPr>
      <w:r>
        <mc:AlternateContent>
          <mc:Choice Requires="wpg">
            <w:drawing>
              <wp:inline xmlns:wp="http://schemas.openxmlformats.org/drawingml/2006/wordprocessingDrawing" distT="0" distB="0" distL="0" distR="0">
                <wp:extent cx="6050127" cy="3472891"/>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pic:cNvPicPr>
                        <pic:nvPr/>
                      </pic:nvPicPr>
                      <pic:blipFill rotWithShape="0">
                        <a:blip r:embed="rId9">
                          <a:alphaModFix amt="100000"/>
                          <a:lum bright="0" contrast="0"/>
                        </a:blip>
                        <a:stretch>
                          <a:fillRect/>
                        </a:stretch>
                      </pic:blipFill>
                      <pic:spPr>
                        <a:xfrm flipH="0" flipV="0">
                          <a:off x="0" y="0"/>
                          <a:ext cx="6050127" cy="3472891"/>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76.39pt;height:273.46pt;mso-wrap-distance-left:0.00pt;mso-wrap-distance-top:0.00pt;mso-wrap-distance-right:0.00pt;mso-wrap-distance-bottom:0.00pt;z-index:1;" stroked="false">
                <v:imagedata r:id="rId9" o:title=""/>
                <o:lock v:ext="edit" rotation="t"/>
              </v:shape>
            </w:pict>
          </mc:Fallback>
        </mc:AlternateContent>
      </w:r>
    </w:p>
    <w:p>
      <w:pPr>
        <w:pStyle w:val="style5"/>
        <w:spacing w:line="360" w:lineRule="auto"/>
        <w:ind w:right="0" w:firstLine="0"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0000"/>
          <w:sz w:val="24"/>
          <w:szCs w:val="24"/>
          <w:lang w:val="en-US" w:eastAsia="en-US" w:bidi="ar-SA"/>
        </w:rPr>
        <w:t xml:space="preserve">Figure-2</w:t>
      </w:r>
      <w:r>
        <w:rPr>
          <w:rFonts w:ascii="Times New Roman" w:hAnsi="Times New Roman" w:eastAsia="Times New Roman" w:cs="Times New Roman"/>
          <w:color w:val="000000"/>
          <w:sz w:val="24"/>
          <w:szCs w:val="24"/>
          <w:lang w:val="en-US" w:eastAsia="en-US" w:bidi="ar-SA"/>
        </w:rPr>
        <w:t xml:space="preserve">: Syndx Dashboard-Integrated Triage, WHO vs AI Outputs with Commentary, and Automated SMS Generation</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Validation of Syndromic Agreement</w:t>
      </w:r>
    </w:p>
    <w:p>
      <w:pPr>
        <w:pStyle w:val="style5"/>
        <w:spacing w:line="360" w:lineRule="auto"/>
        <w:ind w:right="0" w:firstLine="0" w:left="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SynDx was evaluated using 25 synthetic patient cases representing common STI presentations: epididymo-orchitis (n=5), inguinal bubo syndrome (n=6), urethral discharge syndrome (n=7), vaginal discharge syndrome (n=5), pelvic inflammatory disease (n=1), and genital ulcer disease (n=1). The dataset included </w:t>
      </w:r>
      <w:r>
        <w:rPr>
          <w:rFonts w:ascii="Times New Roman" w:hAnsi="Times New Roman" w:eastAsia="Times New Roman" w:cs="Times New Roman"/>
          <w:color w:val="000000"/>
          <w:sz w:val="24"/>
        </w:rPr>
        <w:t xml:space="preserve">ten</w:t>
      </w:r>
      <w:r>
        <w:rPr>
          <w:rFonts w:ascii="Times New Roman" w:hAnsi="Times New Roman" w:eastAsia="Times New Roman" w:cs="Times New Roman"/>
          <w:color w:val="000000"/>
          <w:sz w:val="24"/>
        </w:rPr>
        <w:t xml:space="preserve"> females and </w:t>
      </w:r>
      <w:r>
        <w:rPr>
          <w:rFonts w:ascii="Times New Roman" w:hAnsi="Times New Roman" w:eastAsia="Times New Roman" w:cs="Times New Roman"/>
          <w:color w:val="000000"/>
          <w:sz w:val="24"/>
        </w:rPr>
        <w:t xml:space="preserve">fifteen</w:t>
      </w:r>
      <w:r>
        <w:rPr>
          <w:rFonts w:ascii="Times New Roman" w:hAnsi="Times New Roman" w:eastAsia="Times New Roman" w:cs="Times New Roman"/>
          <w:color w:val="000000"/>
          <w:sz w:val="24"/>
        </w:rPr>
        <w:t xml:space="preserve"> males, aged 16-51 years. HIV status was varied, with </w:t>
      </w:r>
      <w:r>
        <w:rPr>
          <w:rFonts w:ascii="Times New Roman" w:hAnsi="Times New Roman" w:eastAsia="Times New Roman" w:cs="Times New Roman"/>
          <w:color w:val="000000"/>
          <w:sz w:val="24"/>
        </w:rPr>
        <w:t xml:space="preserve">ten </w:t>
      </w:r>
      <w:r>
        <w:rPr>
          <w:rFonts w:ascii="Times New Roman" w:hAnsi="Times New Roman" w:eastAsia="Times New Roman" w:cs="Times New Roman"/>
          <w:color w:val="000000"/>
          <w:sz w:val="24"/>
        </w:rPr>
        <w:t xml:space="preserve"> </w:t>
        <w:t xml:space="preserve">HIV-negative, </w:t>
      </w:r>
      <w:r>
        <w:rPr>
          <w:rFonts w:ascii="Times New Roman" w:hAnsi="Times New Roman" w:eastAsia="Times New Roman" w:cs="Times New Roman"/>
          <w:color w:val="000000"/>
          <w:sz w:val="24"/>
        </w:rPr>
        <w:t xml:space="preserve">eight </w:t>
      </w:r>
      <w:r>
        <w:rPr>
          <w:rFonts w:ascii="Times New Roman" w:hAnsi="Times New Roman" w:eastAsia="Times New Roman" w:cs="Times New Roman"/>
          <w:color w:val="000000"/>
          <w:sz w:val="24"/>
        </w:rPr>
        <w:t xml:space="preserve">HIV-positive, and </w:t>
      </w:r>
      <w:r>
        <w:rPr>
          <w:rFonts w:ascii="Times New Roman" w:hAnsi="Times New Roman" w:eastAsia="Times New Roman" w:cs="Times New Roman"/>
          <w:color w:val="000000"/>
          <w:sz w:val="24"/>
        </w:rPr>
        <w:t xml:space="preserve">seven</w:t>
      </w:r>
      <w:r>
        <w:rPr>
          <w:rFonts w:ascii="Times New Roman" w:hAnsi="Times New Roman" w:eastAsia="Times New Roman" w:cs="Times New Roman"/>
          <w:color w:val="000000"/>
          <w:sz w:val="24"/>
        </w:rPr>
        <w:t xml:space="preserve"> unknown cases. Risk factors included recent new partners, multiple concurrent partners, unprotected sex, and exposure to a known partner with an STI. While such behavioral variables are not incorporated in WHO syndromic management, they were processed by the AI module, allowing Syndx to generate individualized reasoning alongside WHO outputs. After refining an initial decision-rule gap, SynDx reproduced all WHO syndromic categories</w:t>
      </w:r>
      <w:r>
        <w:rPr>
          <w:rFonts w:ascii="Times New Roman" w:hAnsi="Times New Roman" w:eastAsia="Times New Roman" w:cs="Times New Roman"/>
          <w:color w:val="000000"/>
          <w:sz w:val="24"/>
          <w:szCs w:val="22"/>
          <w:lang w:val="en-US" w:eastAsia="en-US" w:bidi="ar-SA"/>
        </w:rPr>
        <w:t xml:space="preserve"> with</w:t>
      </w:r>
      <w:r>
        <w:rPr>
          <w:rFonts w:ascii="Times New Roman" w:hAnsi="Times New Roman" w:eastAsia="Times New Roman" w:cs="Times New Roman"/>
          <w:b w:val="0"/>
          <w:bCs w:val="0"/>
          <w:color w:val="000000"/>
          <w:sz w:val="24"/>
          <w:szCs w:val="22"/>
          <w:lang w:val="en-US" w:eastAsia="en-US" w:bidi="ar-SA"/>
        </w:rPr>
        <w:t xml:space="preserve"> </w:t>
      </w:r>
      <w:r>
        <w:rPr>
          <w:rStyle w:val="style78"/>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szCs w:val="22"/>
          <w:lang w:val="en-US" w:eastAsia="en-US" w:bidi="ar-SA"/>
        </w:rPr>
        <w:t xml:space="preserve">100% concordance</w:t>
      </w:r>
      <w:r>
        <w:rPr>
          <w:rFonts w:ascii="Times New Roman" w:hAnsi="Times New Roman" w:eastAsia="Times New Roman" w:cs="Times New Roman"/>
          <w:color w:val="000000"/>
          <w:sz w:val="24"/>
          <w:szCs w:val="22"/>
          <w:lang w:val="en-US" w:eastAsia="en-US" w:bidi="ar-SA"/>
        </w:rPr>
        <w:t xml:space="preserve"> (Cohen’s Kappa = </w:t>
      </w:r>
      <w:r>
        <w:rPr>
          <w:rFonts w:ascii="Times New Roman" w:hAnsi="Times New Roman" w:eastAsia="Times New Roman" w:cs="Times New Roman"/>
          <w:color w:val="000000"/>
          <w:sz w:val="24"/>
          <w:szCs w:val="22"/>
          <w:lang w:val="en-US" w:eastAsia="en-US" w:bidi="ar-SA"/>
        </w:rPr>
        <w:t xml:space="preserve">1.0</w:t>
      </w:r>
      <w:r>
        <w:rPr>
          <w:rFonts w:ascii="Times New Roman" w:hAnsi="Times New Roman" w:eastAsia="Times New Roman" w:cs="Times New Roman"/>
          <w:color w:val="000000"/>
          <w:sz w:val="24"/>
          <w:szCs w:val="22"/>
          <w:lang w:val="en-US" w:eastAsia="en-US" w:bidi="ar-SA"/>
        </w:rPr>
        <w:t xml:space="preserve">). We did not assess concordance between AI outputs and WHO diagnos</w:t>
      </w:r>
      <w:r>
        <w:rPr>
          <w:rFonts w:ascii="Times New Roman" w:hAnsi="Times New Roman" w:eastAsia="Times New Roman" w:cs="Times New Roman"/>
          <w:color w:val="000000"/>
          <w:sz w:val="24"/>
        </w:rPr>
        <w:t xml:space="preserve">es, as the AI module was designed to </w:t>
        <w:t xml:space="preserve">complement rather than replicate WHO guidelines, providing added value through differential diagnoses, triage alerts, and patient communication features </w:t>
      </w:r>
      <w:r>
        <w:rPr>
          <w:rFonts w:ascii="Times New Roman" w:hAnsi="Times New Roman" w:eastAsia="Times New Roman" w:cs="Times New Roman"/>
          <w:b/>
          <w:bCs/>
          <w:color w:val="000000"/>
          <w:sz w:val="24"/>
        </w:rPr>
        <w:t xml:space="preserve">(Supplementary Table-1)</w:t>
      </w:r>
      <w:r>
        <w:rPr>
          <w:rFonts w:ascii="Times New Roman" w:hAnsi="Times New Roman" w:eastAsia="Times New Roman" w:cs="Times New Roman"/>
          <w:color w:val="000000"/>
          <w:sz w:val="24"/>
        </w:rPr>
        <w:t xml:space="preserve">.</w:t>
      </w:r>
    </w:p>
    <w:p>
      <w:pPr>
        <w:pStyle w:val="style5"/>
        <w:spacing w:line="360" w:lineRule="auto"/>
        <w:ind w:right="0" w:firstLine="0" w:left="0"/>
        <w:jc w:val="both"/>
      </w:pPr>
      <w:r>
        <w:rPr>
          <w:rFonts w:ascii="Times New Roman" w:hAnsi="Times New Roman" w:eastAsia="Times New Roman" w:cs="Times New Roman"/>
          <w:color w:val="000000"/>
          <w:sz w:val="24"/>
        </w:rPr>
        <w:t xml:space="preserve">Overall, the validation exercise demonstrated that SynDx maintains complete consistency with WHO syndromic classifications while offering additional organism-level insights. This dual capability makes the tool particularly useful in low- and middle-income settings where laboratory confirmation is limited but where more specific treatment recommendations and surveillance data are urgently needed. By anchoring its logic to WHO standards and simultaneously refining outputs with AI reasoning, SynDx emerges as a reliable, interpretable, and practical decision support tool for frontline STI care. The prototype dashboard is publicly accessible at:</w:t>
        <w:br/>
      </w:r>
      <w:r>
        <w:rPr>
          <w:rFonts w:ascii="Times New Roman" w:hAnsi="Times New Roman" w:eastAsia="Times New Roman" w:cs="Times New Roman"/>
          <w:b w:val="0"/>
          <w:bCs w:val="0"/>
          <w:color w:val="0000ee"/>
          <w:sz w:val="24"/>
          <w:u w:val="single"/>
        </w:rPr>
        <w:t xml:space="preserve">https://syndx-dashboard.streamlit.app/.</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Organism-Specific Refinement</w:t>
      </w:r>
    </w:p>
    <w:p>
      <w:pPr>
        <w:pStyle w:val="style5"/>
        <w:spacing w:line="360" w:lineRule="auto"/>
        <w:ind w:right="0" w:firstLine="0" w:left="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Although concordance with WHO classifications demonstrated the reliability of the platform, SynDx extended the value of syndromic management by refining each syndrome into organism-specific categories. Urethral discharge syndrome, for example, was consistently attributed to gonorrhea and chlamydia. Genital ulcer disease was further broken down into syphilis, herpes simplex virus, and chancroid. Vaginal discharge syndrome was differentiated into gonorrhea or chlamydia, trichomoniasis, and bacterial vaginosis, while epididymo-orchitis was separated into infections caused by gonorrhea and chlamydia on the one hand, and enteric organisms on the other. These refinements introduced a level of diagnostic granularity that is absent from the WHO syndromic framework but highly relevant to clinical decision-making and antimicrobial stewardship.</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Integration of AI Commentary</w:t>
      </w:r>
    </w:p>
    <w:p>
      <w:pPr>
        <w:pStyle w:val="style5"/>
        <w:spacing w:line="360" w:lineRule="auto"/>
        <w:ind w:right="0" w:firstLine="0" w:left="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Beyond reproducing WHO categories and adding pathogen-specific clarity, SynDx provided contextual AI commentary that explained the overlap between guideline-based and AI-driven outputs. In cases where WHO and SynDx outputs were identical, the commentary reinforced this agreement and drew attention to additional considerations such as the likelihood of co-infections or the potential severity of the presentation. This approach ensured that WHO guidelines remained the reference point, while the AI component acted as a complementary layer that highlighted nuances, supported clinical reasoning, and guided follow-up decisions.</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User Transparency and Commentary</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distinctive feature of the dashboard was the commentary layer that compared WHO and AI outputs directly. In cases of agreement, the AI reinforced the reliability of the WHO classification and highlighted factors such as high pain scores or the presence of risk behaviors. In cases of partial mismatch, the AI commentary explicitly noted the overlap and provided rationale, for example clarifying that vaginal discharge syndromes may mask early pelvic inflammatory disease. This interpretive dimension improved the transparency of AI reasoning and demonstrated how such tools could augment clinician awareness rather than act as opaque black boxes.</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Deployment and Accessibility</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Following internal verification and testing in the development environment, the Syndx dashboard was deployed on </w:t>
      </w:r>
      <w:r>
        <w:rPr>
          <w:rFonts w:ascii="Times New Roman" w:hAnsi="Times New Roman" w:eastAsia="Times New Roman" w:cs="Times New Roman"/>
          <w:b w:val="0"/>
          <w:bCs w:val="0"/>
          <w:color w:val="000000"/>
          <w:sz w:val="24"/>
          <w:szCs w:val="24"/>
          <w:lang w:val="en-US" w:eastAsia="en-US" w:bidi="ar-SA"/>
        </w:rPr>
        <w:t xml:space="preserve">Streamlit Cloud</w:t>
      </w:r>
      <w:r>
        <w:rPr>
          <w:rFonts w:ascii="Times New Roman" w:hAnsi="Times New Roman" w:eastAsia="Times New Roman" w:cs="Times New Roman"/>
          <w:b w:val="0"/>
          <w:bCs w:val="0"/>
          <w:color w:val="000000"/>
          <w:sz w:val="24"/>
          <w:szCs w:val="24"/>
          <w:lang w:val="en-US" w:eastAsia="en-US" w:bidi="ar-SA"/>
        </w:rPr>
        <w:t xml:space="preserve"> to provide remote, browser-based access without requiring local installation. Deployment was managed directly from the project’s GitHub repository, with automated builds triggered on each push to the main branch. This ensured that updates to the source code, including modifications to diagnostic logic, interface elements, or integration routines, were reflected in real-time on the live application.</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Streamlit Cloud environment replicated the conda-based configuration used in local development. Key dependencies, including </w:t>
      </w:r>
      <w:r>
        <w:rPr>
          <w:rFonts w:ascii="Times New Roman" w:hAnsi="Times New Roman" w:eastAsia="Times New Roman" w:cs="Times New Roman"/>
          <w:b w:val="0"/>
          <w:bCs w:val="0"/>
          <w:color w:val="000000"/>
          <w:sz w:val="24"/>
          <w:szCs w:val="24"/>
          <w:lang w:val="en-US" w:eastAsia="en-US" w:bidi="ar-SA"/>
        </w:rPr>
        <w:t xml:space="preserve">Streamlit</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pandas</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numpy</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scikit-learn</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matplotlib</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seaborn</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plotly</w:t>
      </w:r>
      <w:r>
        <w:rPr>
          <w:rFonts w:ascii="Times New Roman" w:hAnsi="Times New Roman" w:eastAsia="Times New Roman" w:cs="Times New Roman"/>
          <w:b w:val="0"/>
          <w:bCs w:val="0"/>
          <w:color w:val="000000"/>
          <w:sz w:val="24"/>
          <w:szCs w:val="24"/>
          <w:lang w:val="en-US" w:eastAsia="en-US" w:bidi="ar-SA"/>
        </w:rPr>
        <w:t xml:space="preserve">, </w:t>
      </w:r>
      <w:r>
        <w:rPr>
          <w:rFonts w:ascii="Times New Roman" w:hAnsi="Times New Roman" w:eastAsia="Times New Roman" w:cs="Times New Roman"/>
          <w:b w:val="0"/>
          <w:bCs w:val="0"/>
          <w:color w:val="000000"/>
          <w:sz w:val="24"/>
          <w:szCs w:val="24"/>
          <w:lang w:val="en-US" w:eastAsia="en-US" w:bidi="ar-SA"/>
        </w:rPr>
        <w:t xml:space="preserve">python-dotenv</w:t>
      </w:r>
      <w:r>
        <w:rPr>
          <w:rFonts w:ascii="Times New Roman" w:hAnsi="Times New Roman" w:eastAsia="Times New Roman" w:cs="Times New Roman"/>
          <w:b w:val="0"/>
          <w:bCs w:val="0"/>
          <w:color w:val="000000"/>
          <w:sz w:val="24"/>
          <w:szCs w:val="24"/>
          <w:lang w:val="en-US" w:eastAsia="en-US" w:bidi="ar-SA"/>
        </w:rPr>
        <w:t xml:space="preserve">, and the </w:t>
      </w:r>
      <w:r>
        <w:rPr>
          <w:rFonts w:ascii="Times New Roman" w:hAnsi="Times New Roman" w:eastAsia="Times New Roman" w:cs="Times New Roman"/>
          <w:b w:val="0"/>
          <w:bCs w:val="0"/>
          <w:color w:val="000000"/>
          <w:sz w:val="24"/>
          <w:szCs w:val="24"/>
          <w:lang w:val="en-US" w:eastAsia="en-US" w:bidi="ar-SA"/>
        </w:rPr>
        <w:t xml:space="preserve">OpenAI Python client</w:t>
      </w:r>
      <w:r>
        <w:rPr>
          <w:rFonts w:ascii="Times New Roman" w:hAnsi="Times New Roman" w:eastAsia="Times New Roman" w:cs="Times New Roman"/>
          <w:b w:val="0"/>
          <w:bCs w:val="0"/>
          <w:color w:val="000000"/>
          <w:sz w:val="24"/>
          <w:szCs w:val="24"/>
          <w:lang w:val="en-US" w:eastAsia="en-US" w:bidi="ar-SA"/>
        </w:rPr>
        <w:t xml:space="preserve">, were specified in a </w:t>
      </w:r>
      <w:r>
        <w:rPr>
          <w:rFonts w:ascii="Times New Roman" w:hAnsi="Times New Roman" w:eastAsia="Times New Roman" w:cs="Times New Roman"/>
          <w:b w:val="0"/>
          <w:bCs w:val="0"/>
          <w:color w:val="000000"/>
          <w:sz w:val="24"/>
          <w:szCs w:val="24"/>
          <w:lang w:val="en-US" w:eastAsia="en-US" w:bidi="ar-SA"/>
        </w:rPr>
        <w:t xml:space="preserve">requirements.txt</w:t>
      </w:r>
      <w:r>
        <w:rPr>
          <w:rFonts w:ascii="Times New Roman" w:hAnsi="Times New Roman" w:eastAsia="Times New Roman" w:cs="Times New Roman"/>
          <w:b w:val="0"/>
          <w:bCs w:val="0"/>
          <w:color w:val="000000"/>
          <w:sz w:val="24"/>
          <w:szCs w:val="24"/>
          <w:lang w:val="en-US" w:eastAsia="en-US" w:bidi="ar-SA"/>
        </w:rPr>
        <w:t xml:space="preserve"> file to guarantee consistency and reproducibility across local and deployed instances.</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The deployment pipeline incorporated secure handling of API keys and environment variables through Streamlit Cloud’s </w:t>
      </w:r>
      <w:r>
        <w:rPr>
          <w:rFonts w:ascii="Times New Roman" w:hAnsi="Times New Roman" w:eastAsia="Times New Roman" w:cs="Times New Roman"/>
          <w:b w:val="0"/>
          <w:bCs w:val="0"/>
          <w:color w:val="000000"/>
          <w:sz w:val="24"/>
          <w:szCs w:val="24"/>
          <w:lang w:val="en-US" w:eastAsia="en-US" w:bidi="ar-SA"/>
        </w:rPr>
        <w:t xml:space="preserve">Secrets Management</w:t>
      </w:r>
      <w:r>
        <w:rPr>
          <w:rFonts w:ascii="Times New Roman" w:hAnsi="Times New Roman" w:eastAsia="Times New Roman" w:cs="Times New Roman"/>
          <w:b w:val="0"/>
          <w:bCs w:val="0"/>
          <w:color w:val="000000"/>
          <w:sz w:val="24"/>
          <w:szCs w:val="24"/>
          <w:lang w:val="en-US" w:eastAsia="en-US" w:bidi="ar-SA"/>
        </w:rPr>
        <w:t xml:space="preserve"> system. This safeguarded sensitive information, including the OpenAI API key used for AI integration and SMS gateway configurations.</w:t>
      </w:r>
    </w:p>
    <w:p>
      <w:pPr>
        <w:pStyle w:val="style7"/>
        <w:spacing w:line="360" w:lineRule="auto"/>
        <w:jc w:val="both"/>
      </w:pPr>
      <w:r>
        <w:rPr>
          <w:rFonts w:ascii="Times New Roman" w:hAnsi="Times New Roman" w:eastAsia="Times New Roman" w:cs="Times New Roman"/>
          <w:b w:val="0"/>
          <w:bCs w:val="0"/>
          <w:color w:val="000000"/>
          <w:sz w:val="24"/>
          <w:szCs w:val="24"/>
          <w:lang w:val="en-US" w:eastAsia="en-US" w:bidi="ar-SA"/>
        </w:rPr>
        <w:t xml:space="preserve">Once deployed, the dashboard became accessible via a public URL, enabling use on both desktop and mobile browsers: </w:t>
      </w:r>
      <w:hyperlink r:id="rId10">
        <w:r>
          <w:rPr>
            <w:rStyle w:val="style75"/>
          </w:rPr>
        </w:r>
        <w:r>
          <w:rPr>
            <w:rStyle w:val="style75"/>
          </w:rPr>
        </w:r>
        <w:r>
          <w:rPr>
            <w:rStyle w:val="style75"/>
            <w:b w:val="0"/>
            <w:bCs w:val="0"/>
          </w:rPr>
          <w:t xml:space="preserve">https://syndx-dashboard.streamlit.app/</w:t>
        </w:r>
      </w:hyperlink>
      <w:r>
        <w:rPr>
          <w:rFonts w:ascii="Times New Roman" w:hAnsi="Times New Roman" w:eastAsia="Times New Roman" w:cs="Times New Roman"/>
          <w:b w:val="0"/>
          <w:bCs w:val="0"/>
          <w:color w:val="000000"/>
          <w:sz w:val="24"/>
          <w:szCs w:val="24"/>
          <w:lang w:val="en-US" w:eastAsia="en-US" w:bidi="ar-SA"/>
        </w:rPr>
        <w:t xml:space="preserve">.</w:t>
      </w:r>
    </w:p>
    <w:p>
      <w:pPr>
        <w:pStyle w:val="style12"/>
        <w:numPr>
          <w:ilvl w:val="0"/>
          <w:numId w:val="0"/>
        </w:numPr>
        <w:spacing w:line="360" w:lineRule="auto"/>
        <w:ind w:right="0" w:firstLine="0" w:left="0"/>
        <w:jc w:val="both"/>
        <w:outlineLvl w:val="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Discussion</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b w:val="0"/>
          <w:bCs w:val="0"/>
          <w:color w:val="000000"/>
          <w:sz w:val="24"/>
          <w:szCs w:val="24"/>
        </w:rPr>
        <w:t xml:space="preserve">This study was undertaken to address persistent gaps in the management of STIs in low- and middle-income countries, where </w:t>
      </w:r>
      <w:r>
        <w:rPr>
          <w:rStyle w:val="style78"/>
          <w:rFonts w:ascii="Times New Roman" w:hAnsi="Times New Roman" w:eastAsia="Times New Roman" w:cs="Times New Roman"/>
          <w:color w:val="000000"/>
          <w:sz w:val="24"/>
          <w:szCs w:val="24"/>
        </w:rPr>
      </w:r>
      <w:r>
        <w:rPr>
          <w:rFonts w:ascii="Times New Roman" w:hAnsi="Times New Roman" w:eastAsia="Times New Roman" w:cs="Times New Roman"/>
          <w:b w:val="0"/>
          <w:bCs w:val="0"/>
          <w:color w:val="000000"/>
          <w:sz w:val="24"/>
          <w:szCs w:val="24"/>
        </w:rPr>
        <w:t xml:space="preserve">WHO syndromic management algorithms remain the standard of care</w:t>
      </w:r>
      <w:r>
        <w:rPr>
          <w:rFonts w:ascii="Times New Roman" w:hAnsi="Times New Roman" w:eastAsia="Times New Roman" w:cs="Times New Roman"/>
          <w:b w:val="0"/>
          <w:bCs w:val="0"/>
          <w:color w:val="000000"/>
          <w:sz w:val="24"/>
          <w:szCs w:val="24"/>
        </w:rPr>
        <w:t xml:space="preserve"> despite their known limitations in sensitivity, specificity, and contextual adaptability. Existing tools developed in countries such as Uganda, Kenya, and India </w:t>
      </w:r>
      <w:r>
        <w:rPr>
          <w:rFonts w:ascii="Times New Roman" w:hAnsi="Times New Roman" w:eastAsia="Times New Roman" w:cs="Times New Roman"/>
          <w:b w:val="0"/>
          <w:bCs w:val="0"/>
          <w:color w:val="000000"/>
          <w:sz w:val="24"/>
          <w:szCs w:val="24"/>
          <w:shd w:val="clear" w:color="auto" w:fill="ffff00"/>
        </w:rPr>
        <w:t xml:space="preserve">(Ref.)</w:t>
      </w:r>
      <w:r>
        <w:rPr>
          <w:rFonts w:ascii="Times New Roman" w:hAnsi="Times New Roman" w:eastAsia="Times New Roman" w:cs="Times New Roman"/>
          <w:b w:val="0"/>
          <w:bCs w:val="0"/>
          <w:color w:val="000000"/>
          <w:sz w:val="24"/>
          <w:szCs w:val="24"/>
        </w:rPr>
        <w:t xml:space="preserve"> have primarily fo</w:t>
      </w:r>
      <w:r>
        <w:rPr>
          <w:rFonts w:ascii="Times New Roman" w:hAnsi="Times New Roman" w:eastAsia="Times New Roman" w:cs="Times New Roman"/>
          <w:b w:val="0"/>
          <w:bCs w:val="0"/>
          <w:color w:val="000000"/>
          <w:sz w:val="24"/>
          <w:szCs w:val="24"/>
        </w:rPr>
        <w:t xml:space="preserve">cused on </w:t>
      </w:r>
      <w:r>
        <w:rPr>
          <w:rStyle w:val="style78"/>
          <w:rFonts w:ascii="Times New Roman" w:hAnsi="Times New Roman" w:eastAsia="Times New Roman" w:cs="Times New Roman"/>
          <w:color w:val="000000"/>
          <w:sz w:val="24"/>
          <w:szCs w:val="24"/>
        </w:rPr>
      </w:r>
      <w:r>
        <w:rPr>
          <w:rFonts w:ascii="Times New Roman" w:hAnsi="Times New Roman" w:eastAsia="Times New Roman" w:cs="Times New Roman"/>
          <w:b w:val="0"/>
          <w:bCs w:val="0"/>
          <w:color w:val="000000"/>
          <w:sz w:val="24"/>
          <w:szCs w:val="24"/>
        </w:rPr>
        <w:t xml:space="preserve">WHO algorithms</w:t>
      </w:r>
      <w:r>
        <w:rPr>
          <w:rFonts w:ascii="Times New Roman" w:hAnsi="Times New Roman" w:eastAsia="Times New Roman" w:cs="Times New Roman"/>
          <w:b w:val="0"/>
          <w:bCs w:val="0"/>
          <w:color w:val="000000"/>
          <w:sz w:val="24"/>
          <w:szCs w:val="24"/>
        </w:rPr>
        <w:t xml:space="preserve"> without </w:t>
      </w:r>
      <w:r>
        <w:rPr>
          <w:rFonts w:ascii="Times New Roman" w:hAnsi="Times New Roman" w:eastAsia="Times New Roman" w:cs="Times New Roman"/>
          <w:b w:val="0"/>
          <w:bCs w:val="0"/>
          <w:color w:val="000000"/>
          <w:sz w:val="24"/>
          <w:szCs w:val="24"/>
        </w:rPr>
        <w:t xml:space="preserve">digitalizing and </w:t>
      </w:r>
      <w:r>
        <w:rPr>
          <w:rFonts w:ascii="Times New Roman" w:hAnsi="Times New Roman" w:eastAsia="Times New Roman" w:cs="Times New Roman"/>
          <w:b w:val="0"/>
          <w:bCs w:val="0"/>
          <w:color w:val="000000"/>
          <w:sz w:val="24"/>
          <w:szCs w:val="24"/>
        </w:rPr>
        <w:t xml:space="preserve">integrating AI to enhance decision support. Against this backdrop, the Syndx dashboard was developed as a </w:t>
      </w:r>
      <w:r>
        <w:rPr>
          <w:rStyle w:val="style78"/>
          <w:rFonts w:ascii="Times New Roman" w:hAnsi="Times New Roman" w:eastAsia="Times New Roman" w:cs="Times New Roman"/>
          <w:color w:val="000000"/>
          <w:sz w:val="24"/>
          <w:szCs w:val="24"/>
        </w:rPr>
      </w:r>
      <w:r>
        <w:rPr>
          <w:rFonts w:ascii="Times New Roman" w:hAnsi="Times New Roman" w:eastAsia="Times New Roman" w:cs="Times New Roman"/>
          <w:b w:val="0"/>
          <w:bCs w:val="0"/>
          <w:color w:val="000000"/>
          <w:sz w:val="24"/>
          <w:szCs w:val="24"/>
        </w:rPr>
        <w:t xml:space="preserve">prototype AI-assisted decision support system</w:t>
      </w:r>
      <w:r>
        <w:rPr>
          <w:rFonts w:ascii="Times New Roman" w:hAnsi="Times New Roman" w:eastAsia="Times New Roman" w:cs="Times New Roman"/>
          <w:b w:val="0"/>
          <w:bCs w:val="0"/>
          <w:color w:val="000000"/>
          <w:sz w:val="24"/>
          <w:szCs w:val="24"/>
        </w:rPr>
        <w:t xml:space="preserve">, designed not to replace WHO guidelines but to harmonize with them-providing additional reasoning, contextualization, and patient communication features. This rationale guided the evaluation of Syndx using synthetic cases to test its fidelity to WHO standards while exploring the </w:t>
      </w:r>
      <w:r>
        <w:rPr>
          <w:rStyle w:val="style78"/>
          <w:rFonts w:ascii="Times New Roman" w:hAnsi="Times New Roman" w:eastAsia="Times New Roman" w:cs="Times New Roman"/>
          <w:color w:val="000000"/>
          <w:sz w:val="24"/>
          <w:szCs w:val="24"/>
        </w:rPr>
      </w:r>
      <w:r>
        <w:rPr>
          <w:rFonts w:ascii="Times New Roman" w:hAnsi="Times New Roman" w:eastAsia="Times New Roman" w:cs="Times New Roman"/>
          <w:b w:val="0"/>
          <w:bCs w:val="0"/>
          <w:color w:val="000000"/>
          <w:sz w:val="24"/>
          <w:szCs w:val="24"/>
        </w:rPr>
        <w:t xml:space="preserve">added value of AI integration</w:t>
      </w:r>
      <w:r>
        <w:rPr>
          <w:rFonts w:ascii="Times New Roman" w:hAnsi="Times New Roman" w:eastAsia="Times New Roman" w:cs="Times New Roman"/>
          <w:b w:val="0"/>
          <w:bCs w:val="0"/>
          <w:color w:val="000000"/>
          <w:sz w:val="24"/>
          <w:szCs w:val="24"/>
        </w:rPr>
        <w:t xml:space="preserve">.</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findings from this prototype evaluation highlight the feasibility and potential of SynDx as a next-generation clinical decision support system for syndromic STI management. By demonstrating complete alignment with WHO syndromic guidelines after minor corrections to its internal logic, SynDx has established a strong foundation of validity. At the same time, the tool extends beyond replication of established algorithms by introducing artificial intelligence (AI)-driven refinements that add diagnostic granularity and interpretive support.</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cornerstone of this prototype was its ability to replicate the WHO syndromic approach, which remains the standard in LMICs where diagnostic infrastructure is limited. Our validation with 25 synthetic cases showed that SynDx consistently produced the same syndrome categories as the WHO algorithm, achieving 100% agreement after addressing an initial inconsistency in handling urethral discharge cases. This high level of concordance reassures clinicians and policymakers that the platform can be trusted to maintain compliance with international standards while offering enhanced functionality.</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One of the most important contributions of SynDx lies in its ability to refine broad syndromic categories into organism-level detail. For example, while WHO guidelines identify “genital ulcer disease” as a single syndrome, SynDx differentiates among syphilis, herpes simplex virus (HSV), and chancroid as probable causes. Similarly, urethral discharge is further resolved into gonorrhea and chlamydia. These refinements do not replace syndromic management but rather enrich it, offering clinicians a clearer picture of the likely etiologies. This is especially valuable in LMIC settings, where empirical treatments may be broad, costly, and prone to driving antimicrobial resistance (AMR). By narrowing the differential within the syndromic framework, SynDx supports more rational prescribing, aligning directly with global AMR containment priorities.</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Beyond classification, SynDx employs AI to provide interpretive commentary, bridging the gap between static algorithms and the complexity of real-world clinical presentations. For each case, AI contextualizes WHO outputs, highlighting overlaps, potential co-infections, or risk-related nuances. For example, in cases with HIV-positive status or pregnancy, SynDx can emphasize urgency, recommend closer follow-up, or flag the need for referral to higher-level care. This interpretive layer offers clinicians more than just a diagnosis; it provides actionable insights grounded in both evidence and patient-specific context. Such a hybrid model-anchoring decisions in WHO rules while layering AI reasoning-ensures that AI functions as an enhancer rather than a replacement, which is critical for clinical adoption and trust.</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utility of SynDx extends beyond individual patient care. By systematically structuring data on symptoms, syndromic categories, probable etiologies, and follow-up recommendations, the tool can generate case-level datasets that feed into national surveillance systems. This dual function has significant potential for Ethiopia and other LMICs, where real-time data on STI trends and treatment outcomes are scarce. For institutions like the Ethiopian Public Health Institute (EPHI), SynDx could serve as both a clinical support tool and a digital surveillance asset, informing strategic planning, resource allocation, and monitoring of AMR patterns. The alignment of clinical decision-making with public health intelligence makes SynDx unique compared to purely clinical reference apps.</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Previous digital health interventions for STIs, such as the CDC’s STI Treatment Guidelines </w:t>
      </w:r>
      <w:r>
        <w:rPr>
          <w:rFonts w:ascii="Times New Roman" w:hAnsi="Times New Roman" w:eastAsia="Times New Roman" w:cs="Times New Roman"/>
          <w:color w:val="000000"/>
          <w:sz w:val="24"/>
          <w:szCs w:val="24"/>
          <w:shd w:val="clear" w:color="auto" w:fill="ffff00"/>
        </w:rPr>
        <w:t xml:space="preserve">(Ref.)</w:t>
      </w:r>
      <w:r>
        <w:rPr>
          <w:rFonts w:ascii="Times New Roman" w:hAnsi="Times New Roman" w:eastAsia="Times New Roman" w:cs="Times New Roman"/>
          <w:color w:val="000000"/>
          <w:sz w:val="24"/>
          <w:szCs w:val="24"/>
        </w:rPr>
        <w:t xml:space="preserve"> app or reference tools developed in Uganda, Kenya, and India, primarily serve as repositories of static information. While valuable for reference, they lack real-time diagnostic reasoning, integration with WHO syndromic flowcharts, or structured data capture for surveillance. SynDx addresses these gaps by combining WHO’s standardized algorithms with AI-based interpretive capabilities, offering both a decision-support function and a data-generation platform. This positions SynDx at the intersection of clinical care and digital epidemiology.</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As part of the limitations, </w:t>
      </w:r>
      <w:r>
        <w:rPr>
          <w:rFonts w:ascii="Times New Roman" w:hAnsi="Times New Roman" w:eastAsia="Times New Roman" w:cs="Times New Roman"/>
          <w:color w:val="000000"/>
          <w:sz w:val="24"/>
          <w:szCs w:val="24"/>
        </w:rPr>
        <w:t xml:space="preserve">this prototype was validated using synthetic patient cases rather than real-world clinical encounters. While synthetic data provided a controlled environment for initial testing, field validation is essential to assess usability, diagnostic accuracy in practice, clinician acceptance, and patient outcomes. Second, although the organism-specific refinements provide added value, they remain probabilistic approximations rather than laboratory-confirmed diag</w:t>
        <w:t xml:space="preserve">noses. These should therefore be interpreted as guidance for clinical reasoning rather than definitive results. Finally, the app has yet to be integrated with key implementation features such as secure log-in, patient record storage, or SMS-based health education in local languages, which are critical for large-scale deployment.</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Future work will involve piloting SynDx in primary healthcare facilities under routine conditions, incorporating clinician feedback, and refining the AI commentary based on local epidemiology. Expanding the platform to include laboratory integration, antimicrobial resistance surveillance, and multi-language patient education will further enhance its value. Additionally, ensuring interoperability with national health information systems and global standards such as HL7 FHIR and OMOP CDM could make SynDx a versatile tool for both clinical care and research.</w:t>
      </w:r>
    </w:p>
    <w:p>
      <w:pPr>
        <w:pStyle w:val="style13"/>
        <w:numPr>
          <w:ilvl w:val="0"/>
          <w:numId w:val="0"/>
        </w:numPr>
        <w:spacing w:line="360" w:lineRule="auto"/>
        <w:ind w:right="0" w:firstLine="0" w:left="0"/>
        <w:jc w:val="both"/>
        <w:outlineLvl w:val="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Conclusion</w:t>
      </w:r>
    </w:p>
    <w:p>
      <w:pPr>
        <w:pStyle w:val="style5"/>
        <w:spacing w:line="360" w:lineRule="auto"/>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summary, SynDx successfully harmonizes WHO syndromic guidelines with AI reasoning to deliver a reliable, context-sensitive digital decision support tool for STI management. Its ability to replicate WHO outputs while refining them into organism-level differentials addresses a long-standing limitation of syndromic management and offers a pathway for more precise and rational STI care. By coupling clinical decision support with surveillance potential, SynDx represents a promising innovation at the convergence of AI, public health, and digital health.</w:t>
      </w:r>
    </w:p>
    <w:p>
      <w:pPr>
        <w:pStyle w:val="style5"/>
        <w:spacing w:line="360" w:lineRule="auto"/>
        <w:ind w:right="0" w:firstLine="0" w:left="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Abbreviations</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STI-Sexually transmitted infection</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World Health Organization (WHO)</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low- and middle-income countries (LMICs)</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primary health care (PHC)</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artificial intelligence (AI)</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particularly natural language processing (NLP)</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Generative Pre-trained Transformers (GPT)</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antimicrobial resistance (AMR)</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herpes simplex virus (HSV)</w:t>
      </w:r>
    </w:p>
    <w:p>
      <w:pPr>
        <w:pStyle w:val="style5"/>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Ethiopian Public Health Institute (EPHI)</w:t>
      </w:r>
    </w:p>
    <w:p>
      <w:pPr>
        <w:pStyle w:val="style5"/>
        <w:spacing w:line="360" w:lineRule="auto"/>
        <w:ind w:right="0" w:firstLine="0" w:left="0"/>
        <w:jc w:val="both"/>
        <w:rPr>
          <w:rFonts w:ascii="Times New Roman" w:hAnsi="Times New Roman" w:eastAsia="Times New Roman" w:cs="Times New Roman"/>
          <w:b/>
          <w:bCs/>
          <w:color w:val="000000"/>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pPr>
    </w:p>
    <w:p>
      <w:pPr>
        <w:pStyle w:val="style5"/>
        <w:spacing w:line="360" w:lineRule="auto"/>
        <w:ind w:right="0" w:firstLine="0" w:left="0"/>
        <w:jc w:val="both"/>
        <w:rPr>
          <w:rFonts w:ascii="Times New Roman" w:hAnsi="Times New Roman" w:eastAsia="Times New Roman" w:cs="Times New Roman"/>
          <w:b/>
          <w:bCs/>
          <w:sz w:val="24"/>
          <w:szCs w:val="24"/>
        </w:rPr>
        <w:sectPr>
          <w:type w:val="continuous"/>
          <w:pgSz w:h="15840" w:orient="portrait" w:w="12240"/>
          <w:pgMar w:top="1440" w:right="1440" w:bottom="1440" w:left="1440" w:header="1440" w:footer="1440" w:gutter="0"/>
          <w:cols w:num="1" w:sep="0" w:space="708" w:equalWidth="1"/>
        </w:sectPr>
      </w:pPr>
      <w:r>
        <w:rPr>
          <w:rFonts w:ascii="Times New Roman" w:hAnsi="Times New Roman" w:eastAsia="Times New Roman" w:cs="Times New Roman"/>
          <w:b/>
          <w:bCs/>
          <w:sz w:val="24"/>
          <w:szCs w:val="24"/>
        </w:rPr>
        <w:t xml:space="preserve">Reference</w:t>
      </w:r>
    </w:p>
    <w:p>
      <w:pPr>
        <w:pStyle w:val="style44"/>
      </w:pPr>
      <w:r>
        <w:t xml:space="preserve">1.</w:t>
        <w:tab/>
        <w:t xml:space="preserve">Bogale EK, Anagaw TF, Tiruneh MG, Fenta ET, Endeshaw D, Delie AM, et al. Prevalence of sexually transmitted infections, and its associated factors among students in Ethiopia: a systematic review and meta-analysis study. BMC Public Health. 2024 July 24;24(1):1976. </w:t>
      </w:r>
    </w:p>
    <w:p>
      <w:pPr>
        <w:pStyle w:val="style44"/>
      </w:pPr>
      <w:r>
        <w:t xml:space="preserve">2.</w:t>
        <w:tab/>
        <w:t xml:space="preserve">Gottlieb SL, Spielman E, Abu-Raddad L, Aderoba AK, Bachmann LH, Blondeel K, et al. WHO global research priorities for sexually transmitted infections. Lancet Glob Health. 2024 Sept;12(9):e1544–51. </w:t>
      </w:r>
    </w:p>
    <w:p>
      <w:pPr>
        <w:pStyle w:val="style44"/>
      </w:pPr>
      <w:r>
        <w:t xml:space="preserve">3.</w:t>
        <w:tab/>
        <w:t xml:space="preserve">Guidelines for the Management of Symptomatic Sexually Transmitted Infections. 1st ed. Geneva: World Health Organization; 2021. 1 p. </w:t>
      </w:r>
    </w:p>
    <w:p>
      <w:pPr>
        <w:pStyle w:val="style44"/>
      </w:pPr>
      <w:r>
        <w:t xml:space="preserve">4.</w:t>
        <w:tab/>
        <w:t xml:space="preserve">Unemo M, Bradshaw CS, Hocking JS, De Vries HJC, Francis SC, Mabey D, et al. Sexually transmitted infections: challenges ahead. Lancet Infect Dis. 2017 Aug;17(8):e235–79. </w:t>
      </w:r>
    </w:p>
    <w:p>
      <w:pPr>
        <w:pStyle w:val="style44"/>
      </w:pPr>
      <w:r>
        <w:t xml:space="preserve">5.</w:t>
        <w:tab/>
        <w:t xml:space="preserve">Gupta V, Sharma V. Syndromic management of sexually transmitted infections: A critical appraisal and the road ahead. Natl Med J India. 2019;32(3):147. </w:t>
      </w:r>
    </w:p>
    <w:p>
      <w:pPr>
        <w:pStyle w:val="style44"/>
      </w:pPr>
      <w:r>
        <w:t xml:space="preserve">6.</w:t>
        <w:tab/>
        <w:t xml:space="preserve">Otieno FO, Ndivo R, Oswago S, Ondiek J, McLellan-Lemal E, Chen RT, et al. Evaluation of syndromic management of sexually transmitted infections within the Kisumu Incidence Cohort Study. 2015; </w:t>
      </w:r>
    </w:p>
    <w:p>
      <w:pPr>
        <w:pStyle w:val="style44"/>
      </w:pPr>
      <w:r>
        <w:t xml:space="preserve">7.</w:t>
        <w:tab/>
        <w:t xml:space="preserve">Noorbakhsh-Sabet N, Zand R, Zhang Y, Abedi V. Artificial Intelligence Transforms the Future of Health Care. Am J Med. 2019 July;132(7):795–801. </w:t>
      </w:r>
    </w:p>
    <w:p>
      <w:pPr>
        <w:pStyle w:val="style44"/>
      </w:pPr>
      <w:r>
        <w:t xml:space="preserve">8.</w:t>
        <w:tab/>
        <w:t xml:space="preserve">Rong G, Mendez A, Bou Assi E, Zhao B, Sawan M. Artificial Intelligence in Healthcare: Review and Prediction Case Studies. Engineering. 2020 Mar;6(3):291–301. </w:t>
      </w:r>
    </w:p>
    <w:p>
      <w:pPr>
        <w:pStyle w:val="style44"/>
      </w:pPr>
      <w:r>
        <w:t xml:space="preserve">9.</w:t>
        <w:tab/>
        <w:t xml:space="preserve">Bajwa J, Munir U, Nori A, Williams B. Artificial intelligence in healthcare: transforming the practice of medicine. Future Healthc J. 2021 July;8(2):e188–94. </w:t>
      </w:r>
    </w:p>
    <w:p>
      <w:pPr>
        <w:pStyle w:val="style44"/>
        <w:sectPr>
          <w:type w:val="continuous"/>
          <w:pgSz w:h="15840" w:orient="portrait" w:w="12240"/>
          <w:pgMar w:top="1440" w:right="1440" w:bottom="1440" w:left="1440" w:header="1440" w:footer="1440" w:gutter="0"/>
          <w:cols w:num="1" w:sep="0" w:space="708" w:equalWidth="1"/>
        </w:sectPr>
      </w:pPr>
      <w:r>
        <w:t xml:space="preserve">10.</w:t>
        <w:tab/>
        <w:t xml:space="preserve">Fahim YA, Hasani IW, Kabba S, Ragab WM. Artificial intelligence in healthcare and medicine: clinical applications, therapeutic advances, and future perspectives. Eur J Med Res. 2025 Sept 23;30(1):848. </w:t>
      </w:r>
    </w:p>
    <w:p>
      <w:pPr>
        <w:pStyle w:val="style5"/>
        <w:spacing w:after="200" w:before="0" w:line="360" w:lineRule="auto"/>
        <w:ind w:right="0" w:firstLine="0" w:left="0"/>
        <w:jc w:val="both"/>
        <w:sectPr>
          <w:type w:val="continuous"/>
          <w:pgSz w:h="15840" w:orient="portrait" w:w="12240"/>
          <w:pgMar w:top="1440" w:right="1440" w:bottom="1440" w:left="1440" w:header="1440" w:footer="1440" w:gutter="0"/>
          <w:cols w:num="1" w:sep="0" w:space="708" w:equalWidth="1"/>
        </w:sectPr>
      </w:pPr>
    </w:p>
    <w:sectPr>
      <w:type w:val="continuous"/>
      <w:pgSz w:h="15840" w:orient="portrait" w:w="12240"/>
      <w:pgMar w:top="1440" w:right="1440" w:bottom="1440" w:left="1440" w:header="1440" w:footer="1440" w:gutter="0"/>
      <w:cols w:num="1" w:sep="0" w:space="708"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Mono">
    <w:panose1 w:val="02070409020205020404"/>
  </w:font>
  <w:font w:name="OpenSymbol">
    <w:panose1 w:val="05010000000000000000"/>
  </w:font>
  <w:font w:name="FreeSans">
    <w:panose1 w:val="020B0504020202020204"/>
  </w:font>
  <w:font w:name="Noto Sans CJK SC">
    <w:panose1 w:val="020B05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lvl w:ilvl="0">
      <w:lvlJc w:val="left"/>
      <w:lvlText w:val="%1."/>
      <w:numFmt w:val="decimal"/>
      <w:pPr>
        <w:tabs>
          <w:tab w:val="num" w:pos="720"/>
        </w:tabs>
        <w:ind w:hanging="360" w:left="720"/>
      </w:pPr>
      <w:start w:val="1"/>
      <w:suff w:val="tab"/>
    </w:lvl>
    <w:lvl w:ilvl="1">
      <w:lvlJc w:val="left"/>
      <w:lvlText w:val="%2."/>
      <w:numFmt w:val="decimal"/>
      <w:pPr>
        <w:tabs>
          <w:tab w:val="num" w:pos="1080"/>
        </w:tabs>
        <w:ind w:hanging="360" w:left="1080"/>
      </w:pPr>
      <w:start w:val="1"/>
      <w:suff w:val="tab"/>
    </w:lvl>
    <w:lvl w:ilvl="2">
      <w:lvlJc w:val="left"/>
      <w:lvlText w:val="%3."/>
      <w:numFmt w:val="decimal"/>
      <w:pPr>
        <w:tabs>
          <w:tab w:val="num" w:pos="1440"/>
        </w:tabs>
        <w:ind w:hanging="360" w:left="1440"/>
      </w:pPr>
      <w:start w:val="1"/>
      <w:suff w:val="tab"/>
    </w:lvl>
    <w:lvl w:ilvl="3">
      <w:lvlJc w:val="left"/>
      <w:lvlText w:val="%4."/>
      <w:numFmt w:val="decimal"/>
      <w:pPr>
        <w:tabs>
          <w:tab w:val="num" w:pos="1800"/>
        </w:tabs>
        <w:ind w:hanging="360" w:left="1800"/>
      </w:pPr>
      <w:start w:val="1"/>
      <w:suff w:val="tab"/>
    </w:lvl>
    <w:lvl w:ilvl="4">
      <w:lvlJc w:val="left"/>
      <w:lvlText w:val="%5."/>
      <w:numFmt w:val="decimal"/>
      <w:pPr>
        <w:tabs>
          <w:tab w:val="num" w:pos="2160"/>
        </w:tabs>
        <w:ind w:hanging="360" w:left="2160"/>
      </w:pPr>
      <w:start w:val="1"/>
      <w:suff w:val="tab"/>
    </w:lvl>
    <w:lvl w:ilvl="5">
      <w:lvlJc w:val="left"/>
      <w:lvlText w:val="%6."/>
      <w:numFmt w:val="decimal"/>
      <w:pPr>
        <w:tabs>
          <w:tab w:val="num" w:pos="2520"/>
        </w:tabs>
        <w:ind w:hanging="360" w:left="2520"/>
      </w:pPr>
      <w:start w:val="1"/>
      <w:suff w:val="tab"/>
    </w:lvl>
    <w:lvl w:ilvl="6">
      <w:lvlJc w:val="left"/>
      <w:lvlText w:val="%7."/>
      <w:numFmt w:val="decimal"/>
      <w:pPr>
        <w:tabs>
          <w:tab w:val="num" w:pos="2880"/>
        </w:tabs>
        <w:ind w:hanging="360" w:left="2880"/>
      </w:pPr>
      <w:start w:val="1"/>
      <w:suff w:val="tab"/>
    </w:lvl>
    <w:lvl w:ilvl="7">
      <w:lvlJc w:val="left"/>
      <w:lvlText w:val="%8."/>
      <w:numFmt w:val="decimal"/>
      <w:pPr>
        <w:tabs>
          <w:tab w:val="num" w:pos="3240"/>
        </w:tabs>
        <w:ind w:hanging="360" w:left="3240"/>
      </w:pPr>
      <w:start w:val="1"/>
      <w:suff w:val="tab"/>
    </w:lvl>
    <w:lvl w:ilvl="8">
      <w:lvlJc w:val="left"/>
      <w:lvlText w:val="%9."/>
      <w:numFmt w:val="decimal"/>
      <w:pPr>
        <w:tabs>
          <w:tab w:val="num" w:pos="3600"/>
        </w:tabs>
        <w:ind w:hanging="360" w:left="3600"/>
      </w:pPr>
      <w:start w:val="1"/>
      <w:suff w:val="tab"/>
    </w:lvl>
  </w:abstractNum>
  <w:abstractNum w:abstractNumId="2">
    <w:lvl w:ilvl="0">
      <w:lvlJc w:val="left"/>
      <w:lvlText w:val="• "/>
      <w:numFmt w:val="bullet"/>
      <w:pPr>
        <w:ind w:hanging="283" w:left="709"/>
      </w:pPr>
    </w:lvl>
    <w:lvl w:ilvl="1">
      <w:lvlJc w:val="left"/>
      <w:lvlText w:val="• "/>
      <w:numFmt w:val="bullet"/>
      <w:pPr>
        <w:ind w:hanging="283" w:left="1418"/>
      </w:pPr>
    </w:lvl>
    <w:lvl w:ilvl="2">
      <w:lvlJc w:val="left"/>
      <w:lvlText w:val="• "/>
      <w:numFmt w:val="bullet"/>
      <w:pPr>
        <w:ind w:hanging="283" w:left="2127"/>
      </w:pPr>
    </w:lvl>
    <w:lvl w:ilvl="3">
      <w:lvlJc w:val="left"/>
      <w:lvlText w:val="• "/>
      <w:numFmt w:val="bullet"/>
      <w:pPr>
        <w:ind w:hanging="283" w:left="2836"/>
      </w:pPr>
    </w:lvl>
    <w:lvl w:ilvl="4">
      <w:lvlJc w:val="left"/>
      <w:lvlText w:val="• "/>
      <w:numFmt w:val="bullet"/>
      <w:pPr>
        <w:ind w:hanging="283" w:left="3545"/>
      </w:pPr>
    </w:lvl>
    <w:lvl w:ilvl="5">
      <w:lvlJc w:val="left"/>
      <w:lvlText w:val="• "/>
      <w:numFmt w:val="bullet"/>
      <w:pPr>
        <w:ind w:hanging="283" w:left="4254"/>
      </w:pPr>
    </w:lvl>
    <w:lvl w:ilvl="6">
      <w:lvlJc w:val="left"/>
      <w:lvlText w:val="• "/>
      <w:numFmt w:val="bullet"/>
      <w:pPr>
        <w:ind w:hanging="283" w:left="4963"/>
      </w:pPr>
    </w:lvl>
    <w:lvl w:ilvl="7">
      <w:lvlJc w:val="left"/>
      <w:lvlText w:val="• "/>
      <w:numFmt w:val="bullet"/>
      <w:pPr>
        <w:ind w:hanging="283" w:left="5672"/>
      </w:pPr>
    </w:lvl>
    <w:lvl w:ilvl="8">
      <w:lvlJc w:val="left"/>
      <w:lvlText w:val="• "/>
      <w:numFmt w:val="bullet"/>
      <w:pPr>
        <w:ind w:hanging="283" w:left="6381"/>
      </w:pPr>
    </w:lvl>
  </w:abstractNum>
  <w:abstractNum w:abstractNumId="3">
    <w:lvl w:ilvl="0">
      <w:lvlJc w:val="left"/>
      <w:pPr>
        <w:ind w:firstLine="0" w:left="0"/>
      </w:pPr>
      <w:start w:val="1"/>
    </w:lvl>
    <w:lvl w:ilvl="1">
      <w:lvlJc w:val="left"/>
      <w:pPr>
        <w:ind w:firstLine="0" w:left="0"/>
      </w:pPr>
      <w:start w:val="1"/>
    </w:lvl>
    <w:lvl w:ilvl="2">
      <w:lvlJc w:val="left"/>
      <w:pPr>
        <w:ind w:firstLine="0" w:left="0"/>
      </w:pPr>
      <w:start w:val="1"/>
    </w:lvl>
    <w:lvl w:ilvl="3">
      <w:lvlJc w:val="left"/>
      <w:pPr>
        <w:ind w:firstLine="0" w:left="0"/>
      </w:pPr>
      <w:start w:val="1"/>
    </w:lvl>
    <w:lvl w:ilvl="4">
      <w:lvlJc w:val="left"/>
      <w:pPr>
        <w:ind w:firstLine="0" w:left="0"/>
      </w:pPr>
      <w:start w:val="1"/>
    </w:lvl>
    <w:lvl w:ilvl="5">
      <w:lvlJc w:val="left"/>
      <w:pPr>
        <w:ind w:firstLine="0" w:left="0"/>
      </w:pPr>
      <w:start w:val="1"/>
    </w:lvl>
    <w:lvl w:ilvl="6">
      <w:lvlJc w:val="left"/>
      <w:pPr>
        <w:ind w:firstLine="0" w:left="0"/>
      </w:pPr>
      <w:start w:val="1"/>
    </w:lvl>
    <w:lvl w:ilvl="7">
      <w:lvlJc w:val="left"/>
      <w:pPr>
        <w:ind w:firstLine="0" w:left="0"/>
      </w:pPr>
      <w:start w:val="1"/>
    </w:lvl>
    <w:lvl w:ilvl="8">
      <w:lvlJc w:val="left"/>
      <w:pPr>
        <w:ind w:firstLine="0" w:left="0"/>
      </w:pPr>
      <w:start w:val="1"/>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style2" w:default="1">
    <w:name w:val="DStyle_paragraph"/>
    <w:pPr/>
    <w:rPr>
      <w:rFonts w:ascii="Arial" w:hAnsi="Arial" w:eastAsia="Arial" w:cs="Arial"/>
      <w:color w:val="auto"/>
      <w:sz w:val="22"/>
      <w:szCs w:val="22"/>
      <w:lang w:val="en-US" w:eastAsia="en-US" w:bidi="ar-SA"/>
    </w:rPr>
  </w:style>
  <w:style w:type="paragraph" w:styleId="style5" w:customStyle="1">
    <w:name w:val="Standard"/>
    <w:basedOn w:val="style2"/>
    <w:pPr>
      <w:widowControl w:val="true"/>
      <w:spacing w:after="200" w:before="0" w:line="276" w:lineRule="auto"/>
      <w:jc w:val="left"/>
    </w:pPr>
    <w:rPr>
      <w:rFonts w:ascii="Arial" w:hAnsi="Arial" w:eastAsia="Arial" w:cs="Arial"/>
      <w:color w:val="auto"/>
      <w:sz w:val="22"/>
      <w:szCs w:val="22"/>
      <w:lang w:val="en-US" w:eastAsia="en-US" w:bidi="ar-SA"/>
    </w:rPr>
  </w:style>
  <w:style w:type="paragraph" w:styleId="style6" w:customStyle="1">
    <w:name w:val="Heading"/>
    <w:basedOn w:val="style5"/>
    <w:next w:val="style7"/>
    <w:pPr>
      <w:keepNext w:val="true"/>
      <w:spacing w:after="120" w:before="240"/>
    </w:pPr>
    <w:rPr>
      <w:rFonts w:ascii="Liberation Sans" w:hAnsi="Liberation Sans" w:eastAsia="Noto Sans CJK SC" w:cs="FreeSans"/>
      <w:sz w:val="28"/>
      <w:szCs w:val="28"/>
    </w:rPr>
  </w:style>
  <w:style w:type="paragraph" w:styleId="style7" w:customStyle="1">
    <w:name w:val="Text body"/>
    <w:basedOn w:val="style5"/>
    <w:qFormat/>
    <w:pPr>
      <w:spacing w:after="140" w:before="0" w:line="276" w:lineRule="auto"/>
    </w:pPr>
  </w:style>
  <w:style w:type="paragraph" w:styleId="style8" w:customStyle="1">
    <w:name w:val="List"/>
    <w:basedOn w:val="style7"/>
    <w:rPr>
      <w:rFonts w:cs="FreeSans"/>
    </w:rPr>
  </w:style>
  <w:style w:type="paragraph" w:styleId="style9" w:customStyle="1">
    <w:name w:val="Caption"/>
    <w:basedOn w:val="style5"/>
    <w:next w:val="style5"/>
    <w:pPr>
      <w:spacing w:after="200" w:before="0" w:line="240" w:lineRule="auto"/>
    </w:pPr>
    <w:rPr>
      <w:i/>
      <w:iCs/>
      <w:color w:val="0e2841"/>
      <w:sz w:val="18"/>
      <w:szCs w:val="18"/>
    </w:rPr>
  </w:style>
  <w:style w:type="paragraph" w:styleId="style10" w:customStyle="1">
    <w:name w:val="Index"/>
    <w:basedOn w:val="style5"/>
    <w:rPr>
      <w:rFonts w:cs="FreeSans"/>
    </w:rPr>
  </w:style>
  <w:style w:type="paragraph" w:styleId="style11" w:customStyle="1">
    <w:name w:val="Heading 1"/>
    <w:basedOn w:val="style5"/>
    <w:next w:val="style5"/>
    <w:qFormat/>
    <w:pPr>
      <w:keepNext w:val="true"/>
      <w:keepLines w:val="true"/>
      <w:numPr>
        <w:ilvl w:val="0"/>
        <w:numId w:val="0"/>
      </w:numPr>
      <w:spacing w:after="80" w:before="360"/>
      <w:outlineLvl w:val="1"/>
    </w:pPr>
    <w:rPr>
      <w:rFonts w:ascii="Arial" w:hAnsi="Arial" w:eastAsia="Arial" w:cs="Arial"/>
      <w:color w:val="0f4761"/>
      <w:sz w:val="40"/>
      <w:szCs w:val="40"/>
    </w:rPr>
  </w:style>
  <w:style w:type="paragraph" w:styleId="style12" w:customStyle="1">
    <w:name w:val="Heading 2"/>
    <w:basedOn w:val="style5"/>
    <w:next w:val="style5"/>
    <w:qFormat/>
    <w:pPr>
      <w:keepNext w:val="true"/>
      <w:keepLines w:val="true"/>
      <w:numPr>
        <w:ilvl w:val="0"/>
        <w:numId w:val="0"/>
      </w:numPr>
      <w:spacing w:after="80" w:before="160"/>
      <w:outlineLvl w:val="2"/>
    </w:pPr>
    <w:rPr>
      <w:rFonts w:ascii="Arial" w:hAnsi="Arial" w:eastAsia="Arial" w:cs="Arial"/>
      <w:color w:val="0f4761"/>
      <w:sz w:val="32"/>
      <w:szCs w:val="32"/>
    </w:rPr>
  </w:style>
  <w:style w:type="paragraph" w:styleId="style13" w:customStyle="1">
    <w:name w:val="Heading 3"/>
    <w:basedOn w:val="style5"/>
    <w:next w:val="style5"/>
    <w:qFormat/>
    <w:pPr>
      <w:keepNext w:val="true"/>
      <w:keepLines w:val="true"/>
      <w:numPr>
        <w:ilvl w:val="0"/>
        <w:numId w:val="0"/>
      </w:numPr>
      <w:spacing w:after="80" w:before="160"/>
      <w:outlineLvl w:val="3"/>
    </w:pPr>
    <w:rPr>
      <w:rFonts w:ascii="Arial" w:hAnsi="Arial" w:eastAsia="Arial" w:cs="Arial"/>
      <w:color w:val="0f4761"/>
      <w:sz w:val="28"/>
      <w:szCs w:val="28"/>
    </w:rPr>
  </w:style>
  <w:style w:type="paragraph" w:styleId="style14" w:customStyle="1">
    <w:name w:val="Heading 4"/>
    <w:basedOn w:val="style5"/>
    <w:next w:val="style5"/>
    <w:qFormat/>
    <w:pPr>
      <w:keepNext w:val="true"/>
      <w:keepLines w:val="true"/>
      <w:numPr>
        <w:ilvl w:val="0"/>
        <w:numId w:val="0"/>
      </w:numPr>
      <w:spacing w:after="40" w:before="80"/>
      <w:outlineLvl w:val="4"/>
    </w:pPr>
    <w:rPr>
      <w:rFonts w:ascii="Arial" w:hAnsi="Arial" w:eastAsia="Arial" w:cs="Arial"/>
      <w:i/>
      <w:iCs/>
      <w:color w:val="0f4761"/>
    </w:rPr>
  </w:style>
  <w:style w:type="paragraph" w:styleId="style15" w:customStyle="1">
    <w:name w:val="Heading 5"/>
    <w:basedOn w:val="style5"/>
    <w:next w:val="style5"/>
    <w:qFormat/>
    <w:pPr>
      <w:keepNext w:val="true"/>
      <w:keepLines w:val="true"/>
      <w:numPr>
        <w:ilvl w:val="0"/>
        <w:numId w:val="0"/>
      </w:numPr>
      <w:spacing w:after="40" w:before="80"/>
      <w:outlineLvl w:val="5"/>
    </w:pPr>
    <w:rPr>
      <w:rFonts w:ascii="Arial" w:hAnsi="Arial" w:eastAsia="Arial" w:cs="Arial"/>
      <w:color w:val="0f4761"/>
    </w:rPr>
  </w:style>
  <w:style w:type="paragraph" w:styleId="style16" w:customStyle="1">
    <w:name w:val="Heading 6"/>
    <w:basedOn w:val="style5"/>
    <w:next w:val="style5"/>
    <w:qFormat/>
    <w:pPr>
      <w:keepNext w:val="true"/>
      <w:keepLines w:val="true"/>
      <w:numPr>
        <w:ilvl w:val="0"/>
        <w:numId w:val="0"/>
      </w:numPr>
      <w:spacing w:after="0" w:before="40"/>
      <w:outlineLvl w:val="6"/>
    </w:pPr>
    <w:rPr>
      <w:rFonts w:ascii="Arial" w:hAnsi="Arial" w:eastAsia="Arial" w:cs="Arial"/>
      <w:i/>
      <w:iCs/>
      <w:color w:val="595959"/>
    </w:rPr>
  </w:style>
  <w:style w:type="paragraph" w:styleId="style17" w:customStyle="1">
    <w:name w:val="Heading 7"/>
    <w:basedOn w:val="style5"/>
    <w:next w:val="style5"/>
    <w:qFormat/>
    <w:pPr>
      <w:keepNext w:val="true"/>
      <w:keepLines w:val="true"/>
      <w:numPr>
        <w:ilvl w:val="0"/>
        <w:numId w:val="0"/>
      </w:numPr>
      <w:spacing w:after="0" w:before="40"/>
      <w:outlineLvl w:val="7"/>
    </w:pPr>
    <w:rPr>
      <w:rFonts w:ascii="Arial" w:hAnsi="Arial" w:eastAsia="Arial" w:cs="Arial"/>
      <w:color w:val="595959"/>
    </w:rPr>
  </w:style>
  <w:style w:type="paragraph" w:styleId="style18" w:customStyle="1">
    <w:name w:val="Heading 8"/>
    <w:basedOn w:val="style5"/>
    <w:next w:val="style5"/>
    <w:qFormat/>
    <w:pPr>
      <w:keepNext w:val="true"/>
      <w:keepLines w:val="true"/>
      <w:numPr>
        <w:ilvl w:val="0"/>
        <w:numId w:val="0"/>
      </w:numPr>
      <w:spacing w:after="0" w:before="0"/>
      <w:outlineLvl w:val="8"/>
    </w:pPr>
    <w:rPr>
      <w:rFonts w:ascii="Arial" w:hAnsi="Arial" w:eastAsia="Arial" w:cs="Arial"/>
      <w:i/>
      <w:iCs/>
      <w:color w:val="272727"/>
    </w:rPr>
  </w:style>
  <w:style w:type="paragraph" w:styleId="style19" w:customStyle="1">
    <w:name w:val="Heading 9"/>
    <w:basedOn w:val="style5"/>
    <w:next w:val="style5"/>
    <w:qFormat/>
    <w:pPr>
      <w:keepNext w:val="true"/>
      <w:keepLines w:val="true"/>
      <w:numPr>
        <w:ilvl w:val="0"/>
        <w:numId w:val="0"/>
      </w:numPr>
      <w:spacing w:after="0" w:before="0"/>
      <w:outlineLvl w:val="9"/>
    </w:pPr>
    <w:rPr>
      <w:rFonts w:ascii="Arial" w:hAnsi="Arial" w:eastAsia="Arial" w:cs="Arial"/>
      <w:i/>
      <w:iCs/>
      <w:color w:val="272727"/>
    </w:rPr>
  </w:style>
  <w:style w:type="paragraph" w:styleId="style20" w:customStyle="1">
    <w:name w:val="Title"/>
    <w:basedOn w:val="style5"/>
    <w:next w:val="style5"/>
    <w:pPr>
      <w:spacing w:after="80" w:before="0" w:line="240" w:lineRule="auto"/>
    </w:pPr>
    <w:rPr>
      <w:rFonts w:ascii="Arial" w:hAnsi="Arial" w:eastAsia="Arial" w:cs="Arial"/>
      <w:spacing w:val="-10"/>
      <w:sz w:val="56"/>
      <w:szCs w:val="56"/>
    </w:rPr>
  </w:style>
  <w:style w:type="paragraph" w:styleId="style21" w:customStyle="1">
    <w:name w:val="Subtitle"/>
    <w:basedOn w:val="style5"/>
    <w:next w:val="style5"/>
    <w:rPr>
      <w:color w:val="595959"/>
      <w:spacing w:val="14"/>
      <w:sz w:val="28"/>
      <w:szCs w:val="28"/>
    </w:rPr>
  </w:style>
  <w:style w:type="paragraph" w:styleId="style22" w:customStyle="1">
    <w:name w:val="Quote"/>
    <w:basedOn w:val="style5"/>
    <w:next w:val="style5"/>
    <w:pPr>
      <w:spacing w:after="200" w:before="160"/>
      <w:jc w:val="center"/>
    </w:pPr>
    <w:rPr>
      <w:i/>
      <w:iCs/>
      <w:color w:val="404040"/>
    </w:rPr>
  </w:style>
  <w:style w:type="paragraph" w:styleId="style23" w:customStyle="1">
    <w:name w:val="Intense Quote"/>
    <w:basedOn w:val="style5"/>
    <w:next w:val="style5"/>
    <w:qFormat/>
    <w:pPr>
      <w:pBdr>
        <w:top w:val="single" w:color="0f4761" w:sz="4" w:space="10"/>
        <w:left w:val="none"/>
        <w:bottom w:val="single" w:color="0f4761" w:sz="4" w:space="10"/>
        <w:right w:val="none"/>
      </w:pBdr>
      <w:spacing w:after="360" w:before="360"/>
      <w:ind w:right="864" w:firstLine="0" w:left="864"/>
      <w:jc w:val="center"/>
    </w:pPr>
    <w:rPr>
      <w:i/>
      <w:iCs/>
      <w:color w:val="0f4761"/>
    </w:rPr>
  </w:style>
  <w:style w:type="paragraph" w:styleId="style24" w:customStyle="1">
    <w:name w:val="Header and Footer"/>
    <w:basedOn w:val="style5"/>
    <w:qFormat/>
  </w:style>
  <w:style w:type="paragraph" w:styleId="style25" w:customStyle="1">
    <w:name w:val="Header"/>
    <w:basedOn w:val="style5"/>
    <w:pPr>
      <w:tabs>
        <w:tab w:val="center" w:pos="4843"/>
        <w:tab w:val="right" w:pos="9688"/>
      </w:tabs>
      <w:spacing w:after="0" w:before="0" w:line="240" w:lineRule="auto"/>
    </w:pPr>
  </w:style>
  <w:style w:type="paragraph" w:styleId="style26" w:customStyle="1">
    <w:name w:val="Footer"/>
    <w:basedOn w:val="style5"/>
    <w:pPr>
      <w:tabs>
        <w:tab w:val="center" w:pos="4843"/>
        <w:tab w:val="right" w:pos="9688"/>
      </w:tabs>
      <w:spacing w:after="0" w:before="0" w:line="240" w:lineRule="auto"/>
    </w:pPr>
  </w:style>
  <w:style w:type="paragraph" w:styleId="style27" w:customStyle="1">
    <w:name w:val="Footnote"/>
    <w:basedOn w:val="style5"/>
    <w:pPr>
      <w:spacing w:after="0" w:before="0" w:line="240" w:lineRule="auto"/>
    </w:pPr>
    <w:rPr>
      <w:sz w:val="20"/>
      <w:szCs w:val="20"/>
    </w:rPr>
  </w:style>
  <w:style w:type="paragraph" w:styleId="style28" w:customStyle="1">
    <w:name w:val="Endnote"/>
    <w:basedOn w:val="style5"/>
    <w:pPr>
      <w:spacing w:after="0" w:before="0" w:line="240" w:lineRule="auto"/>
    </w:pPr>
    <w:rPr>
      <w:sz w:val="20"/>
      <w:szCs w:val="20"/>
    </w:rPr>
  </w:style>
  <w:style w:type="paragraph" w:styleId="style29" w:customStyle="1">
    <w:name w:val="Contents 1"/>
    <w:basedOn w:val="style5"/>
    <w:next w:val="style5"/>
    <w:qFormat/>
    <w:pPr>
      <w:spacing w:after="100" w:before="0"/>
    </w:pPr>
  </w:style>
  <w:style w:type="paragraph" w:styleId="style30" w:customStyle="1">
    <w:name w:val="Contents 2"/>
    <w:basedOn w:val="style5"/>
    <w:next w:val="style5"/>
    <w:qFormat/>
    <w:pPr>
      <w:spacing w:after="100" w:before="0"/>
      <w:ind w:right="0" w:firstLine="0" w:left="220"/>
    </w:pPr>
  </w:style>
  <w:style w:type="paragraph" w:styleId="style31" w:customStyle="1">
    <w:name w:val="Contents 3"/>
    <w:basedOn w:val="style5"/>
    <w:next w:val="style5"/>
    <w:qFormat/>
    <w:pPr>
      <w:spacing w:after="100" w:before="0"/>
      <w:ind w:right="0" w:firstLine="0" w:left="440"/>
    </w:pPr>
  </w:style>
  <w:style w:type="paragraph" w:styleId="style32" w:customStyle="1">
    <w:name w:val="Contents 4"/>
    <w:basedOn w:val="style5"/>
    <w:next w:val="style5"/>
    <w:qFormat/>
    <w:pPr>
      <w:spacing w:after="100" w:before="0"/>
      <w:ind w:right="0" w:firstLine="0" w:left="660"/>
    </w:pPr>
  </w:style>
  <w:style w:type="paragraph" w:styleId="style33" w:customStyle="1">
    <w:name w:val="Contents 5"/>
    <w:basedOn w:val="style5"/>
    <w:next w:val="style5"/>
    <w:qFormat/>
    <w:pPr>
      <w:spacing w:after="100" w:before="0"/>
      <w:ind w:right="0" w:firstLine="0" w:left="880"/>
    </w:pPr>
  </w:style>
  <w:style w:type="paragraph" w:styleId="style34" w:customStyle="1">
    <w:name w:val="Contents 6"/>
    <w:basedOn w:val="style5"/>
    <w:next w:val="style5"/>
    <w:qFormat/>
    <w:pPr>
      <w:spacing w:after="100" w:before="0"/>
      <w:ind w:right="0" w:firstLine="0" w:left="1100"/>
    </w:pPr>
  </w:style>
  <w:style w:type="paragraph" w:styleId="style35" w:customStyle="1">
    <w:name w:val="Contents 7"/>
    <w:basedOn w:val="style5"/>
    <w:next w:val="style5"/>
    <w:qFormat/>
    <w:pPr>
      <w:spacing w:after="100" w:before="0"/>
      <w:ind w:right="0" w:firstLine="0" w:left="1320"/>
    </w:pPr>
  </w:style>
  <w:style w:type="paragraph" w:styleId="style36" w:customStyle="1">
    <w:name w:val="Contents 8"/>
    <w:basedOn w:val="style5"/>
    <w:next w:val="style5"/>
    <w:qFormat/>
    <w:pPr>
      <w:spacing w:after="100" w:before="0"/>
      <w:ind w:right="0" w:firstLine="0" w:left="1540"/>
    </w:pPr>
  </w:style>
  <w:style w:type="paragraph" w:styleId="style37" w:customStyle="1">
    <w:name w:val="Contents 9"/>
    <w:basedOn w:val="style5"/>
    <w:next w:val="style5"/>
    <w:qFormat/>
    <w:pPr>
      <w:spacing w:after="100" w:before="0"/>
      <w:ind w:right="0" w:firstLine="0" w:left="1760"/>
    </w:pPr>
  </w:style>
  <w:style w:type="paragraph" w:styleId="style38" w:customStyle="1">
    <w:name w:val="Index Heading"/>
    <w:basedOn w:val="style6"/>
    <w:qFormat/>
  </w:style>
  <w:style w:type="paragraph" w:styleId="style39" w:customStyle="1">
    <w:name w:val="Contents Heading"/>
    <w:basedOn w:val="style2"/>
    <w:qFormat/>
    <w:pPr>
      <w:widowControl w:val="true"/>
      <w:spacing w:after="200" w:before="0" w:line="276" w:lineRule="auto"/>
      <w:jc w:val="left"/>
    </w:pPr>
    <w:rPr>
      <w:rFonts w:ascii="Arial" w:hAnsi="Arial" w:eastAsia="Arial" w:cs="Arial"/>
      <w:color w:val="auto"/>
      <w:sz w:val="22"/>
      <w:szCs w:val="22"/>
      <w:lang w:val="en-US" w:eastAsia="en-US" w:bidi="ar-SA"/>
    </w:rPr>
  </w:style>
  <w:style w:type="paragraph" w:styleId="style40" w:customStyle="1">
    <w:name w:val="table of figures"/>
    <w:basedOn w:val="style5"/>
    <w:next w:val="style5"/>
    <w:qFormat/>
    <w:pPr>
      <w:spacing w:after="0" w:before="0"/>
    </w:pPr>
  </w:style>
  <w:style w:type="paragraph" w:styleId="style41" w:customStyle="1">
    <w:name w:val="No Spacing"/>
    <w:basedOn w:val="style5"/>
    <w:qFormat/>
    <w:pPr>
      <w:spacing w:after="0" w:before="0" w:line="240" w:lineRule="auto"/>
    </w:pPr>
  </w:style>
  <w:style w:type="paragraph" w:styleId="style42" w:customStyle="1">
    <w:name w:val="List Paragraph"/>
    <w:basedOn w:val="style5"/>
    <w:qFormat/>
    <w:pPr>
      <w:spacing w:after="200" w:before="0"/>
      <w:ind w:right="0" w:firstLine="0" w:left="720"/>
    </w:pPr>
  </w:style>
  <w:style w:type="paragraph" w:styleId="style43" w:customStyle="1">
    <w:name w:val="Table Contents"/>
    <w:basedOn w:val="style5"/>
    <w:qFormat/>
    <w:pPr>
      <w:widowControl w:val="false"/>
    </w:pPr>
  </w:style>
  <w:style w:type="paragraph" w:styleId="style44" w:customStyle="1">
    <w:name w:val="Bibliography 1"/>
    <w:basedOn w:val="style10"/>
    <w:qFormat/>
    <w:pPr>
      <w:tabs>
        <w:tab w:val="right" w:leader="dot" w:pos="9360"/>
      </w:tabs>
      <w:ind w:right="0" w:firstLine="0" w:left="0"/>
    </w:pPr>
  </w:style>
  <w:style w:type="paragraph" w:styleId="style45" w:customStyle="1">
    <w:name w:val="Table Heading"/>
    <w:basedOn w:val="style43"/>
    <w:qFormat/>
    <w:pPr>
      <w:jc w:val="center"/>
    </w:pPr>
    <w:rPr>
      <w:b/>
      <w:bCs/>
    </w:rPr>
  </w:style>
  <w:style w:type="character" w:styleId="style46" w:customStyle="1">
    <w:name w:val="Footnote Symbol"/>
    <w:basedOn w:val="style50"/>
    <w:qFormat/>
    <w:rPr>
      <w:vertAlign w:val="superscript"/>
    </w:rPr>
  </w:style>
  <w:style w:type="character" w:styleId="style47" w:customStyle="1">
    <w:name w:val="Footnote anchor"/>
    <w:basedOn w:val="style2"/>
    <w:qFormat/>
    <w:rPr>
      <w:vertAlign w:val="superscript"/>
    </w:rPr>
  </w:style>
  <w:style w:type="character" w:styleId="style48" w:customStyle="1">
    <w:name w:val="Endnote Symbol"/>
    <w:basedOn w:val="style50"/>
    <w:qFormat/>
    <w:rPr>
      <w:vertAlign w:val="superscript"/>
    </w:rPr>
  </w:style>
  <w:style w:type="character" w:styleId="style49" w:customStyle="1">
    <w:name w:val="Endnote anchor"/>
    <w:basedOn w:val="style2"/>
    <w:qFormat/>
    <w:rPr>
      <w:vertAlign w:val="superscript"/>
    </w:rPr>
  </w:style>
  <w:style w:type="character" w:styleId="style50" w:customStyle="1">
    <w:name w:val="Default Paragraph Font"/>
    <w:basedOn w:val="style2"/>
    <w:qFormat/>
  </w:style>
  <w:style w:type="character" w:styleId="style51" w:customStyle="1">
    <w:name w:val="Heading 1 Char"/>
    <w:basedOn w:val="style50"/>
    <w:qFormat/>
    <w:rPr>
      <w:rFonts w:ascii="Arial" w:hAnsi="Arial" w:eastAsia="Arial" w:cs="Arial"/>
      <w:color w:val="0f4761"/>
      <w:sz w:val="40"/>
      <w:szCs w:val="40"/>
    </w:rPr>
  </w:style>
  <w:style w:type="character" w:styleId="style52" w:customStyle="1">
    <w:name w:val="Heading 2 Char"/>
    <w:basedOn w:val="style50"/>
    <w:qFormat/>
    <w:rPr>
      <w:rFonts w:ascii="Arial" w:hAnsi="Arial" w:eastAsia="Arial" w:cs="Arial"/>
      <w:color w:val="0f4761"/>
      <w:sz w:val="32"/>
      <w:szCs w:val="32"/>
    </w:rPr>
  </w:style>
  <w:style w:type="character" w:styleId="style53" w:customStyle="1">
    <w:name w:val="Heading 3 Char"/>
    <w:basedOn w:val="style50"/>
    <w:qFormat/>
    <w:rPr>
      <w:rFonts w:ascii="Arial" w:hAnsi="Arial" w:eastAsia="Arial" w:cs="Arial"/>
      <w:color w:val="0f4761"/>
      <w:sz w:val="28"/>
      <w:szCs w:val="28"/>
    </w:rPr>
  </w:style>
  <w:style w:type="character" w:styleId="style54" w:customStyle="1">
    <w:name w:val="Heading 4 Char"/>
    <w:basedOn w:val="style50"/>
    <w:qFormat/>
    <w:rPr>
      <w:rFonts w:ascii="Arial" w:hAnsi="Arial" w:eastAsia="Arial" w:cs="Arial"/>
      <w:i/>
      <w:iCs/>
      <w:color w:val="0f4761"/>
    </w:rPr>
  </w:style>
  <w:style w:type="character" w:styleId="style55" w:customStyle="1">
    <w:name w:val="Heading 5 Char"/>
    <w:basedOn w:val="style50"/>
    <w:qFormat/>
    <w:rPr>
      <w:rFonts w:ascii="Arial" w:hAnsi="Arial" w:eastAsia="Arial" w:cs="Arial"/>
      <w:color w:val="0f4761"/>
    </w:rPr>
  </w:style>
  <w:style w:type="character" w:styleId="style56" w:customStyle="1">
    <w:name w:val="Heading 6 Char"/>
    <w:basedOn w:val="style50"/>
    <w:qFormat/>
    <w:rPr>
      <w:rFonts w:ascii="Arial" w:hAnsi="Arial" w:eastAsia="Arial" w:cs="Arial"/>
      <w:i/>
      <w:iCs/>
      <w:color w:val="595959"/>
    </w:rPr>
  </w:style>
  <w:style w:type="character" w:styleId="style57" w:customStyle="1">
    <w:name w:val="Heading 7 Char"/>
    <w:basedOn w:val="style50"/>
    <w:qFormat/>
    <w:rPr>
      <w:rFonts w:ascii="Arial" w:hAnsi="Arial" w:eastAsia="Arial" w:cs="Arial"/>
      <w:color w:val="595959"/>
    </w:rPr>
  </w:style>
  <w:style w:type="character" w:styleId="style58" w:customStyle="1">
    <w:name w:val="Heading 8 Char"/>
    <w:basedOn w:val="style50"/>
    <w:qFormat/>
    <w:rPr>
      <w:rFonts w:ascii="Arial" w:hAnsi="Arial" w:eastAsia="Arial" w:cs="Arial"/>
      <w:i/>
      <w:iCs/>
      <w:color w:val="272727"/>
    </w:rPr>
  </w:style>
  <w:style w:type="character" w:styleId="style59" w:customStyle="1">
    <w:name w:val="Heading 9 Char"/>
    <w:basedOn w:val="style50"/>
    <w:qFormat/>
    <w:rPr>
      <w:rFonts w:ascii="Arial" w:hAnsi="Arial" w:eastAsia="Arial" w:cs="Arial"/>
      <w:i/>
      <w:iCs/>
      <w:color w:val="272727"/>
    </w:rPr>
  </w:style>
  <w:style w:type="character" w:styleId="style60" w:customStyle="1">
    <w:name w:val="Title Char"/>
    <w:basedOn w:val="style50"/>
    <w:qFormat/>
    <w:rPr>
      <w:rFonts w:ascii="Arial" w:hAnsi="Arial" w:eastAsia="Arial" w:cs="Arial"/>
      <w:spacing w:val="-10"/>
      <w:sz w:val="56"/>
      <w:szCs w:val="56"/>
    </w:rPr>
  </w:style>
  <w:style w:type="character" w:styleId="style61" w:customStyle="1">
    <w:name w:val="Subtitle Char"/>
    <w:basedOn w:val="style50"/>
    <w:qFormat/>
    <w:rPr>
      <w:color w:val="595959"/>
      <w:spacing w:val="14"/>
      <w:sz w:val="28"/>
      <w:szCs w:val="28"/>
    </w:rPr>
  </w:style>
  <w:style w:type="character" w:styleId="style62" w:customStyle="1">
    <w:name w:val="Quote Char"/>
    <w:basedOn w:val="style50"/>
    <w:qFormat/>
    <w:rPr>
      <w:i/>
      <w:iCs/>
      <w:color w:val="404040"/>
    </w:rPr>
  </w:style>
  <w:style w:type="character" w:styleId="style63" w:customStyle="1">
    <w:name w:val="Intense Emphasis"/>
    <w:basedOn w:val="style50"/>
    <w:qFormat/>
    <w:rPr>
      <w:i/>
      <w:iCs/>
      <w:color w:val="0f4761"/>
    </w:rPr>
  </w:style>
  <w:style w:type="character" w:styleId="style64" w:customStyle="1">
    <w:name w:val="Intense Quote Char"/>
    <w:basedOn w:val="style50"/>
    <w:qFormat/>
    <w:rPr>
      <w:i/>
      <w:iCs/>
      <w:color w:val="0f4761"/>
    </w:rPr>
  </w:style>
  <w:style w:type="character" w:styleId="style65" w:customStyle="1">
    <w:name w:val="Intense Reference"/>
    <w:basedOn w:val="style50"/>
    <w:qFormat/>
    <w:rPr>
      <w:b/>
      <w:bCs/>
      <w:smallCaps/>
      <w:color w:val="0f4761"/>
      <w:spacing w:val="5"/>
    </w:rPr>
  </w:style>
  <w:style w:type="character" w:styleId="style66" w:customStyle="1">
    <w:name w:val="Subtle Emphasis"/>
    <w:basedOn w:val="style50"/>
    <w:qFormat/>
    <w:rPr>
      <w:i/>
      <w:iCs/>
      <w:color w:val="404040"/>
    </w:rPr>
  </w:style>
  <w:style w:type="character" w:styleId="style67" w:customStyle="1">
    <w:name w:val="Emphasis"/>
    <w:basedOn w:val="style50"/>
    <w:rPr>
      <w:i/>
      <w:iCs/>
    </w:rPr>
  </w:style>
  <w:style w:type="character" w:styleId="style68" w:customStyle="1">
    <w:name w:val="Strong"/>
    <w:basedOn w:val="style50"/>
    <w:rPr>
      <w:b/>
      <w:bCs/>
    </w:rPr>
  </w:style>
  <w:style w:type="character" w:styleId="style69" w:customStyle="1">
    <w:name w:val="Subtle Reference"/>
    <w:basedOn w:val="style50"/>
    <w:qFormat/>
    <w:rPr>
      <w:smallCaps/>
      <w:color w:val="5a5a5a"/>
    </w:rPr>
  </w:style>
  <w:style w:type="character" w:styleId="style70" w:customStyle="1">
    <w:name w:val="Book Title"/>
    <w:basedOn w:val="style50"/>
    <w:qFormat/>
    <w:rPr>
      <w:b/>
      <w:bCs/>
      <w:i/>
      <w:iCs/>
      <w:spacing w:val="5"/>
    </w:rPr>
  </w:style>
  <w:style w:type="character" w:styleId="style71" w:customStyle="1">
    <w:name w:val="Header Char"/>
    <w:basedOn w:val="style50"/>
    <w:qFormat/>
  </w:style>
  <w:style w:type="character" w:styleId="style72" w:customStyle="1">
    <w:name w:val="Footer Char"/>
    <w:basedOn w:val="style50"/>
    <w:qFormat/>
  </w:style>
  <w:style w:type="character" w:styleId="style73" w:customStyle="1">
    <w:name w:val="Footnote Text Char"/>
    <w:basedOn w:val="style50"/>
    <w:qFormat/>
    <w:rPr>
      <w:sz w:val="20"/>
      <w:szCs w:val="20"/>
    </w:rPr>
  </w:style>
  <w:style w:type="character" w:styleId="style74" w:customStyle="1">
    <w:name w:val="Endnote Text Char"/>
    <w:basedOn w:val="style50"/>
    <w:qFormat/>
    <w:rPr>
      <w:sz w:val="20"/>
      <w:szCs w:val="20"/>
    </w:rPr>
  </w:style>
  <w:style w:type="character" w:styleId="style75" w:customStyle="1">
    <w:name w:val="Internet link"/>
    <w:basedOn w:val="style50"/>
    <w:qFormat/>
    <w:rPr>
      <w:color w:val="0563c1"/>
      <w:u w:val="single"/>
    </w:rPr>
  </w:style>
  <w:style w:type="character" w:styleId="style76" w:customStyle="1">
    <w:name w:val="Visited Internet Link"/>
    <w:basedOn w:val="style50"/>
    <w:qFormat/>
    <w:rPr>
      <w:color w:val="954f72"/>
      <w:u w:val="single"/>
    </w:rPr>
  </w:style>
  <w:style w:type="character" w:styleId="style77" w:customStyle="1">
    <w:name w:val="Placeholder Text"/>
    <w:basedOn w:val="style50"/>
    <w:qFormat/>
    <w:rPr>
      <w:color w:val="666666"/>
    </w:rPr>
  </w:style>
  <w:style w:type="character" w:styleId="style78" w:customStyle="1">
    <w:name w:val="Strong Emphasis"/>
    <w:basedOn w:val="style2"/>
    <w:qFormat/>
    <w:rPr>
      <w:b/>
      <w:bCs/>
    </w:rPr>
  </w:style>
  <w:style w:type="character" w:styleId="style79" w:customStyle="1">
    <w:name w:val="Bullet Symbols"/>
    <w:basedOn w:val="style2"/>
    <w:qFormat/>
    <w:rPr>
      <w:rFonts w:ascii="OpenSymbol" w:hAnsi="OpenSymbol" w:eastAsia="OpenSymbol" w:cs="OpenSymbol"/>
    </w:rPr>
  </w:style>
  <w:style w:type="character" w:styleId="style80" w:customStyle="1">
    <w:name w:val="Source Text"/>
    <w:basedOn w:val="style2"/>
    <w:qFormat/>
    <w:rPr>
      <w:rFonts w:ascii="Liberation Mono" w:hAnsi="Liberation Mono" w:eastAsia="Liberation Mono" w:cs="Liberation Mono"/>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image" Target="media/image1.png"/><Relationship Id="rId8" Type="http://schemas.openxmlformats.org/officeDocument/2006/relationships/hyperlink" Target="https://syndx-dashboard.streamlit.app/" TargetMode="External"/><Relationship Id="rId9" Type="http://schemas.openxmlformats.org/officeDocument/2006/relationships/image" Target="media/image2.png"/><Relationship Id="rId10" Type="http://schemas.openxmlformats.org/officeDocument/2006/relationships/hyperlink" Target="https://syndx-dashboard.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LibreOffice/7.3.7.2$Linux_X86_64 LibreOffice_project/30$Build-2</Template>
  <Pages>15</Pages>
  <Words>4000</Words>
  <Characters>25906</Characters>
  <CharactersWithSpaces>29815</CharactersWithSpaces>
  <Application>ONLYOFFICE/9.0.4.50</Application>
  <Paragraphs>93</Paragraphs>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ONLYOFFICE/9.0.4.50</cp:lastModifiedBy>
  <dcterms:modified xsi:type="dcterms:W3CDTF">2025-10-06T12:33:34.344055551</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zotero-version="7.0.23"&gt;&lt;session id="7Wrrpdq1"/&gt;&lt;style id="http://www.zotero.org/styles/vancouver" locale="en-US" hasBibliography="1" bibliographyStyleHasBeenSet="1"/&gt;&lt;prefs&gt;&lt;pref name="fieldType" value="ReferenceMark"/&gt;&lt;pref name="</vt:lpwstr>
  </property>
  <property fmtid="{D5CDD505-2E9C-101B-9397-08002B2CF9AE}" pid="4" name="ZOTERO_PREF_2">
    <vt:lpwstr>automaticJournalAbbreviations" value="true"/&gt;&lt;/prefs&gt;&lt;/data&gt;</vt:lpwstr>
  </property>
</Properties>
</file>