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19C26" w14:textId="77777777" w:rsidR="00A86CB5" w:rsidRPr="00A86CB5" w:rsidRDefault="00A86CB5" w:rsidP="00A86CB5">
      <w:pPr>
        <w:spacing w:line="360" w:lineRule="auto"/>
        <w:jc w:val="center"/>
        <w:rPr>
          <w:rFonts w:ascii="Times New Roman" w:hAnsi="Times New Roman" w:cs="Times New Roman"/>
          <w:b/>
          <w:bCs/>
          <w:sz w:val="32"/>
          <w:szCs w:val="32"/>
        </w:rPr>
      </w:pPr>
      <w:r w:rsidRPr="00A86CB5">
        <w:rPr>
          <w:rFonts w:ascii="Times New Roman" w:hAnsi="Times New Roman" w:cs="Times New Roman"/>
          <w:b/>
          <w:bCs/>
          <w:sz w:val="32"/>
          <w:szCs w:val="32"/>
        </w:rPr>
        <w:t>Review comments</w:t>
      </w:r>
    </w:p>
    <w:p w14:paraId="22B00E23" w14:textId="77777777" w:rsidR="00A86CB5" w:rsidRPr="00A86CB5" w:rsidRDefault="00A86CB5" w:rsidP="00A86CB5">
      <w:pPr>
        <w:spacing w:line="360" w:lineRule="auto"/>
        <w:jc w:val="both"/>
        <w:rPr>
          <w:rFonts w:ascii="Times New Roman" w:hAnsi="Times New Roman" w:cs="Times New Roman"/>
          <w:b/>
          <w:bCs/>
          <w:sz w:val="24"/>
          <w:szCs w:val="24"/>
        </w:rPr>
      </w:pPr>
      <w:r w:rsidRPr="00A86CB5">
        <w:rPr>
          <w:rFonts w:ascii="Times New Roman" w:hAnsi="Times New Roman" w:cs="Times New Roman"/>
          <w:b/>
          <w:bCs/>
          <w:sz w:val="24"/>
          <w:szCs w:val="24"/>
        </w:rPr>
        <w:t xml:space="preserve">Reviewer 1: </w:t>
      </w:r>
    </w:p>
    <w:p w14:paraId="571B0E42" w14:textId="77777777" w:rsidR="00A86CB5" w:rsidRPr="00C2120F" w:rsidRDefault="00A86CB5" w:rsidP="00A86CB5">
      <w:pPr>
        <w:pStyle w:val="PlainText"/>
        <w:spacing w:line="360" w:lineRule="auto"/>
        <w:jc w:val="both"/>
        <w:rPr>
          <w:rFonts w:ascii="Times New Roman" w:hAnsi="Times New Roman" w:cs="Times New Roman"/>
        </w:rPr>
      </w:pPr>
      <w:r w:rsidRPr="00C2120F">
        <w:rPr>
          <w:rFonts w:ascii="Times New Roman" w:hAnsi="Times New Roman" w:cs="Times New Roman"/>
        </w:rPr>
        <w:t>With great interest I've read this really interesting paper on macrolide resistance genes. The authors have written a very good paper. The research has some important limitation, but the authors have all discussed them in the "discussion" session. Therefore, I have only a few less important remarks:</w:t>
      </w:r>
    </w:p>
    <w:p w14:paraId="43FEE6FF" w14:textId="77777777" w:rsidR="00A86CB5" w:rsidRDefault="00A86CB5" w:rsidP="00A86CB5">
      <w:pPr>
        <w:pStyle w:val="PlainText"/>
        <w:spacing w:line="360" w:lineRule="auto"/>
        <w:jc w:val="both"/>
        <w:rPr>
          <w:rFonts w:ascii="Times New Roman" w:hAnsi="Times New Roman" w:cs="Times New Roman"/>
        </w:rPr>
      </w:pPr>
    </w:p>
    <w:p w14:paraId="24F0A97E" w14:textId="77777777" w:rsidR="00A86CB5" w:rsidRDefault="00A86CB5" w:rsidP="00A86CB5">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Do the authors have data or literature to support the statement in the Methods that a 6 month “wash-out” is enough to go back to a “baseline” situation?</w:t>
      </w:r>
    </w:p>
    <w:p w14:paraId="30D7815B" w14:textId="3FA30CFB" w:rsidR="005769AC" w:rsidRDefault="005769AC"/>
    <w:p w14:paraId="75EDA9EE" w14:textId="399CFBBC" w:rsidR="000104EE" w:rsidRPr="00020792" w:rsidRDefault="00A86CB5" w:rsidP="00020792">
      <w:pPr>
        <w:spacing w:line="360" w:lineRule="auto"/>
        <w:jc w:val="both"/>
        <w:rPr>
          <w:b/>
          <w:bCs/>
          <w:color w:val="7030A0"/>
        </w:rPr>
      </w:pPr>
      <w:r w:rsidRPr="00020792">
        <w:rPr>
          <w:b/>
          <w:bCs/>
          <w:color w:val="7030A0"/>
        </w:rPr>
        <w:t>[Literature search]</w:t>
      </w:r>
      <w:r w:rsidR="009754D9" w:rsidRPr="00020792">
        <w:rPr>
          <w:b/>
          <w:bCs/>
          <w:color w:val="7030A0"/>
        </w:rPr>
        <w:t>: macrolide resistance gene at specific time point</w:t>
      </w:r>
      <w:r w:rsidR="005B686B" w:rsidRPr="00020792">
        <w:rPr>
          <w:b/>
          <w:bCs/>
          <w:color w:val="7030A0"/>
        </w:rPr>
        <w:t>s after treatment</w:t>
      </w:r>
    </w:p>
    <w:p w14:paraId="145A634E" w14:textId="149059E7" w:rsidR="00343676" w:rsidRPr="00343676" w:rsidRDefault="00020792" w:rsidP="00020792">
      <w:pPr>
        <w:pStyle w:val="ListParagraph"/>
        <w:numPr>
          <w:ilvl w:val="0"/>
          <w:numId w:val="19"/>
        </w:numPr>
        <w:spacing w:line="360" w:lineRule="auto"/>
        <w:jc w:val="both"/>
      </w:pPr>
      <w:r>
        <w:t>In our AZM study, m</w:t>
      </w:r>
      <w:r w:rsidR="00343676" w:rsidRPr="00343676">
        <w:t>ajority of participants (84%, 157/186) do not have any regular antibiotic history</w:t>
      </w:r>
    </w:p>
    <w:p w14:paraId="5AEF8625" w14:textId="567220E7" w:rsidR="00D11E9D" w:rsidRDefault="009754D9" w:rsidP="00020792">
      <w:pPr>
        <w:pStyle w:val="ListParagraph"/>
        <w:numPr>
          <w:ilvl w:val="0"/>
          <w:numId w:val="19"/>
        </w:numPr>
        <w:spacing w:line="360" w:lineRule="auto"/>
        <w:jc w:val="both"/>
      </w:pPr>
      <w:r w:rsidRPr="00343676">
        <w:rPr>
          <w:b/>
          <w:bCs/>
        </w:rPr>
        <w:t>Malhotra’s paper</w:t>
      </w:r>
      <w:r w:rsidRPr="009754D9">
        <w:t xml:space="preserve"> is the only randomised controlled trial</w:t>
      </w:r>
      <w:r w:rsidR="00C27104">
        <w:t xml:space="preserve"> I can find</w:t>
      </w:r>
      <w:r w:rsidRPr="009754D9">
        <w:t xml:space="preserve"> to examine macrolide resistance </w:t>
      </w:r>
      <w:r>
        <w:t xml:space="preserve">gene </w:t>
      </w:r>
      <w:r w:rsidRPr="009754D9">
        <w:t>at specific time points</w:t>
      </w:r>
      <w:r w:rsidR="00D11E9D">
        <w:t xml:space="preserve"> after </w:t>
      </w:r>
      <w:r w:rsidR="00C27104">
        <w:t>antibiotic treatment</w:t>
      </w:r>
    </w:p>
    <w:p w14:paraId="10412E64" w14:textId="603881CA" w:rsidR="000104EE" w:rsidRDefault="000104EE" w:rsidP="00020792">
      <w:pPr>
        <w:pStyle w:val="ListParagraph"/>
        <w:numPr>
          <w:ilvl w:val="1"/>
          <w:numId w:val="2"/>
        </w:numPr>
        <w:spacing w:line="360" w:lineRule="auto"/>
        <w:jc w:val="both"/>
      </w:pPr>
      <w:r>
        <w:t>Receive azithromycin/clarithromycin for 3/7 days, measure resistance gene carriage for 180 days</w:t>
      </w:r>
    </w:p>
    <w:p w14:paraId="67491046" w14:textId="4EA44D95" w:rsidR="00C27104" w:rsidRDefault="00C27104" w:rsidP="00020792">
      <w:pPr>
        <w:pStyle w:val="ListParagraph"/>
        <w:numPr>
          <w:ilvl w:val="1"/>
          <w:numId w:val="2"/>
        </w:numPr>
        <w:spacing w:line="360" w:lineRule="auto"/>
        <w:jc w:val="both"/>
      </w:pPr>
      <w:r>
        <w:t xml:space="preserve">Macrolide resistance genes: </w:t>
      </w:r>
      <w:proofErr w:type="spellStart"/>
      <w:r>
        <w:t>mef</w:t>
      </w:r>
      <w:proofErr w:type="spellEnd"/>
      <w:r>
        <w:t xml:space="preserve">, </w:t>
      </w:r>
      <w:proofErr w:type="spellStart"/>
      <w:r>
        <w:t>ermB</w:t>
      </w:r>
      <w:proofErr w:type="spellEnd"/>
      <w:r>
        <w:t xml:space="preserve">, </w:t>
      </w:r>
      <w:proofErr w:type="spellStart"/>
      <w:r>
        <w:t>tetO</w:t>
      </w:r>
      <w:proofErr w:type="spellEnd"/>
      <w:r>
        <w:t xml:space="preserve">, </w:t>
      </w:r>
      <w:proofErr w:type="spellStart"/>
      <w:r>
        <w:t>tetM</w:t>
      </w:r>
      <w:proofErr w:type="spellEnd"/>
      <w:r>
        <w:t xml:space="preserve">, </w:t>
      </w:r>
      <w:proofErr w:type="spellStart"/>
      <w:r>
        <w:t>tetL</w:t>
      </w:r>
      <w:proofErr w:type="spellEnd"/>
      <w:r>
        <w:t xml:space="preserve">, </w:t>
      </w:r>
      <w:proofErr w:type="spellStart"/>
      <w:r>
        <w:t>tetK</w:t>
      </w:r>
      <w:proofErr w:type="spellEnd"/>
      <w:r>
        <w:t xml:space="preserve">, </w:t>
      </w:r>
      <w:proofErr w:type="spellStart"/>
      <w:r>
        <w:t>ermA</w:t>
      </w:r>
      <w:proofErr w:type="spellEnd"/>
    </w:p>
    <w:p w14:paraId="7902440A" w14:textId="77777777" w:rsidR="00C27104" w:rsidRPr="009665F5" w:rsidRDefault="00C27104" w:rsidP="00020792">
      <w:pPr>
        <w:pStyle w:val="ListParagraph"/>
        <w:numPr>
          <w:ilvl w:val="1"/>
          <w:numId w:val="2"/>
        </w:numPr>
        <w:spacing w:line="360" w:lineRule="auto"/>
        <w:jc w:val="both"/>
        <w:rPr>
          <w:highlight w:val="yellow"/>
        </w:rPr>
      </w:pPr>
      <w:r w:rsidRPr="009665F5">
        <w:rPr>
          <w:highlight w:val="yellow"/>
        </w:rPr>
        <w:t xml:space="preserve">Carriage of </w:t>
      </w:r>
      <w:proofErr w:type="spellStart"/>
      <w:r w:rsidRPr="009665F5">
        <w:rPr>
          <w:highlight w:val="yellow"/>
        </w:rPr>
        <w:t>tet</w:t>
      </w:r>
      <w:proofErr w:type="spellEnd"/>
      <w:r w:rsidRPr="009665F5">
        <w:rPr>
          <w:highlight w:val="yellow"/>
        </w:rPr>
        <w:t xml:space="preserve">(L), </w:t>
      </w:r>
      <w:proofErr w:type="spellStart"/>
      <w:r w:rsidRPr="009665F5">
        <w:rPr>
          <w:highlight w:val="yellow"/>
        </w:rPr>
        <w:t>tet</w:t>
      </w:r>
      <w:proofErr w:type="spellEnd"/>
      <w:r w:rsidRPr="009665F5">
        <w:rPr>
          <w:highlight w:val="yellow"/>
        </w:rPr>
        <w:t>(K), and erm(A) remained the stable throughout the study period</w:t>
      </w:r>
    </w:p>
    <w:p w14:paraId="7CF1E773" w14:textId="72986915" w:rsidR="00C27104" w:rsidRPr="00C27104" w:rsidRDefault="00C27104" w:rsidP="00020792">
      <w:pPr>
        <w:pStyle w:val="ListParagraph"/>
        <w:numPr>
          <w:ilvl w:val="1"/>
          <w:numId w:val="2"/>
        </w:numPr>
        <w:spacing w:line="360" w:lineRule="auto"/>
        <w:jc w:val="both"/>
        <w:rPr>
          <w:highlight w:val="yellow"/>
        </w:rPr>
      </w:pPr>
      <w:r w:rsidRPr="009665F5">
        <w:rPr>
          <w:highlight w:val="yellow"/>
        </w:rPr>
        <w:t>6-month post macrolide therapy, carriage of the rest genes</w:t>
      </w:r>
      <w:r w:rsidR="000104EE">
        <w:rPr>
          <w:highlight w:val="yellow"/>
        </w:rPr>
        <w:t xml:space="preserve"> significantly dropped, went back to the level that close to baseline</w:t>
      </w:r>
    </w:p>
    <w:p w14:paraId="737F7947" w14:textId="5ED85ED0" w:rsidR="00C27104" w:rsidRDefault="00D11E9D" w:rsidP="00020792">
      <w:pPr>
        <w:pStyle w:val="ListParagraph"/>
        <w:spacing w:line="360" w:lineRule="auto"/>
        <w:ind w:left="360"/>
        <w:jc w:val="both"/>
      </w:pPr>
      <w:r w:rsidRPr="00343676">
        <w:rPr>
          <w:b/>
          <w:bCs/>
        </w:rPr>
        <w:t>O</w:t>
      </w:r>
      <w:r w:rsidR="009754D9" w:rsidRPr="00343676">
        <w:rPr>
          <w:b/>
          <w:bCs/>
        </w:rPr>
        <w:t>ther paper</w:t>
      </w:r>
      <w:r w:rsidR="00C27104" w:rsidRPr="00343676">
        <w:rPr>
          <w:b/>
          <w:bCs/>
        </w:rPr>
        <w:t>s:</w:t>
      </w:r>
      <w:r w:rsidR="00C27104">
        <w:t xml:space="preserve"> compare the resistance gene carriage </w:t>
      </w:r>
      <w:r w:rsidR="00C27104" w:rsidRPr="00343676">
        <w:rPr>
          <w:u w:val="single"/>
        </w:rPr>
        <w:t>with placebo group</w:t>
      </w:r>
      <w:r w:rsidR="00C27104">
        <w:t xml:space="preserve"> or </w:t>
      </w:r>
      <w:r w:rsidR="00C27104" w:rsidRPr="00343676">
        <w:rPr>
          <w:u w:val="single"/>
        </w:rPr>
        <w:t>during therapy</w:t>
      </w:r>
      <w:r w:rsidR="00C27104">
        <w:t xml:space="preserve"> </w:t>
      </w:r>
    </w:p>
    <w:p w14:paraId="181E7998" w14:textId="00D5B96E" w:rsidR="00C27104" w:rsidRDefault="00C27104" w:rsidP="00020792">
      <w:pPr>
        <w:pStyle w:val="ListParagraph"/>
        <w:spacing w:line="360" w:lineRule="auto"/>
        <w:ind w:left="360"/>
        <w:jc w:val="both"/>
      </w:pPr>
      <w:r>
        <w:t>(e.g. Jocelyn erythromycin paper and Steven’s azithromycin paper or Remco’ paper)</w:t>
      </w:r>
    </w:p>
    <w:p w14:paraId="22376184" w14:textId="41A4D368" w:rsidR="00020792" w:rsidRDefault="00020792" w:rsidP="00020792">
      <w:pPr>
        <w:pStyle w:val="ListParagraph"/>
        <w:spacing w:line="360" w:lineRule="auto"/>
        <w:ind w:left="360"/>
        <w:jc w:val="both"/>
      </w:pPr>
    </w:p>
    <w:p w14:paraId="6B4F0293" w14:textId="5122B5FD" w:rsidR="00020792" w:rsidRDefault="00020792" w:rsidP="00020792">
      <w:pPr>
        <w:pStyle w:val="ListParagraph"/>
        <w:spacing w:line="360" w:lineRule="auto"/>
        <w:ind w:left="360"/>
        <w:jc w:val="both"/>
      </w:pPr>
    </w:p>
    <w:p w14:paraId="3BAC9D07" w14:textId="6810E185" w:rsidR="00020792" w:rsidRDefault="00020792" w:rsidP="00020792">
      <w:pPr>
        <w:pStyle w:val="ListParagraph"/>
        <w:spacing w:line="360" w:lineRule="auto"/>
        <w:ind w:left="360"/>
        <w:jc w:val="both"/>
      </w:pPr>
    </w:p>
    <w:p w14:paraId="6AA88C32" w14:textId="5F17550B" w:rsidR="00020792" w:rsidRDefault="00020792" w:rsidP="00020792">
      <w:pPr>
        <w:pStyle w:val="ListParagraph"/>
        <w:spacing w:line="360" w:lineRule="auto"/>
        <w:ind w:left="360"/>
        <w:jc w:val="both"/>
      </w:pPr>
    </w:p>
    <w:p w14:paraId="1D268301" w14:textId="697C8870" w:rsidR="00020792" w:rsidRDefault="00020792" w:rsidP="00020792">
      <w:pPr>
        <w:pStyle w:val="ListParagraph"/>
        <w:spacing w:line="360" w:lineRule="auto"/>
        <w:ind w:left="360"/>
        <w:jc w:val="both"/>
      </w:pPr>
    </w:p>
    <w:p w14:paraId="698B310A" w14:textId="1BE52C3E" w:rsidR="00020792" w:rsidRDefault="00020792" w:rsidP="00020792">
      <w:pPr>
        <w:pStyle w:val="ListParagraph"/>
        <w:spacing w:line="360" w:lineRule="auto"/>
        <w:ind w:left="360"/>
        <w:jc w:val="both"/>
      </w:pPr>
    </w:p>
    <w:p w14:paraId="41DF17AC" w14:textId="269BF076" w:rsidR="00020792" w:rsidRDefault="00020792" w:rsidP="00020792">
      <w:pPr>
        <w:pStyle w:val="ListParagraph"/>
        <w:spacing w:line="360" w:lineRule="auto"/>
        <w:ind w:left="360"/>
        <w:jc w:val="both"/>
      </w:pPr>
    </w:p>
    <w:p w14:paraId="4764A394" w14:textId="77777777" w:rsidR="00020792" w:rsidRPr="009754D9" w:rsidRDefault="00020792" w:rsidP="00020792">
      <w:pPr>
        <w:pStyle w:val="ListParagraph"/>
        <w:spacing w:line="360" w:lineRule="auto"/>
        <w:ind w:left="360"/>
        <w:jc w:val="both"/>
      </w:pPr>
    </w:p>
    <w:p w14:paraId="15F2EB39" w14:textId="5A33CC94" w:rsidR="00A0051C" w:rsidRDefault="00A0051C" w:rsidP="00A0051C"/>
    <w:p w14:paraId="103C1EAA" w14:textId="083DF529" w:rsidR="00A0051C" w:rsidRDefault="00A0051C" w:rsidP="00A0051C">
      <w:pPr>
        <w:jc w:val="center"/>
      </w:pPr>
      <w:r>
        <w:rPr>
          <w:noProof/>
        </w:rPr>
        <w:lastRenderedPageBreak/>
        <w:drawing>
          <wp:inline distT="0" distB="0" distL="0" distR="0" wp14:anchorId="4BF2C823" wp14:editId="3BF4C0EE">
            <wp:extent cx="256222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561975"/>
                    </a:xfrm>
                    <a:prstGeom prst="rect">
                      <a:avLst/>
                    </a:prstGeom>
                  </pic:spPr>
                </pic:pic>
              </a:graphicData>
            </a:graphic>
          </wp:inline>
        </w:drawing>
      </w:r>
    </w:p>
    <w:p w14:paraId="200E6239" w14:textId="41805CBF" w:rsidR="00A0051C" w:rsidRDefault="00A0051C" w:rsidP="00A0051C">
      <w:r>
        <w:rPr>
          <w:noProof/>
        </w:rPr>
        <w:drawing>
          <wp:inline distT="0" distB="0" distL="0" distR="0" wp14:anchorId="7472DD0E" wp14:editId="22561EAB">
            <wp:extent cx="5172075" cy="19210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2108" cy="1928497"/>
                    </a:xfrm>
                    <a:prstGeom prst="rect">
                      <a:avLst/>
                    </a:prstGeom>
                  </pic:spPr>
                </pic:pic>
              </a:graphicData>
            </a:graphic>
          </wp:inline>
        </w:drawing>
      </w:r>
    </w:p>
    <w:p w14:paraId="1EC18ED3" w14:textId="77777777" w:rsidR="00020792" w:rsidRPr="00020792" w:rsidRDefault="00020792" w:rsidP="00020792">
      <w:pPr>
        <w:pStyle w:val="ListParagraph"/>
        <w:ind w:left="360"/>
        <w:rPr>
          <w:b/>
          <w:bCs/>
        </w:rPr>
      </w:pPr>
    </w:p>
    <w:p w14:paraId="11DFC9FF" w14:textId="7AE42DE4" w:rsidR="009754D9" w:rsidRPr="00343676" w:rsidRDefault="006C4D31" w:rsidP="00020792">
      <w:pPr>
        <w:pStyle w:val="ListParagraph"/>
        <w:numPr>
          <w:ilvl w:val="0"/>
          <w:numId w:val="2"/>
        </w:numPr>
        <w:spacing w:line="360" w:lineRule="auto"/>
        <w:jc w:val="both"/>
        <w:rPr>
          <w:b/>
          <w:bCs/>
        </w:rPr>
      </w:pPr>
      <w:proofErr w:type="spellStart"/>
      <w:r w:rsidRPr="006C4D31">
        <w:t>Costelloe</w:t>
      </w:r>
      <w:proofErr w:type="spellEnd"/>
      <w:r w:rsidRPr="006C4D31">
        <w:t xml:space="preserve"> 2010 BMJ:</w:t>
      </w:r>
      <w:r w:rsidRPr="006C4D31">
        <w:rPr>
          <w:b/>
          <w:bCs/>
        </w:rPr>
        <w:t xml:space="preserve"> </w:t>
      </w:r>
      <w:r w:rsidRPr="006C4D31">
        <w:t>Meta-analysis paper (PMID: 20483949)</w:t>
      </w:r>
    </w:p>
    <w:p w14:paraId="3E03478B" w14:textId="1FFE4A41" w:rsidR="00343676" w:rsidRDefault="00343676" w:rsidP="00020792">
      <w:pPr>
        <w:pStyle w:val="ListParagraph"/>
        <w:numPr>
          <w:ilvl w:val="1"/>
          <w:numId w:val="2"/>
        </w:numPr>
        <w:spacing w:line="360" w:lineRule="auto"/>
        <w:jc w:val="both"/>
      </w:pPr>
      <w:r w:rsidRPr="00343676">
        <w:t>At 6 months post-antibiotic, the antibiotic use is not significantly associated with resistance anymore</w:t>
      </w:r>
    </w:p>
    <w:p w14:paraId="797371A8" w14:textId="37526277" w:rsidR="00343676" w:rsidRPr="00343676" w:rsidRDefault="00343676" w:rsidP="00343676">
      <w:pPr>
        <w:jc w:val="center"/>
      </w:pPr>
      <w:r>
        <w:rPr>
          <w:noProof/>
        </w:rPr>
        <w:drawing>
          <wp:inline distT="0" distB="0" distL="0" distR="0" wp14:anchorId="6E983270" wp14:editId="5FD3F044">
            <wp:extent cx="4191000" cy="420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000" cy="4200525"/>
                    </a:xfrm>
                    <a:prstGeom prst="rect">
                      <a:avLst/>
                    </a:prstGeom>
                  </pic:spPr>
                </pic:pic>
              </a:graphicData>
            </a:graphic>
          </wp:inline>
        </w:drawing>
      </w:r>
    </w:p>
    <w:p w14:paraId="28A10902" w14:textId="00107186" w:rsidR="00A86CB5" w:rsidRPr="00020792" w:rsidRDefault="00D15670" w:rsidP="00020792">
      <w:pPr>
        <w:spacing w:line="360" w:lineRule="auto"/>
        <w:jc w:val="both"/>
        <w:rPr>
          <w:b/>
          <w:bCs/>
          <w:color w:val="7030A0"/>
        </w:rPr>
      </w:pPr>
      <w:r w:rsidRPr="00020792">
        <w:rPr>
          <w:b/>
          <w:bCs/>
          <w:color w:val="7030A0"/>
        </w:rPr>
        <w:t>[</w:t>
      </w:r>
      <w:r w:rsidR="00A86CB5" w:rsidRPr="00020792">
        <w:rPr>
          <w:b/>
          <w:bCs/>
          <w:color w:val="7030A0"/>
        </w:rPr>
        <w:t>Our response</w:t>
      </w:r>
      <w:r w:rsidRPr="00020792">
        <w:rPr>
          <w:b/>
          <w:bCs/>
          <w:color w:val="7030A0"/>
        </w:rPr>
        <w:t>]</w:t>
      </w:r>
    </w:p>
    <w:p w14:paraId="52C1E6A9" w14:textId="73BAC2F3" w:rsidR="00D15670" w:rsidRDefault="00D15670">
      <w:pPr>
        <w:rPr>
          <w:b/>
          <w:bCs/>
        </w:rPr>
      </w:pPr>
    </w:p>
    <w:p w14:paraId="7144E886" w14:textId="77777777" w:rsidR="00D15670" w:rsidRDefault="00D15670">
      <w:pPr>
        <w:rPr>
          <w:b/>
          <w:bCs/>
        </w:rPr>
        <w:sectPr w:rsidR="00D15670">
          <w:pgSz w:w="11906" w:h="16838"/>
          <w:pgMar w:top="1440" w:right="1440" w:bottom="1440" w:left="1440" w:header="708" w:footer="708" w:gutter="0"/>
          <w:cols w:space="708"/>
          <w:docGrid w:linePitch="360"/>
        </w:sectPr>
      </w:pPr>
    </w:p>
    <w:p w14:paraId="45F49731" w14:textId="77777777" w:rsidR="00D15670" w:rsidRDefault="00D15670" w:rsidP="000104EE">
      <w:pPr>
        <w:pStyle w:val="PlainText"/>
        <w:numPr>
          <w:ilvl w:val="0"/>
          <w:numId w:val="19"/>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lastRenderedPageBreak/>
        <w:t>The authors have a 4</w:t>
      </w:r>
      <w:r>
        <w:rPr>
          <w:rFonts w:ascii="Times New Roman" w:hAnsi="Times New Roman" w:cs="Times New Roman"/>
        </w:rPr>
        <w:t>-</w:t>
      </w:r>
      <w:r w:rsidRPr="00C2120F">
        <w:rPr>
          <w:rFonts w:ascii="Times New Roman" w:hAnsi="Times New Roman" w:cs="Times New Roman"/>
        </w:rPr>
        <w:t>week wash-out for other antibiotics but how about e.g. clindamycin (</w:t>
      </w:r>
      <w:proofErr w:type="spellStart"/>
      <w:r w:rsidRPr="005C2F67">
        <w:rPr>
          <w:rFonts w:ascii="Times New Roman" w:hAnsi="Times New Roman" w:cs="Times New Roman"/>
        </w:rPr>
        <w:t>Lincosamides</w:t>
      </w:r>
      <w:proofErr w:type="spellEnd"/>
      <w:r w:rsidRPr="00C2120F">
        <w:rPr>
          <w:rFonts w:ascii="Times New Roman" w:hAnsi="Times New Roman" w:cs="Times New Roman"/>
        </w:rPr>
        <w:t>) in this erm setting?</w:t>
      </w:r>
    </w:p>
    <w:p w14:paraId="5ED5D126" w14:textId="53591854" w:rsidR="00D15670" w:rsidRDefault="00D15670">
      <w:pPr>
        <w:rPr>
          <w:b/>
          <w:bCs/>
        </w:rPr>
      </w:pPr>
    </w:p>
    <w:p w14:paraId="1C072D14" w14:textId="44B9CDDC" w:rsidR="00D15670" w:rsidRPr="00020792" w:rsidRDefault="00D15670" w:rsidP="00020792">
      <w:pPr>
        <w:spacing w:line="360" w:lineRule="auto"/>
        <w:jc w:val="both"/>
        <w:rPr>
          <w:b/>
          <w:bCs/>
          <w:color w:val="7030A0"/>
        </w:rPr>
      </w:pPr>
      <w:r w:rsidRPr="00020792">
        <w:rPr>
          <w:b/>
          <w:bCs/>
          <w:color w:val="7030A0"/>
        </w:rPr>
        <w:t>[Contact Lucy]</w:t>
      </w:r>
    </w:p>
    <w:p w14:paraId="52032EE4" w14:textId="77777777" w:rsidR="008F6999" w:rsidRDefault="008F6999" w:rsidP="00EC76FF">
      <w:pPr>
        <w:jc w:val="both"/>
      </w:pPr>
      <w:r>
        <w:t>F</w:t>
      </w:r>
      <w:r w:rsidR="00EC76FF" w:rsidRPr="00EC76FF">
        <w:t>rom the clinical manifest, none of the participants received clindamycin during the 4-week wash-out,</w:t>
      </w:r>
      <w:r w:rsidR="00EC76FF">
        <w:t xml:space="preserve"> </w:t>
      </w:r>
    </w:p>
    <w:p w14:paraId="669CF03F" w14:textId="0713EF1B" w:rsidR="00EC76FF" w:rsidRPr="00EC76FF" w:rsidRDefault="008F6999" w:rsidP="00EC76FF">
      <w:pPr>
        <w:jc w:val="both"/>
      </w:pPr>
      <w:r>
        <w:t>T</w:t>
      </w:r>
      <w:r w:rsidR="00EC76FF">
        <w:t>o be safe,</w:t>
      </w:r>
      <w:r w:rsidR="00EC76FF" w:rsidRPr="00EC76FF">
        <w:t xml:space="preserve"> </w:t>
      </w:r>
      <w:r w:rsidR="00EC76FF" w:rsidRPr="00EC76FF">
        <w:rPr>
          <w:rFonts w:hint="eastAsia"/>
        </w:rPr>
        <w:t>I</w:t>
      </w:r>
      <w:r w:rsidR="00EC76FF" w:rsidRPr="00EC76FF">
        <w:t xml:space="preserve"> have </w:t>
      </w:r>
      <w:r w:rsidR="00EC76FF">
        <w:t xml:space="preserve">checked </w:t>
      </w:r>
      <w:r w:rsidR="00EC76FF" w:rsidRPr="00EC76FF">
        <w:t xml:space="preserve">this question </w:t>
      </w:r>
      <w:r w:rsidR="00EC76FF">
        <w:t>with</w:t>
      </w:r>
      <w:r w:rsidR="00EC76FF" w:rsidRPr="00EC76FF">
        <w:t xml:space="preserve"> three clinicians</w:t>
      </w:r>
      <w:r w:rsidR="00EC76FF">
        <w:t>. However, only Rachel Thompson confirmed it. It is worthy confirm this at the future zoom meeting.</w:t>
      </w:r>
    </w:p>
    <w:p w14:paraId="2AEE5686" w14:textId="77777777" w:rsidR="00D15670" w:rsidRPr="00020792" w:rsidRDefault="00D15670" w:rsidP="00020792">
      <w:pPr>
        <w:spacing w:line="360" w:lineRule="auto"/>
        <w:jc w:val="both"/>
        <w:rPr>
          <w:b/>
          <w:bCs/>
          <w:color w:val="7030A0"/>
        </w:rPr>
      </w:pPr>
      <w:r w:rsidRPr="00020792">
        <w:rPr>
          <w:b/>
          <w:bCs/>
          <w:color w:val="7030A0"/>
        </w:rPr>
        <w:t>[Our response]</w:t>
      </w:r>
    </w:p>
    <w:p w14:paraId="65B83624" w14:textId="23C8581F" w:rsidR="00EC76FF" w:rsidRPr="00EC76FF" w:rsidRDefault="00EC76FF">
      <w:r w:rsidRPr="006C5E35">
        <w:rPr>
          <w:highlight w:val="yellow"/>
        </w:rPr>
        <w:t>Yes, none of the participants have received clindamycin during the 4-week wash-out period</w:t>
      </w:r>
    </w:p>
    <w:p w14:paraId="2BF6F3EA" w14:textId="57BC1681" w:rsidR="00EC76FF" w:rsidRDefault="00EC76FF">
      <w:pPr>
        <w:rPr>
          <w:b/>
          <w:bCs/>
        </w:rPr>
        <w:sectPr w:rsidR="00EC76FF">
          <w:pgSz w:w="11906" w:h="16838"/>
          <w:pgMar w:top="1440" w:right="1440" w:bottom="1440" w:left="1440" w:header="708" w:footer="708" w:gutter="0"/>
          <w:cols w:space="708"/>
          <w:docGrid w:linePitch="360"/>
        </w:sectPr>
      </w:pPr>
    </w:p>
    <w:p w14:paraId="1B0794AA" w14:textId="77777777" w:rsidR="00D15670" w:rsidRDefault="00D15670" w:rsidP="000104EE">
      <w:pPr>
        <w:pStyle w:val="PlainText"/>
        <w:numPr>
          <w:ilvl w:val="0"/>
          <w:numId w:val="19"/>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lastRenderedPageBreak/>
        <w:t>In the cohort overview results, the authors mention a 12</w:t>
      </w:r>
      <w:r>
        <w:rPr>
          <w:rFonts w:ascii="Times New Roman" w:hAnsi="Times New Roman" w:cs="Times New Roman"/>
        </w:rPr>
        <w:t>-</w:t>
      </w:r>
      <w:r w:rsidRPr="00C2120F">
        <w:rPr>
          <w:rFonts w:ascii="Times New Roman" w:hAnsi="Times New Roman" w:cs="Times New Roman"/>
        </w:rPr>
        <w:t>month interval used for macrolide as an exclusion but in the methods it’s 6 months. Could the authors explain this discrepancy?</w:t>
      </w:r>
    </w:p>
    <w:p w14:paraId="0CDEF402" w14:textId="213D0571" w:rsidR="00D15670" w:rsidRDefault="00D15670" w:rsidP="00D15670">
      <w:pPr>
        <w:pStyle w:val="PlainText"/>
        <w:spacing w:line="360" w:lineRule="auto"/>
        <w:jc w:val="both"/>
        <w:rPr>
          <w:rFonts w:ascii="Times New Roman" w:hAnsi="Times New Roman" w:cs="Times New Roman"/>
        </w:rPr>
      </w:pPr>
    </w:p>
    <w:p w14:paraId="3D067EC4" w14:textId="52D8B9CC" w:rsidR="00D15670" w:rsidRPr="00020792" w:rsidRDefault="00D15670" w:rsidP="00020792">
      <w:pPr>
        <w:spacing w:line="360" w:lineRule="auto"/>
        <w:jc w:val="both"/>
        <w:rPr>
          <w:b/>
          <w:bCs/>
          <w:color w:val="7030A0"/>
        </w:rPr>
      </w:pPr>
      <w:r w:rsidRPr="00020792">
        <w:rPr>
          <w:b/>
          <w:bCs/>
          <w:color w:val="7030A0"/>
        </w:rPr>
        <w:t>[</w:t>
      </w:r>
      <w:r w:rsidR="008F6999" w:rsidRPr="00020792">
        <w:rPr>
          <w:b/>
          <w:bCs/>
          <w:color w:val="7030A0"/>
        </w:rPr>
        <w:t>Answer</w:t>
      </w:r>
      <w:r w:rsidR="00750CAC" w:rsidRPr="00020792">
        <w:rPr>
          <w:b/>
          <w:bCs/>
          <w:color w:val="7030A0"/>
        </w:rPr>
        <w:t xml:space="preserve"> to this question</w:t>
      </w:r>
      <w:r w:rsidRPr="00020792">
        <w:rPr>
          <w:b/>
          <w:bCs/>
          <w:color w:val="7030A0"/>
        </w:rPr>
        <w:t>]</w:t>
      </w:r>
    </w:p>
    <w:p w14:paraId="48F9654D" w14:textId="02656E1C" w:rsidR="008F6999" w:rsidRPr="00750CAC" w:rsidRDefault="00750CAC" w:rsidP="00750CAC">
      <w:pPr>
        <w:pStyle w:val="PlainText"/>
        <w:numPr>
          <w:ilvl w:val="0"/>
          <w:numId w:val="21"/>
        </w:numPr>
        <w:spacing w:line="360" w:lineRule="auto"/>
        <w:jc w:val="both"/>
        <w:rPr>
          <w:rFonts w:ascii="Times New Roman" w:hAnsi="Times New Roman" w:cs="Times New Roman"/>
          <w:u w:val="single"/>
        </w:rPr>
      </w:pPr>
      <w:r>
        <w:rPr>
          <w:rFonts w:ascii="Times New Roman" w:hAnsi="Times New Roman" w:cs="Times New Roman"/>
        </w:rPr>
        <w:t xml:space="preserve">My guess on </w:t>
      </w:r>
      <w:r w:rsidRPr="00750CAC">
        <w:rPr>
          <w:rFonts w:ascii="Times New Roman" w:hAnsi="Times New Roman" w:cs="Times New Roman"/>
          <w:u w:val="single"/>
        </w:rPr>
        <w:t>why index patients receiving clarithromycin was excluded by Lucy B</w:t>
      </w:r>
    </w:p>
    <w:p w14:paraId="4CB43B91" w14:textId="7BB1E4CD" w:rsidR="006D1C9F" w:rsidRDefault="00D15670" w:rsidP="00D15670">
      <w:pPr>
        <w:pStyle w:val="PlainText"/>
        <w:spacing w:line="360" w:lineRule="auto"/>
        <w:jc w:val="both"/>
        <w:rPr>
          <w:rFonts w:ascii="Times New Roman" w:hAnsi="Times New Roman" w:cs="Times New Roman"/>
        </w:rPr>
      </w:pPr>
      <w:r w:rsidRPr="00D15670">
        <w:rPr>
          <w:rFonts w:ascii="Times New Roman" w:hAnsi="Times New Roman" w:cs="Times New Roman"/>
        </w:rPr>
        <w:t>Clarithromycin</w:t>
      </w:r>
      <w:r>
        <w:rPr>
          <w:rFonts w:ascii="Times New Roman" w:hAnsi="Times New Roman" w:cs="Times New Roman"/>
        </w:rPr>
        <w:t xml:space="preserve"> is one type of </w:t>
      </w:r>
      <w:r w:rsidR="006D1C9F">
        <w:rPr>
          <w:rFonts w:ascii="Times New Roman" w:hAnsi="Times New Roman" w:cs="Times New Roman"/>
        </w:rPr>
        <w:t>ma</w:t>
      </w:r>
      <w:r>
        <w:rPr>
          <w:rFonts w:ascii="Times New Roman" w:hAnsi="Times New Roman" w:cs="Times New Roman"/>
        </w:rPr>
        <w:t>crolides; however, when we first start this project (AZM</w:t>
      </w:r>
      <w:r w:rsidR="00750CAC">
        <w:rPr>
          <w:rFonts w:ascii="Times New Roman" w:hAnsi="Times New Roman" w:cs="Times New Roman"/>
        </w:rPr>
        <w:t>/SERPAT</w:t>
      </w:r>
      <w:r>
        <w:rPr>
          <w:rFonts w:ascii="Times New Roman" w:hAnsi="Times New Roman" w:cs="Times New Roman"/>
        </w:rPr>
        <w:t>), is focused on Azithromycin</w:t>
      </w:r>
      <w:r w:rsidR="006D1C9F">
        <w:rPr>
          <w:rFonts w:ascii="Times New Roman" w:hAnsi="Times New Roman" w:cs="Times New Roman"/>
        </w:rPr>
        <w:t xml:space="preserve"> (AZM+SERPAT)</w:t>
      </w:r>
      <w:r w:rsidR="008F6999">
        <w:rPr>
          <w:rFonts w:ascii="Times New Roman" w:hAnsi="Times New Roman" w:cs="Times New Roman"/>
        </w:rPr>
        <w:t xml:space="preserve"> and </w:t>
      </w:r>
      <w:r w:rsidR="00750CAC">
        <w:rPr>
          <w:rFonts w:ascii="Times New Roman" w:hAnsi="Times New Roman" w:cs="Times New Roman"/>
        </w:rPr>
        <w:t>erythromycin</w:t>
      </w:r>
      <w:r w:rsidR="006D1C9F">
        <w:rPr>
          <w:rFonts w:ascii="Times New Roman" w:hAnsi="Times New Roman" w:cs="Times New Roman"/>
        </w:rPr>
        <w:t xml:space="preserve"> (SERPAT)</w:t>
      </w:r>
      <w:r>
        <w:rPr>
          <w:rFonts w:ascii="Times New Roman" w:hAnsi="Times New Roman" w:cs="Times New Roman"/>
        </w:rPr>
        <w:t xml:space="preserve">, therefore </w:t>
      </w:r>
      <w:r w:rsidR="00E73A8F">
        <w:rPr>
          <w:rFonts w:ascii="Times New Roman" w:hAnsi="Times New Roman" w:cs="Times New Roman"/>
        </w:rPr>
        <w:t xml:space="preserve">the index </w:t>
      </w:r>
      <w:r>
        <w:rPr>
          <w:rFonts w:ascii="Times New Roman" w:hAnsi="Times New Roman" w:cs="Times New Roman"/>
        </w:rPr>
        <w:t>patients receiving clarithromycin were excluded</w:t>
      </w:r>
      <w:r w:rsidR="00573BBC">
        <w:rPr>
          <w:rFonts w:ascii="Times New Roman" w:hAnsi="Times New Roman" w:cs="Times New Roman"/>
        </w:rPr>
        <w:t xml:space="preserve"> by Lucy</w:t>
      </w:r>
      <w:r>
        <w:rPr>
          <w:rFonts w:ascii="Times New Roman" w:hAnsi="Times New Roman" w:cs="Times New Roman"/>
        </w:rPr>
        <w:t xml:space="preserve">. </w:t>
      </w:r>
    </w:p>
    <w:p w14:paraId="59119916" w14:textId="29E13BC2" w:rsidR="008F6999" w:rsidRDefault="008F6999" w:rsidP="00D15670">
      <w:pPr>
        <w:pStyle w:val="PlainText"/>
        <w:spacing w:line="360" w:lineRule="auto"/>
        <w:jc w:val="both"/>
        <w:rPr>
          <w:rFonts w:ascii="Times New Roman" w:hAnsi="Times New Roman" w:cs="Times New Roman"/>
        </w:rPr>
      </w:pPr>
    </w:p>
    <w:p w14:paraId="40BE45A9" w14:textId="13F3CBA7" w:rsidR="00750CAC" w:rsidRDefault="00750CAC" w:rsidP="00750CAC">
      <w:pPr>
        <w:pStyle w:val="PlainText"/>
        <w:numPr>
          <w:ilvl w:val="0"/>
          <w:numId w:val="21"/>
        </w:numPr>
        <w:spacing w:line="360" w:lineRule="auto"/>
        <w:jc w:val="both"/>
        <w:rPr>
          <w:rFonts w:ascii="Times New Roman" w:hAnsi="Times New Roman" w:cs="Times New Roman"/>
        </w:rPr>
      </w:pPr>
      <w:r>
        <w:rPr>
          <w:rFonts w:ascii="Times New Roman" w:hAnsi="Times New Roman" w:cs="Times New Roman"/>
        </w:rPr>
        <w:t>Confirmation with Lucy</w:t>
      </w:r>
    </w:p>
    <w:p w14:paraId="0AD875DA" w14:textId="2D7A7626" w:rsidR="00750CAC" w:rsidRDefault="00750CAC" w:rsidP="00750CAC">
      <w:pPr>
        <w:pStyle w:val="PlainText"/>
        <w:spacing w:line="360" w:lineRule="auto"/>
        <w:jc w:val="both"/>
        <w:rPr>
          <w:rFonts w:ascii="Times New Roman" w:hAnsi="Times New Roman" w:cs="Times New Roman"/>
        </w:rPr>
      </w:pPr>
      <w:r>
        <w:rPr>
          <w:rFonts w:ascii="Times New Roman" w:hAnsi="Times New Roman" w:cs="Times New Roman"/>
        </w:rPr>
        <w:t xml:space="preserve">I have put forward </w:t>
      </w:r>
      <w:r w:rsidR="006D1C9F">
        <w:rPr>
          <w:rFonts w:ascii="Times New Roman" w:hAnsi="Times New Roman" w:cs="Times New Roman"/>
        </w:rPr>
        <w:t>this question</w:t>
      </w:r>
      <w:r>
        <w:rPr>
          <w:rFonts w:ascii="Times New Roman" w:hAnsi="Times New Roman" w:cs="Times New Roman"/>
        </w:rPr>
        <w:t xml:space="preserve"> in the spreadsheet, however, Lucy did not answer. </w:t>
      </w:r>
      <w:r w:rsidRPr="00750CAC">
        <w:rPr>
          <w:rFonts w:ascii="Times New Roman" w:hAnsi="Times New Roman" w:cs="Times New Roman"/>
        </w:rPr>
        <w:t>It is worthy confirm this at the future zoom meeting</w:t>
      </w:r>
    </w:p>
    <w:p w14:paraId="0F59C83C" w14:textId="2129CB51" w:rsidR="00E73A8F" w:rsidRDefault="00E73A8F" w:rsidP="00D15670">
      <w:pPr>
        <w:pStyle w:val="PlainText"/>
        <w:spacing w:line="360" w:lineRule="auto"/>
        <w:jc w:val="both"/>
        <w:rPr>
          <w:rFonts w:ascii="Times New Roman" w:hAnsi="Times New Roman" w:cs="Times New Roman"/>
        </w:rPr>
      </w:pPr>
    </w:p>
    <w:p w14:paraId="5B699F57" w14:textId="3C02ED74" w:rsidR="00750CAC" w:rsidRPr="00020792" w:rsidRDefault="00750CAC" w:rsidP="00020792">
      <w:pPr>
        <w:spacing w:line="360" w:lineRule="auto"/>
        <w:jc w:val="both"/>
        <w:rPr>
          <w:b/>
          <w:bCs/>
          <w:color w:val="7030A0"/>
        </w:rPr>
      </w:pPr>
      <w:r w:rsidRPr="00020792">
        <w:rPr>
          <w:b/>
          <w:bCs/>
          <w:color w:val="7030A0"/>
        </w:rPr>
        <w:t>[Geraint’s question]</w:t>
      </w:r>
    </w:p>
    <w:p w14:paraId="6043B7AF" w14:textId="41E1CE62" w:rsidR="00D15670" w:rsidRDefault="00D15670" w:rsidP="00945551">
      <w:pPr>
        <w:pStyle w:val="PlainText"/>
        <w:spacing w:line="360" w:lineRule="auto"/>
        <w:jc w:val="both"/>
        <w:rPr>
          <w:rFonts w:ascii="Times New Roman" w:hAnsi="Times New Roman" w:cs="Times New Roman"/>
        </w:rPr>
      </w:pPr>
      <w:r>
        <w:rPr>
          <w:rFonts w:ascii="Times New Roman" w:hAnsi="Times New Roman" w:cs="Times New Roman"/>
        </w:rPr>
        <w:t>*Were any patients excluded because they received clarithromycin between 6-12 months</w:t>
      </w:r>
    </w:p>
    <w:p w14:paraId="0EB76EA8" w14:textId="06361180" w:rsidR="00E73A8F" w:rsidRDefault="00750CAC" w:rsidP="00945551">
      <w:pPr>
        <w:pStyle w:val="PlainText"/>
        <w:spacing w:line="360" w:lineRule="auto"/>
        <w:jc w:val="both"/>
        <w:rPr>
          <w:rFonts w:ascii="Times New Roman" w:hAnsi="Times New Roman" w:cs="Times New Roman"/>
        </w:rPr>
      </w:pPr>
      <w:r>
        <w:rPr>
          <w:rFonts w:ascii="Times New Roman" w:hAnsi="Times New Roman" w:cs="Times New Roman"/>
        </w:rPr>
        <w:t xml:space="preserve">- </w:t>
      </w:r>
      <w:r w:rsidR="00E73A8F">
        <w:rPr>
          <w:rFonts w:ascii="Times New Roman" w:hAnsi="Times New Roman" w:cs="Times New Roman"/>
        </w:rPr>
        <w:t>Yes</w:t>
      </w:r>
    </w:p>
    <w:p w14:paraId="634A03A9" w14:textId="26B6E7F5" w:rsidR="006D1C9F" w:rsidRDefault="00945551" w:rsidP="00945551">
      <w:pPr>
        <w:pStyle w:val="PlainText"/>
        <w:numPr>
          <w:ilvl w:val="1"/>
          <w:numId w:val="21"/>
        </w:numPr>
        <w:spacing w:line="360" w:lineRule="auto"/>
        <w:jc w:val="both"/>
        <w:rPr>
          <w:rFonts w:ascii="Times New Roman" w:hAnsi="Times New Roman" w:cs="Times New Roman"/>
        </w:rPr>
      </w:pPr>
      <w:r w:rsidRPr="00945551">
        <w:rPr>
          <w:rFonts w:ascii="Times New Roman" w:hAnsi="Times New Roman" w:cs="Times New Roman"/>
        </w:rPr>
        <w:t>In the initial AZM clinical manifest, two index patients</w:t>
      </w:r>
      <w:r>
        <w:rPr>
          <w:rFonts w:ascii="Times New Roman" w:hAnsi="Times New Roman" w:cs="Times New Roman"/>
        </w:rPr>
        <w:t xml:space="preserve"> (</w:t>
      </w:r>
      <w:r w:rsidR="006D1C9F">
        <w:rPr>
          <w:rFonts w:ascii="Times New Roman" w:hAnsi="Times New Roman" w:cs="Times New Roman"/>
        </w:rPr>
        <w:t>NC014 and NA008</w:t>
      </w:r>
      <w:r>
        <w:rPr>
          <w:rFonts w:ascii="Times New Roman" w:hAnsi="Times New Roman" w:cs="Times New Roman"/>
        </w:rPr>
        <w:t>)</w:t>
      </w:r>
      <w:r w:rsidR="006D1C9F">
        <w:rPr>
          <w:rFonts w:ascii="Times New Roman" w:hAnsi="Times New Roman" w:cs="Times New Roman"/>
        </w:rPr>
        <w:t xml:space="preserve"> </w:t>
      </w:r>
      <w:r>
        <w:rPr>
          <w:rFonts w:ascii="Times New Roman" w:hAnsi="Times New Roman" w:cs="Times New Roman"/>
        </w:rPr>
        <w:t>were</w:t>
      </w:r>
      <w:r w:rsidR="006D1C9F">
        <w:rPr>
          <w:rFonts w:ascii="Times New Roman" w:hAnsi="Times New Roman" w:cs="Times New Roman"/>
        </w:rPr>
        <w:t xml:space="preserve"> excluded</w:t>
      </w:r>
      <w:r>
        <w:rPr>
          <w:rFonts w:ascii="Times New Roman" w:hAnsi="Times New Roman" w:cs="Times New Roman"/>
        </w:rPr>
        <w:t xml:space="preserve"> by Lucy</w:t>
      </w:r>
      <w:r w:rsidR="006D1C9F">
        <w:rPr>
          <w:rFonts w:ascii="Times New Roman" w:hAnsi="Times New Roman" w:cs="Times New Roman"/>
        </w:rPr>
        <w:t xml:space="preserve"> as they are on clarithromycin last 12 months</w:t>
      </w:r>
    </w:p>
    <w:p w14:paraId="3AF66E15" w14:textId="77777777" w:rsidR="00945551" w:rsidRDefault="006D1C9F" w:rsidP="00945551">
      <w:pPr>
        <w:pStyle w:val="PlainText"/>
        <w:numPr>
          <w:ilvl w:val="1"/>
          <w:numId w:val="21"/>
        </w:numPr>
        <w:spacing w:line="360" w:lineRule="auto"/>
        <w:jc w:val="both"/>
        <w:rPr>
          <w:rFonts w:ascii="Times New Roman" w:hAnsi="Times New Roman" w:cs="Times New Roman"/>
        </w:rPr>
      </w:pPr>
      <w:r>
        <w:rPr>
          <w:rFonts w:ascii="Times New Roman" w:hAnsi="Times New Roman" w:cs="Times New Roman"/>
        </w:rPr>
        <w:t>This is the reason when I describe how we recruit patients, I wrote 2 patients were excluded due to clarithromycin usage in the last 12 months; but in our recruitment details</w:t>
      </w:r>
      <w:r w:rsidR="00945551">
        <w:rPr>
          <w:rFonts w:ascii="Times New Roman" w:hAnsi="Times New Roman" w:cs="Times New Roman"/>
        </w:rPr>
        <w:t xml:space="preserve"> (online supplement), we did not mention about clarithromycin, which confused the reviewer</w:t>
      </w:r>
    </w:p>
    <w:p w14:paraId="136E4CB9" w14:textId="59DFDD79" w:rsidR="00945551" w:rsidRPr="00945551" w:rsidRDefault="00945551" w:rsidP="00945551">
      <w:pPr>
        <w:pStyle w:val="PlainText"/>
        <w:numPr>
          <w:ilvl w:val="1"/>
          <w:numId w:val="21"/>
        </w:numPr>
        <w:spacing w:line="360" w:lineRule="auto"/>
        <w:jc w:val="both"/>
        <w:rPr>
          <w:rFonts w:ascii="Times New Roman" w:hAnsi="Times New Roman" w:cs="Times New Roman"/>
        </w:rPr>
      </w:pPr>
      <w:r w:rsidRPr="00945551">
        <w:rPr>
          <w:rFonts w:ascii="Times New Roman" w:hAnsi="Times New Roman" w:cs="Times New Roman"/>
        </w:rPr>
        <w:t xml:space="preserve">In our online supplement, we wrote </w:t>
      </w:r>
      <w:r>
        <w:rPr>
          <w:rFonts w:ascii="Times New Roman" w:hAnsi="Times New Roman" w:cs="Times New Roman"/>
        </w:rPr>
        <w:t xml:space="preserve">“NMR: </w:t>
      </w:r>
      <w:r w:rsidRPr="00945551">
        <w:rPr>
          <w:rFonts w:ascii="Times New Roman" w:hAnsi="Times New Roman" w:cs="Times New Roman"/>
        </w:rPr>
        <w:t>Is not currently on azithromycin/erythromycin maintenance therapy and has not received any macrolide antibiotics in the prior 6 months</w:t>
      </w:r>
      <w:r>
        <w:rPr>
          <w:rFonts w:ascii="Times New Roman" w:hAnsi="Times New Roman" w:cs="Times New Roman"/>
        </w:rPr>
        <w:t>”, reviewer saw the 12 months and confused about the exclusion intervals; however, the key to the answer is “clarithromycin” not “interval”</w:t>
      </w:r>
    </w:p>
    <w:p w14:paraId="6A5FF4F0" w14:textId="77777777" w:rsidR="00945551" w:rsidRDefault="00945551" w:rsidP="00945551">
      <w:pPr>
        <w:pStyle w:val="PlainText"/>
        <w:spacing w:line="360" w:lineRule="auto"/>
        <w:ind w:left="1080"/>
        <w:jc w:val="both"/>
        <w:rPr>
          <w:rFonts w:ascii="Times New Roman" w:hAnsi="Times New Roman" w:cs="Times New Roman"/>
        </w:rPr>
      </w:pPr>
    </w:p>
    <w:p w14:paraId="20EA8EF1" w14:textId="6B9A78DB" w:rsidR="00D15670" w:rsidRDefault="00D15670" w:rsidP="00D15670">
      <w:pPr>
        <w:pStyle w:val="PlainText"/>
        <w:spacing w:line="360" w:lineRule="auto"/>
        <w:jc w:val="both"/>
        <w:rPr>
          <w:rFonts w:ascii="Times New Roman" w:hAnsi="Times New Roman" w:cs="Times New Roman"/>
        </w:rPr>
      </w:pPr>
      <w:r>
        <w:rPr>
          <w:rFonts w:ascii="Times New Roman" w:hAnsi="Times New Roman" w:cs="Times New Roman"/>
        </w:rPr>
        <w:t>*Were any patients included because they received clarithromycin between 6-12 months</w:t>
      </w:r>
    </w:p>
    <w:p w14:paraId="201B5AC7" w14:textId="5E4BB2B3" w:rsidR="00E73A8F" w:rsidRDefault="00750CAC" w:rsidP="00D15670">
      <w:pPr>
        <w:pStyle w:val="PlainText"/>
        <w:spacing w:line="360" w:lineRule="auto"/>
        <w:jc w:val="both"/>
        <w:rPr>
          <w:rFonts w:ascii="Times New Roman" w:hAnsi="Times New Roman" w:cs="Times New Roman"/>
        </w:rPr>
      </w:pPr>
      <w:r>
        <w:rPr>
          <w:rFonts w:ascii="Times New Roman" w:hAnsi="Times New Roman" w:cs="Times New Roman"/>
        </w:rPr>
        <w:t xml:space="preserve">- </w:t>
      </w:r>
      <w:r w:rsidR="00E73A8F">
        <w:rPr>
          <w:rFonts w:ascii="Times New Roman" w:hAnsi="Times New Roman" w:cs="Times New Roman"/>
        </w:rPr>
        <w:t>No</w:t>
      </w:r>
    </w:p>
    <w:p w14:paraId="15894C93" w14:textId="5472FB01" w:rsidR="00750CAC" w:rsidRDefault="00750CAC" w:rsidP="00750CAC">
      <w:pPr>
        <w:pStyle w:val="PlainText"/>
        <w:numPr>
          <w:ilvl w:val="1"/>
          <w:numId w:val="19"/>
        </w:numPr>
        <w:spacing w:line="360" w:lineRule="auto"/>
        <w:jc w:val="both"/>
        <w:rPr>
          <w:rFonts w:ascii="Times New Roman" w:hAnsi="Times New Roman" w:cs="Times New Roman"/>
        </w:rPr>
      </w:pPr>
      <w:r>
        <w:rPr>
          <w:rFonts w:ascii="Times New Roman" w:hAnsi="Times New Roman" w:cs="Times New Roman"/>
        </w:rPr>
        <w:t>AZM samples: c</w:t>
      </w:r>
      <w:r>
        <w:rPr>
          <w:rFonts w:ascii="Times New Roman" w:hAnsi="Times New Roman" w:cs="Times New Roman" w:hint="eastAsia"/>
        </w:rPr>
        <w:t>hecked</w:t>
      </w:r>
    </w:p>
    <w:p w14:paraId="53478336" w14:textId="5A14326C" w:rsidR="00750CAC" w:rsidRDefault="00750CAC" w:rsidP="00750CAC">
      <w:pPr>
        <w:pStyle w:val="PlainText"/>
        <w:numPr>
          <w:ilvl w:val="1"/>
          <w:numId w:val="19"/>
        </w:numPr>
        <w:spacing w:line="360" w:lineRule="auto"/>
        <w:jc w:val="both"/>
        <w:rPr>
          <w:rFonts w:ascii="Times New Roman" w:hAnsi="Times New Roman" w:cs="Times New Roman"/>
        </w:rPr>
      </w:pPr>
      <w:r>
        <w:rPr>
          <w:rFonts w:ascii="Times New Roman" w:hAnsi="Times New Roman" w:cs="Times New Roman"/>
        </w:rPr>
        <w:t xml:space="preserve">SERPAT samples: </w:t>
      </w:r>
      <w:r>
        <w:rPr>
          <w:rFonts w:ascii="Times New Roman" w:hAnsi="Times New Roman" w:cs="Times New Roman" w:hint="eastAsia"/>
        </w:rPr>
        <w:t>check</w:t>
      </w:r>
      <w:r>
        <w:rPr>
          <w:rFonts w:ascii="Times New Roman" w:hAnsi="Times New Roman" w:cs="Times New Roman"/>
        </w:rPr>
        <w:t>ed</w:t>
      </w:r>
    </w:p>
    <w:p w14:paraId="53DF4A00" w14:textId="2B425352" w:rsidR="00750CAC" w:rsidRDefault="00750CAC" w:rsidP="00750CAC">
      <w:pPr>
        <w:pStyle w:val="PlainText"/>
        <w:numPr>
          <w:ilvl w:val="1"/>
          <w:numId w:val="19"/>
        </w:numPr>
        <w:spacing w:line="360" w:lineRule="auto"/>
        <w:jc w:val="both"/>
        <w:rPr>
          <w:rFonts w:ascii="Times New Roman" w:hAnsi="Times New Roman" w:cs="Times New Roman"/>
        </w:rPr>
      </w:pPr>
      <w:r>
        <w:rPr>
          <w:rFonts w:ascii="Times New Roman" w:hAnsi="Times New Roman" w:cs="Times New Roman"/>
        </w:rPr>
        <w:t>Concord samples: 1 sample (Concord 009) said received clarithromycin or azithromycin in the last year but did not clarify which one</w:t>
      </w:r>
    </w:p>
    <w:p w14:paraId="2A8342B0" w14:textId="191EFD14" w:rsidR="006D1C9F" w:rsidRDefault="006D1C9F" w:rsidP="00750CAC">
      <w:pPr>
        <w:pStyle w:val="PlainText"/>
        <w:numPr>
          <w:ilvl w:val="1"/>
          <w:numId w:val="19"/>
        </w:numPr>
        <w:spacing w:line="360" w:lineRule="auto"/>
        <w:jc w:val="both"/>
        <w:rPr>
          <w:rFonts w:ascii="Times New Roman" w:hAnsi="Times New Roman" w:cs="Times New Roman"/>
        </w:rPr>
      </w:pPr>
      <w:r>
        <w:rPr>
          <w:rFonts w:ascii="Times New Roman" w:hAnsi="Times New Roman" w:cs="Times New Roman"/>
        </w:rPr>
        <w:t>Rachel samples: checked</w:t>
      </w:r>
    </w:p>
    <w:p w14:paraId="192286CA" w14:textId="518A0EC7" w:rsidR="00D15670" w:rsidRDefault="00D15670">
      <w:pPr>
        <w:rPr>
          <w:b/>
          <w:bCs/>
        </w:rPr>
      </w:pPr>
    </w:p>
    <w:p w14:paraId="7C90BD78" w14:textId="77777777" w:rsidR="009141CB" w:rsidRDefault="009141CB">
      <w:pPr>
        <w:rPr>
          <w:b/>
          <w:bCs/>
        </w:rPr>
        <w:sectPr w:rsidR="009141CB">
          <w:pgSz w:w="11906" w:h="16838"/>
          <w:pgMar w:top="1440" w:right="1440" w:bottom="1440" w:left="1440" w:header="708" w:footer="708" w:gutter="0"/>
          <w:cols w:space="708"/>
          <w:docGrid w:linePitch="360"/>
        </w:sectPr>
      </w:pPr>
    </w:p>
    <w:p w14:paraId="3554E902" w14:textId="77777777" w:rsidR="009141CB" w:rsidRPr="00C2120F" w:rsidRDefault="009141CB" w:rsidP="00750CAC">
      <w:pPr>
        <w:pStyle w:val="PlainText"/>
        <w:numPr>
          <w:ilvl w:val="0"/>
          <w:numId w:val="21"/>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lastRenderedPageBreak/>
        <w:t>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3865BE16" w14:textId="2677B36C" w:rsidR="009141CB" w:rsidRDefault="009141CB">
      <w:pPr>
        <w:rPr>
          <w:b/>
          <w:bCs/>
        </w:rPr>
      </w:pPr>
    </w:p>
    <w:p w14:paraId="7BB5353D" w14:textId="65CD2F15" w:rsidR="009141CB" w:rsidRPr="00020792" w:rsidRDefault="009141CB" w:rsidP="00020792">
      <w:pPr>
        <w:spacing w:line="360" w:lineRule="auto"/>
        <w:jc w:val="both"/>
        <w:rPr>
          <w:b/>
          <w:bCs/>
          <w:color w:val="7030A0"/>
        </w:rPr>
      </w:pPr>
      <w:r w:rsidRPr="00020792">
        <w:rPr>
          <w:b/>
          <w:bCs/>
          <w:color w:val="7030A0"/>
        </w:rPr>
        <w:t>[</w:t>
      </w:r>
      <w:r w:rsidR="001C38C5" w:rsidRPr="00020792">
        <w:rPr>
          <w:b/>
          <w:bCs/>
          <w:color w:val="7030A0"/>
        </w:rPr>
        <w:t>Task</w:t>
      </w:r>
      <w:r w:rsidRPr="00020792">
        <w:rPr>
          <w:b/>
          <w:bCs/>
          <w:color w:val="7030A0"/>
        </w:rPr>
        <w:t>]</w:t>
      </w:r>
    </w:p>
    <w:p w14:paraId="4F8BDE1A" w14:textId="73EC900D" w:rsidR="001C38C5" w:rsidRDefault="001C38C5" w:rsidP="001C38C5">
      <w:pPr>
        <w:pStyle w:val="PlainText"/>
        <w:numPr>
          <w:ilvl w:val="0"/>
          <w:numId w:val="22"/>
        </w:numPr>
        <w:spacing w:line="360" w:lineRule="auto"/>
        <w:jc w:val="both"/>
        <w:rPr>
          <w:rFonts w:ascii="Times New Roman" w:hAnsi="Times New Roman" w:cs="Times New Roman"/>
        </w:rPr>
      </w:pPr>
      <w:r>
        <w:rPr>
          <w:rFonts w:ascii="Times New Roman" w:hAnsi="Times New Roman" w:cs="Times New Roman"/>
        </w:rPr>
        <w:t>For m</w:t>
      </w:r>
      <w:r>
        <w:rPr>
          <w:rFonts w:ascii="Times New Roman" w:hAnsi="Times New Roman" w:cs="Times New Roman" w:hint="eastAsia"/>
        </w:rPr>
        <w:t>iss</w:t>
      </w:r>
      <w:r>
        <w:rPr>
          <w:rFonts w:ascii="Times New Roman" w:hAnsi="Times New Roman" w:cs="Times New Roman"/>
        </w:rPr>
        <w:t>ing data, contact clinicians</w:t>
      </w:r>
      <w:r w:rsidR="00D25264">
        <w:rPr>
          <w:rFonts w:ascii="Times New Roman" w:hAnsi="Times New Roman" w:cs="Times New Roman"/>
        </w:rPr>
        <w:t>: Done</w:t>
      </w:r>
    </w:p>
    <w:p w14:paraId="377A2B2B" w14:textId="0B943397" w:rsidR="001C38C5" w:rsidRDefault="001C38C5" w:rsidP="001C38C5">
      <w:pPr>
        <w:pStyle w:val="PlainText"/>
        <w:numPr>
          <w:ilvl w:val="0"/>
          <w:numId w:val="22"/>
        </w:numPr>
        <w:spacing w:line="360" w:lineRule="auto"/>
        <w:jc w:val="both"/>
        <w:rPr>
          <w:rFonts w:ascii="Times New Roman" w:hAnsi="Times New Roman" w:cs="Times New Roman"/>
        </w:rPr>
      </w:pPr>
      <w:r>
        <w:rPr>
          <w:rFonts w:ascii="Times New Roman" w:hAnsi="Times New Roman" w:cs="Times New Roman"/>
        </w:rPr>
        <w:t>Description of relationship details (Table)</w:t>
      </w:r>
    </w:p>
    <w:p w14:paraId="6626010D" w14:textId="5B611BF3" w:rsidR="001C38C5" w:rsidRPr="001C38C5" w:rsidRDefault="001C38C5" w:rsidP="001C38C5">
      <w:pPr>
        <w:pStyle w:val="PlainText"/>
        <w:numPr>
          <w:ilvl w:val="0"/>
          <w:numId w:val="22"/>
        </w:numPr>
        <w:spacing w:line="360" w:lineRule="auto"/>
        <w:jc w:val="both"/>
        <w:rPr>
          <w:rFonts w:ascii="Times New Roman" w:hAnsi="Times New Roman" w:cs="Times New Roman"/>
        </w:rPr>
      </w:pPr>
      <w:r w:rsidRPr="001C38C5">
        <w:rPr>
          <w:rFonts w:ascii="Times New Roman" w:hAnsi="Times New Roman" w:cs="Times New Roman"/>
        </w:rPr>
        <w:t>Transmission risk is affected by relationship</w:t>
      </w:r>
      <w:r>
        <w:rPr>
          <w:rFonts w:ascii="Times New Roman" w:hAnsi="Times New Roman" w:cs="Times New Roman"/>
        </w:rPr>
        <w:t xml:space="preserve"> or not</w:t>
      </w:r>
    </w:p>
    <w:p w14:paraId="769F62EE" w14:textId="6EEA9168" w:rsidR="009141CB" w:rsidRDefault="009141CB" w:rsidP="009141CB">
      <w:pPr>
        <w:pStyle w:val="PlainText"/>
        <w:spacing w:line="360" w:lineRule="auto"/>
        <w:jc w:val="both"/>
        <w:rPr>
          <w:rFonts w:ascii="Times New Roman" w:hAnsi="Times New Roman" w:cs="Times New Roman"/>
          <w:b/>
          <w:bCs/>
        </w:rPr>
      </w:pPr>
    </w:p>
    <w:p w14:paraId="37D92D1B" w14:textId="48E7BD0A" w:rsidR="001B6692" w:rsidRPr="007121A1" w:rsidRDefault="001B6692" w:rsidP="009141CB">
      <w:pPr>
        <w:pStyle w:val="PlainText"/>
        <w:spacing w:line="360" w:lineRule="auto"/>
        <w:jc w:val="both"/>
        <w:rPr>
          <w:rFonts w:ascii="Times New Roman" w:hAnsi="Times New Roman" w:cs="Times New Roman"/>
          <w:sz w:val="24"/>
          <w:szCs w:val="22"/>
        </w:rPr>
      </w:pPr>
      <w:r w:rsidRPr="007121A1">
        <w:rPr>
          <w:rFonts w:ascii="Times New Roman" w:hAnsi="Times New Roman" w:cs="Times New Roman"/>
          <w:sz w:val="24"/>
          <w:szCs w:val="22"/>
        </w:rPr>
        <w:t>Table 1. Summary of relationship details in this study</w:t>
      </w:r>
    </w:p>
    <w:tbl>
      <w:tblPr>
        <w:tblStyle w:val="TableGrid"/>
        <w:tblW w:w="9164" w:type="dxa"/>
        <w:jc w:val="center"/>
        <w:tblLook w:val="04A0" w:firstRow="1" w:lastRow="0" w:firstColumn="1" w:lastColumn="0" w:noHBand="0" w:noVBand="1"/>
      </w:tblPr>
      <w:tblGrid>
        <w:gridCol w:w="1187"/>
        <w:gridCol w:w="856"/>
        <w:gridCol w:w="887"/>
        <w:gridCol w:w="1066"/>
        <w:gridCol w:w="856"/>
        <w:gridCol w:w="827"/>
        <w:gridCol w:w="1066"/>
        <w:gridCol w:w="856"/>
        <w:gridCol w:w="863"/>
        <w:gridCol w:w="1066"/>
      </w:tblGrid>
      <w:tr w:rsidR="001B6692" w:rsidRPr="001B6692" w14:paraId="2D4D37A1" w14:textId="77777777" w:rsidTr="007121A1">
        <w:trPr>
          <w:trHeight w:val="892"/>
          <w:jc w:val="center"/>
        </w:trPr>
        <w:tc>
          <w:tcPr>
            <w:tcW w:w="1115" w:type="dxa"/>
            <w:vMerge w:val="restart"/>
            <w:noWrap/>
            <w:vAlign w:val="center"/>
            <w:hideMark/>
          </w:tcPr>
          <w:p w14:paraId="791E70AB"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Relationship</w:t>
            </w:r>
          </w:p>
        </w:tc>
        <w:tc>
          <w:tcPr>
            <w:tcW w:w="2701" w:type="dxa"/>
            <w:gridSpan w:val="3"/>
            <w:noWrap/>
            <w:vAlign w:val="center"/>
            <w:hideMark/>
          </w:tcPr>
          <w:p w14:paraId="1FD55379"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Overall</w:t>
            </w:r>
          </w:p>
        </w:tc>
        <w:tc>
          <w:tcPr>
            <w:tcW w:w="2611" w:type="dxa"/>
            <w:gridSpan w:val="3"/>
            <w:noWrap/>
            <w:vAlign w:val="center"/>
            <w:hideMark/>
          </w:tcPr>
          <w:p w14:paraId="55F00C77"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Macrolide recipient group</w:t>
            </w:r>
          </w:p>
        </w:tc>
        <w:tc>
          <w:tcPr>
            <w:tcW w:w="2737" w:type="dxa"/>
            <w:gridSpan w:val="3"/>
            <w:noWrap/>
            <w:vAlign w:val="center"/>
            <w:hideMark/>
          </w:tcPr>
          <w:p w14:paraId="751B2451"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Macrolide non-recipient group</w:t>
            </w:r>
          </w:p>
        </w:tc>
      </w:tr>
      <w:tr w:rsidR="001B6692" w:rsidRPr="001B6692" w14:paraId="6E7019A0" w14:textId="77777777" w:rsidTr="007121A1">
        <w:trPr>
          <w:trHeight w:val="892"/>
          <w:jc w:val="center"/>
        </w:trPr>
        <w:tc>
          <w:tcPr>
            <w:tcW w:w="1115" w:type="dxa"/>
            <w:vMerge/>
            <w:vAlign w:val="center"/>
            <w:hideMark/>
          </w:tcPr>
          <w:p w14:paraId="065BED3D"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p>
        </w:tc>
        <w:tc>
          <w:tcPr>
            <w:tcW w:w="810" w:type="dxa"/>
            <w:noWrap/>
            <w:vAlign w:val="center"/>
            <w:hideMark/>
          </w:tcPr>
          <w:p w14:paraId="0FA8F728"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Number</w:t>
            </w:r>
          </w:p>
        </w:tc>
        <w:tc>
          <w:tcPr>
            <w:tcW w:w="887" w:type="dxa"/>
            <w:noWrap/>
            <w:vAlign w:val="center"/>
            <w:hideMark/>
          </w:tcPr>
          <w:p w14:paraId="601E83A2"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Total number</w:t>
            </w:r>
          </w:p>
        </w:tc>
        <w:tc>
          <w:tcPr>
            <w:tcW w:w="1003" w:type="dxa"/>
            <w:noWrap/>
            <w:vAlign w:val="center"/>
            <w:hideMark/>
          </w:tcPr>
          <w:p w14:paraId="0DACD058"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Percentage (%)</w:t>
            </w:r>
          </w:p>
        </w:tc>
        <w:tc>
          <w:tcPr>
            <w:tcW w:w="809" w:type="dxa"/>
            <w:noWrap/>
            <w:vAlign w:val="center"/>
            <w:hideMark/>
          </w:tcPr>
          <w:p w14:paraId="39C1886D"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Number</w:t>
            </w:r>
          </w:p>
        </w:tc>
        <w:tc>
          <w:tcPr>
            <w:tcW w:w="799" w:type="dxa"/>
            <w:noWrap/>
            <w:vAlign w:val="center"/>
            <w:hideMark/>
          </w:tcPr>
          <w:p w14:paraId="509B89E0"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Total number</w:t>
            </w:r>
          </w:p>
        </w:tc>
        <w:tc>
          <w:tcPr>
            <w:tcW w:w="1003" w:type="dxa"/>
            <w:noWrap/>
            <w:vAlign w:val="center"/>
            <w:hideMark/>
          </w:tcPr>
          <w:p w14:paraId="7A052CC4"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Percentage (%)</w:t>
            </w:r>
          </w:p>
        </w:tc>
        <w:tc>
          <w:tcPr>
            <w:tcW w:w="809" w:type="dxa"/>
            <w:noWrap/>
            <w:vAlign w:val="center"/>
            <w:hideMark/>
          </w:tcPr>
          <w:p w14:paraId="3393459A"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Number</w:t>
            </w:r>
          </w:p>
        </w:tc>
        <w:tc>
          <w:tcPr>
            <w:tcW w:w="863" w:type="dxa"/>
            <w:noWrap/>
            <w:vAlign w:val="center"/>
            <w:hideMark/>
          </w:tcPr>
          <w:p w14:paraId="33E1FC17"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Total number</w:t>
            </w:r>
          </w:p>
        </w:tc>
        <w:tc>
          <w:tcPr>
            <w:tcW w:w="1065" w:type="dxa"/>
            <w:noWrap/>
            <w:vAlign w:val="center"/>
            <w:hideMark/>
          </w:tcPr>
          <w:p w14:paraId="7F90BB58"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Percentage (%)</w:t>
            </w:r>
          </w:p>
        </w:tc>
      </w:tr>
      <w:tr w:rsidR="001B6692" w:rsidRPr="001B6692" w14:paraId="6DA7FCB6" w14:textId="77777777" w:rsidTr="007121A1">
        <w:trPr>
          <w:trHeight w:val="892"/>
          <w:jc w:val="center"/>
        </w:trPr>
        <w:tc>
          <w:tcPr>
            <w:tcW w:w="1115" w:type="dxa"/>
            <w:noWrap/>
            <w:vAlign w:val="center"/>
            <w:hideMark/>
          </w:tcPr>
          <w:p w14:paraId="5D93F64D" w14:textId="77777777" w:rsidR="001B6692" w:rsidRPr="007121A1" w:rsidRDefault="001B6692" w:rsidP="001B6692">
            <w:pPr>
              <w:pStyle w:val="PlainText"/>
              <w:spacing w:line="360" w:lineRule="auto"/>
              <w:jc w:val="center"/>
              <w:rPr>
                <w:rFonts w:ascii="Times New Roman" w:hAnsi="Times New Roman" w:cs="Times New Roman"/>
                <w:sz w:val="18"/>
                <w:szCs w:val="18"/>
              </w:rPr>
            </w:pPr>
            <w:r w:rsidRPr="007121A1">
              <w:rPr>
                <w:rFonts w:ascii="Times New Roman" w:hAnsi="Times New Roman" w:cs="Times New Roman"/>
                <w:sz w:val="18"/>
                <w:szCs w:val="18"/>
              </w:rPr>
              <w:t>Friend</w:t>
            </w:r>
          </w:p>
        </w:tc>
        <w:tc>
          <w:tcPr>
            <w:tcW w:w="810" w:type="dxa"/>
            <w:shd w:val="clear" w:color="auto" w:fill="FFFF00"/>
            <w:noWrap/>
            <w:vAlign w:val="center"/>
            <w:hideMark/>
          </w:tcPr>
          <w:p w14:paraId="105CC676"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3</w:t>
            </w:r>
          </w:p>
        </w:tc>
        <w:tc>
          <w:tcPr>
            <w:tcW w:w="887" w:type="dxa"/>
            <w:vMerge w:val="restart"/>
            <w:noWrap/>
            <w:vAlign w:val="center"/>
            <w:hideMark/>
          </w:tcPr>
          <w:p w14:paraId="52365237"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93</w:t>
            </w:r>
          </w:p>
        </w:tc>
        <w:tc>
          <w:tcPr>
            <w:tcW w:w="1003" w:type="dxa"/>
            <w:noWrap/>
            <w:vAlign w:val="center"/>
            <w:hideMark/>
          </w:tcPr>
          <w:p w14:paraId="08FCEE69"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3.2</w:t>
            </w:r>
          </w:p>
        </w:tc>
        <w:tc>
          <w:tcPr>
            <w:tcW w:w="809" w:type="dxa"/>
            <w:noWrap/>
            <w:vAlign w:val="center"/>
            <w:hideMark/>
          </w:tcPr>
          <w:p w14:paraId="6A52F13B"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w:t>
            </w:r>
          </w:p>
        </w:tc>
        <w:tc>
          <w:tcPr>
            <w:tcW w:w="799" w:type="dxa"/>
            <w:vMerge w:val="restart"/>
            <w:noWrap/>
            <w:vAlign w:val="center"/>
            <w:hideMark/>
          </w:tcPr>
          <w:p w14:paraId="0AFD6264"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53</w:t>
            </w:r>
          </w:p>
        </w:tc>
        <w:tc>
          <w:tcPr>
            <w:tcW w:w="1003" w:type="dxa"/>
            <w:noWrap/>
            <w:vAlign w:val="center"/>
            <w:hideMark/>
          </w:tcPr>
          <w:p w14:paraId="35B456C4"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1.9</w:t>
            </w:r>
          </w:p>
        </w:tc>
        <w:tc>
          <w:tcPr>
            <w:tcW w:w="809" w:type="dxa"/>
            <w:noWrap/>
            <w:vAlign w:val="center"/>
            <w:hideMark/>
          </w:tcPr>
          <w:p w14:paraId="62717F22"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w:t>
            </w:r>
          </w:p>
        </w:tc>
        <w:tc>
          <w:tcPr>
            <w:tcW w:w="863" w:type="dxa"/>
            <w:vMerge w:val="restart"/>
            <w:noWrap/>
            <w:vAlign w:val="center"/>
            <w:hideMark/>
          </w:tcPr>
          <w:p w14:paraId="372724B4"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40</w:t>
            </w:r>
          </w:p>
        </w:tc>
        <w:tc>
          <w:tcPr>
            <w:tcW w:w="1065" w:type="dxa"/>
            <w:noWrap/>
            <w:vAlign w:val="center"/>
            <w:hideMark/>
          </w:tcPr>
          <w:p w14:paraId="73B7CFB3"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5.0</w:t>
            </w:r>
          </w:p>
        </w:tc>
      </w:tr>
      <w:tr w:rsidR="001B6692" w:rsidRPr="001B6692" w14:paraId="0C6F5C57" w14:textId="77777777" w:rsidTr="007121A1">
        <w:trPr>
          <w:trHeight w:val="892"/>
          <w:jc w:val="center"/>
        </w:trPr>
        <w:tc>
          <w:tcPr>
            <w:tcW w:w="1115" w:type="dxa"/>
            <w:noWrap/>
            <w:vAlign w:val="center"/>
            <w:hideMark/>
          </w:tcPr>
          <w:p w14:paraId="6096C787" w14:textId="77777777" w:rsidR="001B6692" w:rsidRPr="007121A1" w:rsidRDefault="001B6692" w:rsidP="001B6692">
            <w:pPr>
              <w:pStyle w:val="PlainText"/>
              <w:spacing w:line="360" w:lineRule="auto"/>
              <w:jc w:val="center"/>
              <w:rPr>
                <w:rFonts w:ascii="Times New Roman" w:hAnsi="Times New Roman" w:cs="Times New Roman"/>
                <w:sz w:val="18"/>
                <w:szCs w:val="18"/>
              </w:rPr>
            </w:pPr>
            <w:r w:rsidRPr="007121A1">
              <w:rPr>
                <w:rFonts w:ascii="Times New Roman" w:hAnsi="Times New Roman" w:cs="Times New Roman"/>
                <w:sz w:val="18"/>
                <w:szCs w:val="18"/>
              </w:rPr>
              <w:t>Parent-child</w:t>
            </w:r>
          </w:p>
        </w:tc>
        <w:tc>
          <w:tcPr>
            <w:tcW w:w="810" w:type="dxa"/>
            <w:noWrap/>
            <w:vAlign w:val="center"/>
            <w:hideMark/>
          </w:tcPr>
          <w:p w14:paraId="13717829"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29</w:t>
            </w:r>
          </w:p>
        </w:tc>
        <w:tc>
          <w:tcPr>
            <w:tcW w:w="887" w:type="dxa"/>
            <w:vMerge/>
            <w:vAlign w:val="center"/>
            <w:hideMark/>
          </w:tcPr>
          <w:p w14:paraId="031B88E0"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03" w:type="dxa"/>
            <w:noWrap/>
            <w:vAlign w:val="center"/>
            <w:hideMark/>
          </w:tcPr>
          <w:p w14:paraId="525EB3E5"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31.2</w:t>
            </w:r>
          </w:p>
        </w:tc>
        <w:tc>
          <w:tcPr>
            <w:tcW w:w="809" w:type="dxa"/>
            <w:noWrap/>
            <w:vAlign w:val="center"/>
            <w:hideMark/>
          </w:tcPr>
          <w:p w14:paraId="16282CB7"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19</w:t>
            </w:r>
          </w:p>
        </w:tc>
        <w:tc>
          <w:tcPr>
            <w:tcW w:w="799" w:type="dxa"/>
            <w:vMerge/>
            <w:vAlign w:val="center"/>
            <w:hideMark/>
          </w:tcPr>
          <w:p w14:paraId="1E482EC4"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03" w:type="dxa"/>
            <w:noWrap/>
            <w:vAlign w:val="center"/>
            <w:hideMark/>
          </w:tcPr>
          <w:p w14:paraId="5236D737"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35.8</w:t>
            </w:r>
          </w:p>
        </w:tc>
        <w:tc>
          <w:tcPr>
            <w:tcW w:w="809" w:type="dxa"/>
            <w:noWrap/>
            <w:vAlign w:val="center"/>
            <w:hideMark/>
          </w:tcPr>
          <w:p w14:paraId="1CEB33CC"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10</w:t>
            </w:r>
          </w:p>
        </w:tc>
        <w:tc>
          <w:tcPr>
            <w:tcW w:w="863" w:type="dxa"/>
            <w:vMerge/>
            <w:vAlign w:val="center"/>
            <w:hideMark/>
          </w:tcPr>
          <w:p w14:paraId="062ED249"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65" w:type="dxa"/>
            <w:noWrap/>
            <w:vAlign w:val="center"/>
            <w:hideMark/>
          </w:tcPr>
          <w:p w14:paraId="4D45DE56"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25.0</w:t>
            </w:r>
          </w:p>
        </w:tc>
      </w:tr>
      <w:tr w:rsidR="001B6692" w:rsidRPr="001B6692" w14:paraId="36724DD5" w14:textId="77777777" w:rsidTr="007121A1">
        <w:trPr>
          <w:trHeight w:val="892"/>
          <w:jc w:val="center"/>
        </w:trPr>
        <w:tc>
          <w:tcPr>
            <w:tcW w:w="1115" w:type="dxa"/>
            <w:noWrap/>
            <w:vAlign w:val="center"/>
            <w:hideMark/>
          </w:tcPr>
          <w:p w14:paraId="273639F1" w14:textId="77777777" w:rsidR="001B6692" w:rsidRPr="007121A1" w:rsidRDefault="001B6692" w:rsidP="001B6692">
            <w:pPr>
              <w:pStyle w:val="PlainText"/>
              <w:spacing w:line="360" w:lineRule="auto"/>
              <w:jc w:val="center"/>
              <w:rPr>
                <w:rFonts w:ascii="Times New Roman" w:hAnsi="Times New Roman" w:cs="Times New Roman"/>
                <w:sz w:val="18"/>
                <w:szCs w:val="18"/>
              </w:rPr>
            </w:pPr>
            <w:r w:rsidRPr="007121A1">
              <w:rPr>
                <w:rFonts w:ascii="Times New Roman" w:hAnsi="Times New Roman" w:cs="Times New Roman"/>
                <w:sz w:val="18"/>
                <w:szCs w:val="18"/>
              </w:rPr>
              <w:t>Partner</w:t>
            </w:r>
          </w:p>
        </w:tc>
        <w:tc>
          <w:tcPr>
            <w:tcW w:w="810" w:type="dxa"/>
            <w:noWrap/>
            <w:vAlign w:val="center"/>
            <w:hideMark/>
          </w:tcPr>
          <w:p w14:paraId="66599F33"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59</w:t>
            </w:r>
          </w:p>
        </w:tc>
        <w:tc>
          <w:tcPr>
            <w:tcW w:w="887" w:type="dxa"/>
            <w:vMerge/>
            <w:vAlign w:val="center"/>
            <w:hideMark/>
          </w:tcPr>
          <w:p w14:paraId="173D60C4"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03" w:type="dxa"/>
            <w:noWrap/>
            <w:vAlign w:val="center"/>
            <w:hideMark/>
          </w:tcPr>
          <w:p w14:paraId="28B5EEA2"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63.4</w:t>
            </w:r>
          </w:p>
        </w:tc>
        <w:tc>
          <w:tcPr>
            <w:tcW w:w="809" w:type="dxa"/>
            <w:noWrap/>
            <w:vAlign w:val="center"/>
            <w:hideMark/>
          </w:tcPr>
          <w:p w14:paraId="669095DD"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32</w:t>
            </w:r>
          </w:p>
        </w:tc>
        <w:tc>
          <w:tcPr>
            <w:tcW w:w="799" w:type="dxa"/>
            <w:vMerge/>
            <w:vAlign w:val="center"/>
            <w:hideMark/>
          </w:tcPr>
          <w:p w14:paraId="53D23765"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03" w:type="dxa"/>
            <w:noWrap/>
            <w:vAlign w:val="center"/>
            <w:hideMark/>
          </w:tcPr>
          <w:p w14:paraId="42A3FE0D"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60.4</w:t>
            </w:r>
          </w:p>
        </w:tc>
        <w:tc>
          <w:tcPr>
            <w:tcW w:w="809" w:type="dxa"/>
            <w:noWrap/>
            <w:vAlign w:val="center"/>
            <w:hideMark/>
          </w:tcPr>
          <w:p w14:paraId="285602D4"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27</w:t>
            </w:r>
          </w:p>
        </w:tc>
        <w:tc>
          <w:tcPr>
            <w:tcW w:w="863" w:type="dxa"/>
            <w:vMerge/>
            <w:vAlign w:val="center"/>
            <w:hideMark/>
          </w:tcPr>
          <w:p w14:paraId="06B74B26"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65" w:type="dxa"/>
            <w:noWrap/>
            <w:vAlign w:val="center"/>
            <w:hideMark/>
          </w:tcPr>
          <w:p w14:paraId="40CA92E6"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67.5</w:t>
            </w:r>
          </w:p>
        </w:tc>
      </w:tr>
      <w:tr w:rsidR="001B6692" w:rsidRPr="001B6692" w14:paraId="15363CBE" w14:textId="77777777" w:rsidTr="007121A1">
        <w:trPr>
          <w:trHeight w:val="937"/>
          <w:jc w:val="center"/>
        </w:trPr>
        <w:tc>
          <w:tcPr>
            <w:tcW w:w="1115" w:type="dxa"/>
            <w:noWrap/>
            <w:vAlign w:val="center"/>
            <w:hideMark/>
          </w:tcPr>
          <w:p w14:paraId="5A20BAC5" w14:textId="77777777" w:rsidR="001B6692" w:rsidRPr="007121A1" w:rsidRDefault="001B6692" w:rsidP="001B6692">
            <w:pPr>
              <w:pStyle w:val="PlainText"/>
              <w:spacing w:line="360" w:lineRule="auto"/>
              <w:jc w:val="center"/>
              <w:rPr>
                <w:rFonts w:ascii="Times New Roman" w:hAnsi="Times New Roman" w:cs="Times New Roman"/>
                <w:sz w:val="18"/>
                <w:szCs w:val="18"/>
              </w:rPr>
            </w:pPr>
            <w:r w:rsidRPr="007121A1">
              <w:rPr>
                <w:rFonts w:ascii="Times New Roman" w:hAnsi="Times New Roman" w:cs="Times New Roman"/>
                <w:sz w:val="18"/>
                <w:szCs w:val="18"/>
              </w:rPr>
              <w:t>Sibling</w:t>
            </w:r>
          </w:p>
        </w:tc>
        <w:tc>
          <w:tcPr>
            <w:tcW w:w="810" w:type="dxa"/>
            <w:shd w:val="clear" w:color="auto" w:fill="FFFF00"/>
            <w:noWrap/>
            <w:vAlign w:val="center"/>
            <w:hideMark/>
          </w:tcPr>
          <w:p w14:paraId="34AA01F7"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w:t>
            </w:r>
          </w:p>
        </w:tc>
        <w:tc>
          <w:tcPr>
            <w:tcW w:w="887" w:type="dxa"/>
            <w:vMerge/>
            <w:vAlign w:val="center"/>
            <w:hideMark/>
          </w:tcPr>
          <w:p w14:paraId="791A37DE"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03" w:type="dxa"/>
            <w:noWrap/>
            <w:vAlign w:val="center"/>
            <w:hideMark/>
          </w:tcPr>
          <w:p w14:paraId="7DDE495D"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2.2</w:t>
            </w:r>
          </w:p>
        </w:tc>
        <w:tc>
          <w:tcPr>
            <w:tcW w:w="809" w:type="dxa"/>
            <w:noWrap/>
            <w:vAlign w:val="center"/>
            <w:hideMark/>
          </w:tcPr>
          <w:p w14:paraId="53B16F97"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w:t>
            </w:r>
          </w:p>
        </w:tc>
        <w:tc>
          <w:tcPr>
            <w:tcW w:w="799" w:type="dxa"/>
            <w:vMerge/>
            <w:vAlign w:val="center"/>
            <w:hideMark/>
          </w:tcPr>
          <w:p w14:paraId="5912E8F8"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03" w:type="dxa"/>
            <w:noWrap/>
            <w:vAlign w:val="center"/>
            <w:hideMark/>
          </w:tcPr>
          <w:p w14:paraId="45804843"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1.9</w:t>
            </w:r>
          </w:p>
        </w:tc>
        <w:tc>
          <w:tcPr>
            <w:tcW w:w="809" w:type="dxa"/>
            <w:noWrap/>
            <w:vAlign w:val="center"/>
            <w:hideMark/>
          </w:tcPr>
          <w:p w14:paraId="656107D5"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w:t>
            </w:r>
          </w:p>
        </w:tc>
        <w:tc>
          <w:tcPr>
            <w:tcW w:w="863" w:type="dxa"/>
            <w:vMerge/>
            <w:vAlign w:val="center"/>
            <w:hideMark/>
          </w:tcPr>
          <w:p w14:paraId="567659E2"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65" w:type="dxa"/>
            <w:noWrap/>
            <w:vAlign w:val="center"/>
            <w:hideMark/>
          </w:tcPr>
          <w:p w14:paraId="15631556"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2.5</w:t>
            </w:r>
          </w:p>
        </w:tc>
      </w:tr>
    </w:tbl>
    <w:p w14:paraId="1E6C0384" w14:textId="77777777" w:rsidR="009141CB" w:rsidRDefault="009141CB" w:rsidP="009141CB">
      <w:pPr>
        <w:pStyle w:val="PlainText"/>
        <w:spacing w:line="360" w:lineRule="auto"/>
        <w:jc w:val="both"/>
        <w:rPr>
          <w:rFonts w:ascii="Times New Roman" w:hAnsi="Times New Roman" w:cs="Times New Roman"/>
          <w:b/>
          <w:bCs/>
        </w:rPr>
      </w:pPr>
    </w:p>
    <w:p w14:paraId="3917DA9B" w14:textId="77777777" w:rsidR="007121A1" w:rsidRDefault="007121A1" w:rsidP="009141CB">
      <w:pPr>
        <w:pStyle w:val="PlainText"/>
        <w:spacing w:line="360" w:lineRule="auto"/>
        <w:jc w:val="both"/>
        <w:rPr>
          <w:rFonts w:ascii="Times New Roman" w:hAnsi="Times New Roman" w:cs="Times New Roman"/>
        </w:rPr>
      </w:pPr>
    </w:p>
    <w:p w14:paraId="6411DCAB" w14:textId="77777777" w:rsidR="007121A1" w:rsidRDefault="007121A1" w:rsidP="009141CB">
      <w:pPr>
        <w:pStyle w:val="PlainText"/>
        <w:spacing w:line="360" w:lineRule="auto"/>
        <w:jc w:val="both"/>
        <w:rPr>
          <w:rFonts w:ascii="Times New Roman" w:hAnsi="Times New Roman" w:cs="Times New Roman"/>
        </w:rPr>
      </w:pPr>
    </w:p>
    <w:p w14:paraId="188FA69F" w14:textId="77777777" w:rsidR="007121A1" w:rsidRDefault="007121A1" w:rsidP="009141CB">
      <w:pPr>
        <w:pStyle w:val="PlainText"/>
        <w:spacing w:line="360" w:lineRule="auto"/>
        <w:jc w:val="both"/>
        <w:rPr>
          <w:rFonts w:ascii="Times New Roman" w:hAnsi="Times New Roman" w:cs="Times New Roman"/>
        </w:rPr>
      </w:pPr>
    </w:p>
    <w:p w14:paraId="156B8370" w14:textId="77777777" w:rsidR="007121A1" w:rsidRDefault="007121A1" w:rsidP="009141CB">
      <w:pPr>
        <w:pStyle w:val="PlainText"/>
        <w:spacing w:line="360" w:lineRule="auto"/>
        <w:jc w:val="both"/>
        <w:rPr>
          <w:rFonts w:ascii="Times New Roman" w:hAnsi="Times New Roman" w:cs="Times New Roman"/>
        </w:rPr>
      </w:pPr>
    </w:p>
    <w:p w14:paraId="429A0C35" w14:textId="77777777" w:rsidR="007121A1" w:rsidRDefault="007121A1" w:rsidP="009141CB">
      <w:pPr>
        <w:pStyle w:val="PlainText"/>
        <w:spacing w:line="360" w:lineRule="auto"/>
        <w:jc w:val="both"/>
        <w:rPr>
          <w:rFonts w:ascii="Times New Roman" w:hAnsi="Times New Roman" w:cs="Times New Roman"/>
        </w:rPr>
      </w:pPr>
    </w:p>
    <w:p w14:paraId="00C65E73" w14:textId="77777777" w:rsidR="007121A1" w:rsidRDefault="007121A1" w:rsidP="009141CB">
      <w:pPr>
        <w:pStyle w:val="PlainText"/>
        <w:spacing w:line="360" w:lineRule="auto"/>
        <w:jc w:val="both"/>
        <w:rPr>
          <w:rFonts w:ascii="Times New Roman" w:hAnsi="Times New Roman" w:cs="Times New Roman"/>
        </w:rPr>
      </w:pPr>
    </w:p>
    <w:p w14:paraId="14C1D0E1" w14:textId="77777777" w:rsidR="007121A1" w:rsidRDefault="007121A1" w:rsidP="009141CB">
      <w:pPr>
        <w:pStyle w:val="PlainText"/>
        <w:spacing w:line="360" w:lineRule="auto"/>
        <w:jc w:val="both"/>
        <w:rPr>
          <w:rFonts w:ascii="Times New Roman" w:hAnsi="Times New Roman" w:cs="Times New Roman"/>
        </w:rPr>
      </w:pPr>
    </w:p>
    <w:p w14:paraId="739E46FC" w14:textId="77777777" w:rsidR="007121A1" w:rsidRDefault="007121A1" w:rsidP="009141CB">
      <w:pPr>
        <w:pStyle w:val="PlainText"/>
        <w:spacing w:line="360" w:lineRule="auto"/>
        <w:jc w:val="both"/>
        <w:rPr>
          <w:rFonts w:ascii="Times New Roman" w:hAnsi="Times New Roman" w:cs="Times New Roman"/>
        </w:rPr>
      </w:pPr>
    </w:p>
    <w:p w14:paraId="5CA570C7" w14:textId="77777777" w:rsidR="007121A1" w:rsidRDefault="007121A1" w:rsidP="009141CB">
      <w:pPr>
        <w:pStyle w:val="PlainText"/>
        <w:spacing w:line="360" w:lineRule="auto"/>
        <w:jc w:val="both"/>
        <w:rPr>
          <w:rFonts w:ascii="Times New Roman" w:hAnsi="Times New Roman" w:cs="Times New Roman"/>
        </w:rPr>
      </w:pPr>
    </w:p>
    <w:p w14:paraId="457ABECD" w14:textId="77777777" w:rsidR="007121A1" w:rsidRDefault="007121A1" w:rsidP="009141CB">
      <w:pPr>
        <w:pStyle w:val="PlainText"/>
        <w:spacing w:line="360" w:lineRule="auto"/>
        <w:jc w:val="both"/>
        <w:rPr>
          <w:rFonts w:ascii="Times New Roman" w:hAnsi="Times New Roman" w:cs="Times New Roman"/>
        </w:rPr>
      </w:pPr>
    </w:p>
    <w:p w14:paraId="710F74E2" w14:textId="4D5556D5" w:rsidR="009141CB" w:rsidRDefault="004B6FBD" w:rsidP="009141CB">
      <w:pPr>
        <w:pStyle w:val="PlainText"/>
        <w:spacing w:line="360" w:lineRule="auto"/>
        <w:jc w:val="both"/>
        <w:rPr>
          <w:rFonts w:ascii="Times New Roman" w:hAnsi="Times New Roman" w:cs="Times New Roman"/>
        </w:rPr>
      </w:pPr>
      <w:r w:rsidRPr="007121A1">
        <w:rPr>
          <w:rFonts w:ascii="Times New Roman" w:hAnsi="Times New Roman" w:cs="Times New Roman"/>
          <w:sz w:val="24"/>
          <w:szCs w:val="22"/>
        </w:rPr>
        <w:t>Table 2. Relationship effect on transmission risk of macrolide resistance genes</w:t>
      </w:r>
    </w:p>
    <w:tbl>
      <w:tblPr>
        <w:tblStyle w:val="TableGrid"/>
        <w:tblpPr w:leftFromText="180" w:rightFromText="180" w:vertAnchor="text" w:horzAnchor="margin" w:tblpXSpec="center" w:tblpY="190"/>
        <w:tblW w:w="7903" w:type="dxa"/>
        <w:tblLook w:val="04A0" w:firstRow="1" w:lastRow="0" w:firstColumn="1" w:lastColumn="0" w:noHBand="0" w:noVBand="1"/>
      </w:tblPr>
      <w:tblGrid>
        <w:gridCol w:w="2633"/>
        <w:gridCol w:w="3854"/>
        <w:gridCol w:w="1416"/>
      </w:tblGrid>
      <w:tr w:rsidR="00A64BA8" w:rsidRPr="00A64BA8" w14:paraId="251A6CA3" w14:textId="77777777" w:rsidTr="006C5E35">
        <w:trPr>
          <w:trHeight w:val="416"/>
        </w:trPr>
        <w:tc>
          <w:tcPr>
            <w:tcW w:w="2633" w:type="dxa"/>
            <w:vMerge w:val="restart"/>
            <w:noWrap/>
            <w:vAlign w:val="center"/>
            <w:hideMark/>
          </w:tcPr>
          <w:p w14:paraId="235602CC" w14:textId="77777777" w:rsidR="00A64BA8" w:rsidRPr="007121A1" w:rsidRDefault="00A64BA8" w:rsidP="007121A1">
            <w:pPr>
              <w:pStyle w:val="PlainText"/>
              <w:jc w:val="center"/>
              <w:rPr>
                <w:rFonts w:ascii="Times New Roman" w:hAnsi="Times New Roman" w:cs="Times New Roman"/>
                <w:b/>
                <w:bCs/>
                <w:sz w:val="24"/>
                <w:szCs w:val="24"/>
              </w:rPr>
            </w:pPr>
            <w:r w:rsidRPr="007121A1">
              <w:rPr>
                <w:rFonts w:ascii="Times New Roman" w:hAnsi="Times New Roman" w:cs="Times New Roman"/>
                <w:b/>
                <w:bCs/>
                <w:sz w:val="24"/>
                <w:szCs w:val="24"/>
              </w:rPr>
              <w:t>Resistance gene</w:t>
            </w:r>
          </w:p>
        </w:tc>
        <w:tc>
          <w:tcPr>
            <w:tcW w:w="5270" w:type="dxa"/>
            <w:gridSpan w:val="2"/>
            <w:noWrap/>
            <w:vAlign w:val="center"/>
            <w:hideMark/>
          </w:tcPr>
          <w:p w14:paraId="35B61398" w14:textId="77777777" w:rsidR="00A64BA8" w:rsidRPr="007121A1" w:rsidRDefault="00A64BA8" w:rsidP="007121A1">
            <w:pPr>
              <w:pStyle w:val="PlainText"/>
              <w:jc w:val="center"/>
              <w:rPr>
                <w:rFonts w:ascii="Times New Roman" w:hAnsi="Times New Roman" w:cs="Times New Roman"/>
                <w:b/>
                <w:bCs/>
                <w:sz w:val="24"/>
                <w:szCs w:val="24"/>
              </w:rPr>
            </w:pPr>
            <w:r w:rsidRPr="007121A1">
              <w:rPr>
                <w:rFonts w:ascii="Times New Roman" w:hAnsi="Times New Roman" w:cs="Times New Roman"/>
                <w:b/>
                <w:bCs/>
                <w:sz w:val="24"/>
                <w:szCs w:val="24"/>
              </w:rPr>
              <w:t>Partner vs Parent-child</w:t>
            </w:r>
          </w:p>
        </w:tc>
      </w:tr>
      <w:tr w:rsidR="00A64BA8" w:rsidRPr="00A64BA8" w14:paraId="0F2799E6" w14:textId="77777777" w:rsidTr="006C5E35">
        <w:trPr>
          <w:trHeight w:val="423"/>
        </w:trPr>
        <w:tc>
          <w:tcPr>
            <w:tcW w:w="2633" w:type="dxa"/>
            <w:vMerge/>
            <w:vAlign w:val="center"/>
            <w:hideMark/>
          </w:tcPr>
          <w:p w14:paraId="01C66875" w14:textId="77777777" w:rsidR="00A64BA8" w:rsidRPr="007121A1" w:rsidRDefault="00A64BA8" w:rsidP="007121A1">
            <w:pPr>
              <w:pStyle w:val="PlainText"/>
              <w:jc w:val="center"/>
              <w:rPr>
                <w:rFonts w:ascii="Times New Roman" w:hAnsi="Times New Roman" w:cs="Times New Roman"/>
                <w:b/>
                <w:bCs/>
                <w:sz w:val="24"/>
                <w:szCs w:val="24"/>
              </w:rPr>
            </w:pPr>
          </w:p>
        </w:tc>
        <w:tc>
          <w:tcPr>
            <w:tcW w:w="3854" w:type="dxa"/>
            <w:noWrap/>
            <w:vAlign w:val="center"/>
            <w:hideMark/>
          </w:tcPr>
          <w:p w14:paraId="33A20FAB" w14:textId="77777777" w:rsidR="00A64BA8" w:rsidRPr="007121A1" w:rsidRDefault="00A64BA8" w:rsidP="007121A1">
            <w:pPr>
              <w:pStyle w:val="PlainText"/>
              <w:jc w:val="center"/>
              <w:rPr>
                <w:rFonts w:ascii="Times New Roman" w:hAnsi="Times New Roman" w:cs="Times New Roman"/>
                <w:b/>
                <w:bCs/>
                <w:sz w:val="24"/>
                <w:szCs w:val="24"/>
              </w:rPr>
            </w:pPr>
            <w:r w:rsidRPr="007121A1">
              <w:rPr>
                <w:rFonts w:ascii="Times New Roman" w:hAnsi="Times New Roman" w:cs="Times New Roman"/>
                <w:b/>
                <w:bCs/>
                <w:sz w:val="24"/>
                <w:szCs w:val="24"/>
              </w:rPr>
              <w:t>Odds ratio (95% CI)</w:t>
            </w:r>
          </w:p>
        </w:tc>
        <w:tc>
          <w:tcPr>
            <w:tcW w:w="1416" w:type="dxa"/>
            <w:noWrap/>
            <w:vAlign w:val="center"/>
            <w:hideMark/>
          </w:tcPr>
          <w:p w14:paraId="6B3FF1AE" w14:textId="77777777" w:rsidR="00A64BA8" w:rsidRPr="007121A1" w:rsidRDefault="00A64BA8" w:rsidP="007121A1">
            <w:pPr>
              <w:pStyle w:val="PlainText"/>
              <w:jc w:val="center"/>
              <w:rPr>
                <w:rFonts w:ascii="Times New Roman" w:hAnsi="Times New Roman" w:cs="Times New Roman"/>
                <w:b/>
                <w:bCs/>
                <w:sz w:val="24"/>
                <w:szCs w:val="24"/>
              </w:rPr>
            </w:pPr>
            <w:r w:rsidRPr="007121A1">
              <w:rPr>
                <w:rFonts w:ascii="Times New Roman" w:hAnsi="Times New Roman" w:cs="Times New Roman"/>
                <w:b/>
                <w:bCs/>
                <w:i/>
                <w:iCs/>
                <w:sz w:val="24"/>
                <w:szCs w:val="24"/>
              </w:rPr>
              <w:t>P</w:t>
            </w:r>
            <w:r w:rsidRPr="007121A1">
              <w:rPr>
                <w:rFonts w:ascii="Times New Roman" w:hAnsi="Times New Roman" w:cs="Times New Roman"/>
                <w:b/>
                <w:bCs/>
                <w:sz w:val="24"/>
                <w:szCs w:val="24"/>
              </w:rPr>
              <w:t xml:space="preserve"> value</w:t>
            </w:r>
          </w:p>
        </w:tc>
      </w:tr>
      <w:tr w:rsidR="00A64BA8" w:rsidRPr="00A64BA8" w14:paraId="32B1660F" w14:textId="77777777" w:rsidTr="007121A1">
        <w:trPr>
          <w:trHeight w:val="380"/>
        </w:trPr>
        <w:tc>
          <w:tcPr>
            <w:tcW w:w="2633" w:type="dxa"/>
            <w:noWrap/>
            <w:vAlign w:val="center"/>
            <w:hideMark/>
          </w:tcPr>
          <w:p w14:paraId="7D47BF6D"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erm</w:t>
            </w:r>
            <w:r w:rsidRPr="007121A1">
              <w:rPr>
                <w:rFonts w:ascii="Times New Roman" w:hAnsi="Times New Roman" w:cs="Times New Roman"/>
                <w:sz w:val="24"/>
                <w:szCs w:val="24"/>
              </w:rPr>
              <w:t>(A)</w:t>
            </w:r>
          </w:p>
        </w:tc>
        <w:tc>
          <w:tcPr>
            <w:tcW w:w="3854" w:type="dxa"/>
            <w:noWrap/>
            <w:vAlign w:val="center"/>
            <w:hideMark/>
          </w:tcPr>
          <w:p w14:paraId="4487C59D"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1.0 </w:t>
            </w:r>
          </w:p>
          <w:p w14:paraId="27B4EC2E"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(0-Inf)</w:t>
            </w:r>
          </w:p>
        </w:tc>
        <w:tc>
          <w:tcPr>
            <w:tcW w:w="1416" w:type="dxa"/>
            <w:noWrap/>
            <w:vAlign w:val="center"/>
            <w:hideMark/>
          </w:tcPr>
          <w:p w14:paraId="62D579E0"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&gt;0.99</w:t>
            </w:r>
          </w:p>
        </w:tc>
      </w:tr>
      <w:tr w:rsidR="00A64BA8" w:rsidRPr="00A64BA8" w14:paraId="79C4CE9F" w14:textId="77777777" w:rsidTr="007121A1">
        <w:trPr>
          <w:trHeight w:val="123"/>
        </w:trPr>
        <w:tc>
          <w:tcPr>
            <w:tcW w:w="2633" w:type="dxa"/>
            <w:noWrap/>
            <w:vAlign w:val="center"/>
            <w:hideMark/>
          </w:tcPr>
          <w:p w14:paraId="5AA52590"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erm</w:t>
            </w:r>
            <w:r w:rsidRPr="007121A1">
              <w:rPr>
                <w:rFonts w:ascii="Times New Roman" w:hAnsi="Times New Roman" w:cs="Times New Roman"/>
                <w:sz w:val="24"/>
                <w:szCs w:val="24"/>
              </w:rPr>
              <w:t>(B)</w:t>
            </w:r>
          </w:p>
        </w:tc>
        <w:tc>
          <w:tcPr>
            <w:tcW w:w="3854" w:type="dxa"/>
            <w:noWrap/>
            <w:vAlign w:val="center"/>
            <w:hideMark/>
          </w:tcPr>
          <w:p w14:paraId="0C9EF688"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0.8 </w:t>
            </w:r>
          </w:p>
          <w:p w14:paraId="4964847D"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(0.2-2.4)</w:t>
            </w:r>
          </w:p>
        </w:tc>
        <w:tc>
          <w:tcPr>
            <w:tcW w:w="1416" w:type="dxa"/>
            <w:noWrap/>
            <w:vAlign w:val="center"/>
            <w:hideMark/>
          </w:tcPr>
          <w:p w14:paraId="303B9B62"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0.63</w:t>
            </w:r>
          </w:p>
        </w:tc>
      </w:tr>
      <w:tr w:rsidR="00A64BA8" w:rsidRPr="00A64BA8" w14:paraId="6C516513" w14:textId="77777777" w:rsidTr="007121A1">
        <w:trPr>
          <w:trHeight w:val="123"/>
        </w:trPr>
        <w:tc>
          <w:tcPr>
            <w:tcW w:w="2633" w:type="dxa"/>
            <w:noWrap/>
            <w:vAlign w:val="center"/>
            <w:hideMark/>
          </w:tcPr>
          <w:p w14:paraId="0E37A9AB"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erm</w:t>
            </w:r>
            <w:r w:rsidRPr="007121A1">
              <w:rPr>
                <w:rFonts w:ascii="Times New Roman" w:hAnsi="Times New Roman" w:cs="Times New Roman"/>
                <w:sz w:val="24"/>
                <w:szCs w:val="24"/>
              </w:rPr>
              <w:t>(C)</w:t>
            </w:r>
          </w:p>
        </w:tc>
        <w:tc>
          <w:tcPr>
            <w:tcW w:w="3854" w:type="dxa"/>
            <w:noWrap/>
            <w:vAlign w:val="center"/>
            <w:hideMark/>
          </w:tcPr>
          <w:p w14:paraId="0874BB00" w14:textId="0A6C04D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1</w:t>
            </w:r>
            <w:r w:rsidR="00606FBE" w:rsidRPr="007121A1">
              <w:rPr>
                <w:rFonts w:ascii="Times New Roman" w:hAnsi="Times New Roman" w:cs="Times New Roman"/>
                <w:sz w:val="24"/>
                <w:szCs w:val="24"/>
              </w:rPr>
              <w:t>.2 × 10</w:t>
            </w:r>
            <w:r w:rsidR="00606FBE" w:rsidRPr="007121A1">
              <w:rPr>
                <w:rFonts w:ascii="Times New Roman" w:hAnsi="Times New Roman" w:cs="Times New Roman"/>
                <w:sz w:val="24"/>
                <w:szCs w:val="24"/>
                <w:vertAlign w:val="superscript"/>
              </w:rPr>
              <w:t>8</w:t>
            </w:r>
          </w:p>
          <w:p w14:paraId="0136931F"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(0-Inf)</w:t>
            </w:r>
          </w:p>
        </w:tc>
        <w:tc>
          <w:tcPr>
            <w:tcW w:w="1416" w:type="dxa"/>
            <w:noWrap/>
            <w:vAlign w:val="center"/>
            <w:hideMark/>
          </w:tcPr>
          <w:p w14:paraId="25B6AE82"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&gt;0.99</w:t>
            </w:r>
          </w:p>
        </w:tc>
      </w:tr>
      <w:tr w:rsidR="00A64BA8" w:rsidRPr="00A64BA8" w14:paraId="396549A0" w14:textId="77777777" w:rsidTr="007121A1">
        <w:trPr>
          <w:trHeight w:val="123"/>
        </w:trPr>
        <w:tc>
          <w:tcPr>
            <w:tcW w:w="2633" w:type="dxa"/>
            <w:noWrap/>
            <w:vAlign w:val="center"/>
            <w:hideMark/>
          </w:tcPr>
          <w:p w14:paraId="099F89EC"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erm</w:t>
            </w:r>
            <w:r w:rsidRPr="007121A1">
              <w:rPr>
                <w:rFonts w:ascii="Times New Roman" w:hAnsi="Times New Roman" w:cs="Times New Roman"/>
                <w:sz w:val="24"/>
                <w:szCs w:val="24"/>
              </w:rPr>
              <w:t>(F)</w:t>
            </w:r>
          </w:p>
        </w:tc>
        <w:tc>
          <w:tcPr>
            <w:tcW w:w="3854" w:type="dxa"/>
            <w:noWrap/>
            <w:vAlign w:val="center"/>
            <w:hideMark/>
          </w:tcPr>
          <w:p w14:paraId="487ACFEA"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1.3 </w:t>
            </w:r>
          </w:p>
          <w:p w14:paraId="2A873227"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(0.5-3.6)</w:t>
            </w:r>
          </w:p>
        </w:tc>
        <w:tc>
          <w:tcPr>
            <w:tcW w:w="1416" w:type="dxa"/>
            <w:noWrap/>
            <w:vAlign w:val="center"/>
            <w:hideMark/>
          </w:tcPr>
          <w:p w14:paraId="1F9BDC75"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0.59</w:t>
            </w:r>
          </w:p>
        </w:tc>
      </w:tr>
      <w:tr w:rsidR="00A64BA8" w:rsidRPr="00A64BA8" w14:paraId="08E0794D" w14:textId="77777777" w:rsidTr="007121A1">
        <w:trPr>
          <w:trHeight w:val="123"/>
        </w:trPr>
        <w:tc>
          <w:tcPr>
            <w:tcW w:w="2633" w:type="dxa"/>
            <w:noWrap/>
            <w:vAlign w:val="center"/>
            <w:hideMark/>
          </w:tcPr>
          <w:p w14:paraId="7DC63FC9" w14:textId="77777777" w:rsidR="00A64BA8" w:rsidRPr="007121A1" w:rsidRDefault="00A64BA8" w:rsidP="007121A1">
            <w:pPr>
              <w:pStyle w:val="PlainText"/>
              <w:jc w:val="center"/>
              <w:rPr>
                <w:rFonts w:ascii="Times New Roman" w:hAnsi="Times New Roman" w:cs="Times New Roman"/>
                <w:i/>
                <w:iCs/>
                <w:sz w:val="24"/>
                <w:szCs w:val="24"/>
              </w:rPr>
            </w:pPr>
            <w:proofErr w:type="spellStart"/>
            <w:r w:rsidRPr="007121A1">
              <w:rPr>
                <w:rFonts w:ascii="Times New Roman" w:hAnsi="Times New Roman" w:cs="Times New Roman"/>
                <w:i/>
                <w:iCs/>
                <w:sz w:val="24"/>
                <w:szCs w:val="24"/>
              </w:rPr>
              <w:t>mef</w:t>
            </w:r>
            <w:proofErr w:type="spellEnd"/>
          </w:p>
        </w:tc>
        <w:tc>
          <w:tcPr>
            <w:tcW w:w="3854" w:type="dxa"/>
            <w:noWrap/>
            <w:vAlign w:val="center"/>
            <w:hideMark/>
          </w:tcPr>
          <w:p w14:paraId="3989F8DB"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2.5 </w:t>
            </w:r>
          </w:p>
          <w:p w14:paraId="7D1CC6B1"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(0.9-6.7)</w:t>
            </w:r>
          </w:p>
        </w:tc>
        <w:tc>
          <w:tcPr>
            <w:tcW w:w="1416" w:type="dxa"/>
            <w:noWrap/>
            <w:vAlign w:val="center"/>
            <w:hideMark/>
          </w:tcPr>
          <w:p w14:paraId="53FF6C09"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0.08</w:t>
            </w:r>
          </w:p>
        </w:tc>
      </w:tr>
      <w:tr w:rsidR="00A64BA8" w:rsidRPr="00A64BA8" w14:paraId="7E16ED46" w14:textId="77777777" w:rsidTr="007121A1">
        <w:trPr>
          <w:trHeight w:val="123"/>
        </w:trPr>
        <w:tc>
          <w:tcPr>
            <w:tcW w:w="2633" w:type="dxa"/>
            <w:noWrap/>
            <w:vAlign w:val="center"/>
            <w:hideMark/>
          </w:tcPr>
          <w:p w14:paraId="269A4542" w14:textId="77777777" w:rsidR="00A64BA8" w:rsidRPr="007121A1" w:rsidRDefault="00A64BA8" w:rsidP="007121A1">
            <w:pPr>
              <w:pStyle w:val="PlainText"/>
              <w:jc w:val="center"/>
              <w:rPr>
                <w:rFonts w:ascii="Times New Roman" w:hAnsi="Times New Roman" w:cs="Times New Roman"/>
                <w:sz w:val="24"/>
                <w:szCs w:val="24"/>
              </w:rPr>
            </w:pPr>
            <w:proofErr w:type="spellStart"/>
            <w:r w:rsidRPr="007121A1">
              <w:rPr>
                <w:rFonts w:ascii="Times New Roman" w:hAnsi="Times New Roman" w:cs="Times New Roman"/>
                <w:i/>
                <w:iCs/>
                <w:sz w:val="24"/>
                <w:szCs w:val="24"/>
              </w:rPr>
              <w:t>msr</w:t>
            </w:r>
            <w:proofErr w:type="spellEnd"/>
            <w:r w:rsidRPr="007121A1">
              <w:rPr>
                <w:rFonts w:ascii="Times New Roman" w:hAnsi="Times New Roman" w:cs="Times New Roman"/>
                <w:sz w:val="24"/>
                <w:szCs w:val="24"/>
              </w:rPr>
              <w:t>(A)</w:t>
            </w:r>
          </w:p>
        </w:tc>
        <w:tc>
          <w:tcPr>
            <w:tcW w:w="3854" w:type="dxa"/>
            <w:noWrap/>
            <w:vAlign w:val="center"/>
            <w:hideMark/>
          </w:tcPr>
          <w:p w14:paraId="075FB6FE"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1.0 </w:t>
            </w:r>
          </w:p>
          <w:p w14:paraId="7DFBE2B8"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(0.2-4.1)</w:t>
            </w:r>
          </w:p>
        </w:tc>
        <w:tc>
          <w:tcPr>
            <w:tcW w:w="1416" w:type="dxa"/>
            <w:noWrap/>
            <w:vAlign w:val="center"/>
            <w:hideMark/>
          </w:tcPr>
          <w:p w14:paraId="4335B2BE"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&gt;0.99</w:t>
            </w:r>
          </w:p>
        </w:tc>
      </w:tr>
      <w:tr w:rsidR="00A64BA8" w:rsidRPr="00A64BA8" w14:paraId="290E9D78" w14:textId="77777777" w:rsidTr="007121A1">
        <w:trPr>
          <w:trHeight w:val="123"/>
        </w:trPr>
        <w:tc>
          <w:tcPr>
            <w:tcW w:w="2633" w:type="dxa"/>
            <w:noWrap/>
            <w:vAlign w:val="center"/>
            <w:hideMark/>
          </w:tcPr>
          <w:p w14:paraId="509996DB" w14:textId="77777777" w:rsidR="00A64BA8" w:rsidRPr="007121A1" w:rsidRDefault="00A64BA8" w:rsidP="007121A1">
            <w:pPr>
              <w:pStyle w:val="PlainText"/>
              <w:jc w:val="center"/>
              <w:rPr>
                <w:rFonts w:ascii="Times New Roman" w:hAnsi="Times New Roman" w:cs="Times New Roman"/>
                <w:sz w:val="24"/>
                <w:szCs w:val="24"/>
              </w:rPr>
            </w:pPr>
            <w:proofErr w:type="spellStart"/>
            <w:r w:rsidRPr="007121A1">
              <w:rPr>
                <w:rFonts w:ascii="Times New Roman" w:hAnsi="Times New Roman" w:cs="Times New Roman"/>
                <w:i/>
                <w:iCs/>
                <w:sz w:val="24"/>
                <w:szCs w:val="24"/>
              </w:rPr>
              <w:t>msr</w:t>
            </w:r>
            <w:proofErr w:type="spellEnd"/>
            <w:r w:rsidRPr="007121A1">
              <w:rPr>
                <w:rFonts w:ascii="Times New Roman" w:hAnsi="Times New Roman" w:cs="Times New Roman"/>
                <w:sz w:val="24"/>
                <w:szCs w:val="24"/>
              </w:rPr>
              <w:t>(E)</w:t>
            </w:r>
          </w:p>
        </w:tc>
        <w:tc>
          <w:tcPr>
            <w:tcW w:w="3854" w:type="dxa"/>
            <w:noWrap/>
            <w:vAlign w:val="center"/>
            <w:hideMark/>
          </w:tcPr>
          <w:p w14:paraId="2F3D3649"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0.8 </w:t>
            </w:r>
          </w:p>
          <w:p w14:paraId="5A58697B"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(0.3-2.2)</w:t>
            </w:r>
          </w:p>
        </w:tc>
        <w:tc>
          <w:tcPr>
            <w:tcW w:w="1416" w:type="dxa"/>
            <w:noWrap/>
            <w:vAlign w:val="center"/>
            <w:hideMark/>
          </w:tcPr>
          <w:p w14:paraId="0CD38128"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0.66</w:t>
            </w:r>
          </w:p>
        </w:tc>
      </w:tr>
      <w:tr w:rsidR="00A64BA8" w:rsidRPr="00A64BA8" w14:paraId="5B5042CC" w14:textId="77777777" w:rsidTr="007121A1">
        <w:trPr>
          <w:trHeight w:val="123"/>
        </w:trPr>
        <w:tc>
          <w:tcPr>
            <w:tcW w:w="2633" w:type="dxa"/>
            <w:noWrap/>
            <w:vAlign w:val="center"/>
            <w:hideMark/>
          </w:tcPr>
          <w:p w14:paraId="30BBD871" w14:textId="77777777" w:rsidR="00A64BA8" w:rsidRPr="007121A1" w:rsidRDefault="00A64BA8" w:rsidP="007121A1">
            <w:pPr>
              <w:pStyle w:val="PlainText"/>
              <w:jc w:val="center"/>
              <w:rPr>
                <w:rFonts w:ascii="Times New Roman" w:hAnsi="Times New Roman" w:cs="Times New Roman"/>
                <w:sz w:val="24"/>
                <w:szCs w:val="24"/>
              </w:rPr>
            </w:pPr>
            <w:proofErr w:type="spellStart"/>
            <w:r w:rsidRPr="007121A1">
              <w:rPr>
                <w:rFonts w:ascii="Times New Roman" w:hAnsi="Times New Roman" w:cs="Times New Roman"/>
                <w:i/>
                <w:iCs/>
                <w:sz w:val="24"/>
                <w:szCs w:val="24"/>
              </w:rPr>
              <w:t>tet</w:t>
            </w:r>
            <w:proofErr w:type="spellEnd"/>
            <w:r w:rsidRPr="007121A1">
              <w:rPr>
                <w:rFonts w:ascii="Times New Roman" w:hAnsi="Times New Roman" w:cs="Times New Roman"/>
                <w:sz w:val="24"/>
                <w:szCs w:val="24"/>
              </w:rPr>
              <w:t>(M)</w:t>
            </w:r>
          </w:p>
        </w:tc>
        <w:tc>
          <w:tcPr>
            <w:tcW w:w="3854" w:type="dxa"/>
            <w:noWrap/>
            <w:vAlign w:val="center"/>
            <w:hideMark/>
          </w:tcPr>
          <w:p w14:paraId="316B2458"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0.3 </w:t>
            </w:r>
          </w:p>
          <w:p w14:paraId="765E0DC5"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(0.04-2.8)</w:t>
            </w:r>
          </w:p>
        </w:tc>
        <w:tc>
          <w:tcPr>
            <w:tcW w:w="1416" w:type="dxa"/>
            <w:noWrap/>
            <w:vAlign w:val="center"/>
            <w:hideMark/>
          </w:tcPr>
          <w:p w14:paraId="11433B8D"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0.30</w:t>
            </w:r>
          </w:p>
        </w:tc>
      </w:tr>
      <w:tr w:rsidR="00A64BA8" w:rsidRPr="00A64BA8" w14:paraId="6A40F2D7" w14:textId="77777777" w:rsidTr="007121A1">
        <w:trPr>
          <w:trHeight w:val="123"/>
        </w:trPr>
        <w:tc>
          <w:tcPr>
            <w:tcW w:w="2633" w:type="dxa"/>
            <w:noWrap/>
            <w:vAlign w:val="center"/>
            <w:hideMark/>
          </w:tcPr>
          <w:p w14:paraId="311F7D41" w14:textId="77777777" w:rsidR="00A64BA8" w:rsidRPr="007121A1" w:rsidRDefault="00A64BA8" w:rsidP="007121A1">
            <w:pPr>
              <w:pStyle w:val="PlainText"/>
              <w:jc w:val="center"/>
              <w:rPr>
                <w:rFonts w:ascii="Times New Roman" w:hAnsi="Times New Roman" w:cs="Times New Roman"/>
                <w:sz w:val="24"/>
                <w:szCs w:val="24"/>
              </w:rPr>
            </w:pPr>
            <w:proofErr w:type="spellStart"/>
            <w:r w:rsidRPr="007121A1">
              <w:rPr>
                <w:rFonts w:ascii="Times New Roman" w:hAnsi="Times New Roman" w:cs="Times New Roman"/>
                <w:i/>
                <w:iCs/>
                <w:sz w:val="24"/>
                <w:szCs w:val="24"/>
              </w:rPr>
              <w:t>tet</w:t>
            </w:r>
            <w:proofErr w:type="spellEnd"/>
            <w:r w:rsidRPr="007121A1">
              <w:rPr>
                <w:rFonts w:ascii="Times New Roman" w:hAnsi="Times New Roman" w:cs="Times New Roman"/>
                <w:sz w:val="24"/>
                <w:szCs w:val="24"/>
              </w:rPr>
              <w:t>(O)</w:t>
            </w:r>
          </w:p>
        </w:tc>
        <w:tc>
          <w:tcPr>
            <w:tcW w:w="3854" w:type="dxa"/>
            <w:noWrap/>
            <w:vAlign w:val="center"/>
            <w:hideMark/>
          </w:tcPr>
          <w:p w14:paraId="2014E4BB"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1.2 </w:t>
            </w:r>
          </w:p>
          <w:p w14:paraId="5C97A3A9"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(0.4-3.1)</w:t>
            </w:r>
          </w:p>
        </w:tc>
        <w:tc>
          <w:tcPr>
            <w:tcW w:w="1416" w:type="dxa"/>
            <w:noWrap/>
            <w:vAlign w:val="center"/>
            <w:hideMark/>
          </w:tcPr>
          <w:p w14:paraId="406E8068"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0.77</w:t>
            </w:r>
          </w:p>
        </w:tc>
      </w:tr>
      <w:tr w:rsidR="00A64BA8" w:rsidRPr="00A64BA8" w14:paraId="51B1CC2E" w14:textId="77777777" w:rsidTr="007121A1">
        <w:trPr>
          <w:trHeight w:val="129"/>
        </w:trPr>
        <w:tc>
          <w:tcPr>
            <w:tcW w:w="2633" w:type="dxa"/>
            <w:noWrap/>
            <w:vAlign w:val="center"/>
            <w:hideMark/>
          </w:tcPr>
          <w:p w14:paraId="58B112DF" w14:textId="77777777" w:rsidR="00A64BA8" w:rsidRPr="007121A1" w:rsidRDefault="00A64BA8" w:rsidP="007121A1">
            <w:pPr>
              <w:pStyle w:val="PlainText"/>
              <w:jc w:val="center"/>
              <w:rPr>
                <w:rFonts w:ascii="Times New Roman" w:hAnsi="Times New Roman" w:cs="Times New Roman"/>
                <w:sz w:val="24"/>
                <w:szCs w:val="24"/>
              </w:rPr>
            </w:pPr>
            <w:proofErr w:type="spellStart"/>
            <w:r w:rsidRPr="007121A1">
              <w:rPr>
                <w:rFonts w:ascii="Times New Roman" w:hAnsi="Times New Roman" w:cs="Times New Roman"/>
                <w:i/>
                <w:iCs/>
                <w:sz w:val="24"/>
                <w:szCs w:val="24"/>
              </w:rPr>
              <w:t>tet</w:t>
            </w:r>
            <w:proofErr w:type="spellEnd"/>
            <w:r w:rsidRPr="007121A1">
              <w:rPr>
                <w:rFonts w:ascii="Times New Roman" w:hAnsi="Times New Roman" w:cs="Times New Roman"/>
                <w:sz w:val="24"/>
                <w:szCs w:val="24"/>
              </w:rPr>
              <w:t>(W)</w:t>
            </w:r>
          </w:p>
        </w:tc>
        <w:tc>
          <w:tcPr>
            <w:tcW w:w="3854" w:type="dxa"/>
            <w:noWrap/>
            <w:vAlign w:val="center"/>
            <w:hideMark/>
          </w:tcPr>
          <w:p w14:paraId="1C2DDD04"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0.6 </w:t>
            </w:r>
          </w:p>
          <w:p w14:paraId="26849A6D"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(0.2-1.9)</w:t>
            </w:r>
          </w:p>
        </w:tc>
        <w:tc>
          <w:tcPr>
            <w:tcW w:w="1416" w:type="dxa"/>
            <w:noWrap/>
            <w:vAlign w:val="center"/>
            <w:hideMark/>
          </w:tcPr>
          <w:p w14:paraId="48251560"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0.41</w:t>
            </w:r>
          </w:p>
        </w:tc>
      </w:tr>
    </w:tbl>
    <w:p w14:paraId="5AEAA44E" w14:textId="76AE2703" w:rsidR="004B6FBD" w:rsidRDefault="004B6FBD" w:rsidP="009141CB">
      <w:pPr>
        <w:pStyle w:val="PlainText"/>
        <w:spacing w:line="360" w:lineRule="auto"/>
        <w:jc w:val="both"/>
        <w:rPr>
          <w:rFonts w:ascii="Times New Roman" w:hAnsi="Times New Roman" w:cs="Times New Roman"/>
        </w:rPr>
      </w:pPr>
    </w:p>
    <w:p w14:paraId="121BA6C3" w14:textId="77777777" w:rsidR="004B6FBD" w:rsidRDefault="004B6FBD" w:rsidP="009141CB">
      <w:pPr>
        <w:pStyle w:val="PlainText"/>
        <w:spacing w:line="360" w:lineRule="auto"/>
        <w:jc w:val="both"/>
        <w:rPr>
          <w:rFonts w:ascii="Times New Roman" w:hAnsi="Times New Roman" w:cs="Times New Roman"/>
        </w:rPr>
      </w:pPr>
    </w:p>
    <w:p w14:paraId="0386E717" w14:textId="2772901D" w:rsidR="004B6FBD" w:rsidRPr="004B6FBD" w:rsidRDefault="004B6FBD" w:rsidP="009141CB">
      <w:pPr>
        <w:pStyle w:val="PlainText"/>
        <w:spacing w:line="360" w:lineRule="auto"/>
        <w:jc w:val="both"/>
        <w:rPr>
          <w:rFonts w:ascii="Times New Roman" w:hAnsi="Times New Roman" w:cs="Times New Roman"/>
        </w:rPr>
        <w:sectPr w:rsidR="004B6FBD" w:rsidRPr="004B6FBD">
          <w:pgSz w:w="11906" w:h="16838"/>
          <w:pgMar w:top="1440" w:right="1440" w:bottom="1440" w:left="1440" w:header="708" w:footer="708" w:gutter="0"/>
          <w:cols w:space="708"/>
          <w:docGrid w:linePitch="360"/>
        </w:sectPr>
      </w:pPr>
    </w:p>
    <w:p w14:paraId="42350B8A" w14:textId="77777777" w:rsidR="009141CB" w:rsidRPr="009141CB" w:rsidRDefault="009141CB" w:rsidP="009141CB">
      <w:pPr>
        <w:spacing w:line="360" w:lineRule="auto"/>
        <w:jc w:val="both"/>
        <w:rPr>
          <w:rFonts w:ascii="Times New Roman" w:hAnsi="Times New Roman" w:cs="Times New Roman"/>
          <w:b/>
          <w:bCs/>
          <w:sz w:val="24"/>
          <w:szCs w:val="24"/>
        </w:rPr>
      </w:pPr>
      <w:r w:rsidRPr="009141CB">
        <w:rPr>
          <w:rFonts w:ascii="Times New Roman" w:hAnsi="Times New Roman" w:cs="Times New Roman"/>
          <w:b/>
          <w:bCs/>
          <w:sz w:val="24"/>
          <w:szCs w:val="24"/>
        </w:rPr>
        <w:lastRenderedPageBreak/>
        <w:t xml:space="preserve">Reviewer 2: </w:t>
      </w:r>
    </w:p>
    <w:p w14:paraId="0808737F" w14:textId="77777777" w:rsidR="009141CB" w:rsidRPr="00C2120F" w:rsidRDefault="009141CB" w:rsidP="009141CB">
      <w:pPr>
        <w:pStyle w:val="PlainText"/>
        <w:spacing w:line="360" w:lineRule="auto"/>
        <w:jc w:val="both"/>
        <w:rPr>
          <w:rFonts w:ascii="Times New Roman" w:hAnsi="Times New Roman" w:cs="Times New Roman"/>
        </w:rPr>
      </w:pPr>
      <w:r w:rsidRPr="00C2120F">
        <w:rPr>
          <w:rFonts w:ascii="Times New Roman" w:hAnsi="Times New Roman" w:cs="Times New Roman"/>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0C2A4C8F" w14:textId="4DC7C2BF" w:rsidR="009141CB" w:rsidRPr="00AE0AED" w:rsidRDefault="009141CB" w:rsidP="009141CB">
      <w:pPr>
        <w:pStyle w:val="PlainText"/>
        <w:spacing w:line="360" w:lineRule="auto"/>
        <w:jc w:val="both"/>
        <w:rPr>
          <w:rFonts w:ascii="Times New Roman" w:hAnsi="Times New Roman" w:cs="Times New Roman"/>
          <w:b/>
          <w:bCs/>
        </w:rPr>
      </w:pPr>
    </w:p>
    <w:p w14:paraId="016FCFCF" w14:textId="77777777" w:rsidR="009141CB" w:rsidRDefault="009141CB" w:rsidP="009141CB">
      <w:pPr>
        <w:pStyle w:val="PlainText"/>
        <w:numPr>
          <w:ilvl w:val="0"/>
          <w:numId w:val="5"/>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 xml:space="preserve">That the relative abundance of </w:t>
      </w:r>
      <w:proofErr w:type="spellStart"/>
      <w:r w:rsidRPr="00C2120F">
        <w:rPr>
          <w:rFonts w:ascii="Times New Roman" w:hAnsi="Times New Roman" w:cs="Times New Roman"/>
        </w:rPr>
        <w:t>ermB</w:t>
      </w:r>
      <w:proofErr w:type="spellEnd"/>
      <w:r w:rsidRPr="00C2120F">
        <w:rPr>
          <w:rFonts w:ascii="Times New Roman" w:hAnsi="Times New Roman" w:cs="Times New Roman"/>
        </w:rPr>
        <w:t xml:space="preserve"> is higher in MR and MNR group. However, they also tested 9 additional resistance genes (multiple hypothesis testing) and I don’t see where this has been adjusted for. With adjustment, significance will probably be lost.</w:t>
      </w:r>
    </w:p>
    <w:p w14:paraId="0BCA9937" w14:textId="2DF3C03F" w:rsidR="009141CB" w:rsidRDefault="009141CB">
      <w:pPr>
        <w:rPr>
          <w:b/>
          <w:bCs/>
        </w:rPr>
      </w:pPr>
    </w:p>
    <w:p w14:paraId="7B230A6C" w14:textId="4D0EDB99" w:rsidR="00C06E53" w:rsidRPr="00020792" w:rsidRDefault="00C06E53" w:rsidP="00020792">
      <w:pPr>
        <w:spacing w:line="360" w:lineRule="auto"/>
        <w:jc w:val="both"/>
        <w:rPr>
          <w:b/>
          <w:bCs/>
          <w:color w:val="7030A0"/>
        </w:rPr>
      </w:pPr>
      <w:r w:rsidRPr="00020792">
        <w:rPr>
          <w:b/>
          <w:bCs/>
          <w:color w:val="7030A0"/>
        </w:rPr>
        <w:t>[Pre and post FDR results]</w:t>
      </w:r>
    </w:p>
    <w:p w14:paraId="4E0B6C60" w14:textId="27497904" w:rsidR="009B0011" w:rsidRDefault="009B0011">
      <w:pPr>
        <w:rPr>
          <w:b/>
          <w:bCs/>
        </w:rPr>
      </w:pPr>
    </w:p>
    <w:p w14:paraId="2CD929FD" w14:textId="77777777" w:rsidR="009B0011" w:rsidRDefault="009B0011" w:rsidP="009B0011">
      <w:pPr>
        <w:spacing w:line="480" w:lineRule="auto"/>
        <w:rPr>
          <w:rFonts w:ascii="Times New Roman" w:hAnsi="Times New Roman" w:cs="Times New Roman"/>
          <w:sz w:val="24"/>
        </w:rPr>
      </w:pPr>
      <w:r>
        <w:rPr>
          <w:rFonts w:ascii="Times New Roman" w:hAnsi="Times New Roman" w:cs="Times New Roman"/>
          <w:b/>
          <w:sz w:val="24"/>
        </w:rPr>
        <w:t>Table 2.</w:t>
      </w:r>
      <w:r>
        <w:rPr>
          <w:rFonts w:ascii="Times New Roman" w:hAnsi="Times New Roman" w:cs="Times New Roman"/>
          <w:sz w:val="24"/>
        </w:rPr>
        <w:t xml:space="preserve"> Resistance gene detection frequency in patients stratified by macrolide use.</w:t>
      </w:r>
    </w:p>
    <w:tbl>
      <w:tblPr>
        <w:tblW w:w="7928" w:type="dxa"/>
        <w:jc w:val="center"/>
        <w:tblCellMar>
          <w:left w:w="0" w:type="dxa"/>
          <w:right w:w="0" w:type="dxa"/>
        </w:tblCellMar>
        <w:tblLook w:val="0600" w:firstRow="0" w:lastRow="0" w:firstColumn="0" w:lastColumn="0" w:noHBand="1" w:noVBand="1"/>
      </w:tblPr>
      <w:tblGrid>
        <w:gridCol w:w="1486"/>
        <w:gridCol w:w="1623"/>
        <w:gridCol w:w="1843"/>
        <w:gridCol w:w="1417"/>
        <w:gridCol w:w="1559"/>
      </w:tblGrid>
      <w:tr w:rsidR="009B0011" w14:paraId="05DD1129" w14:textId="54FCD234" w:rsidTr="007121A1">
        <w:trPr>
          <w:trHeight w:val="414"/>
          <w:jc w:val="center"/>
        </w:trPr>
        <w:tc>
          <w:tcPr>
            <w:tcW w:w="1486"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222C9053"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lang w:val="en-US"/>
              </w:rPr>
              <w:t>Resistance gene</w:t>
            </w:r>
          </w:p>
        </w:tc>
        <w:tc>
          <w:tcPr>
            <w:tcW w:w="1623"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22A98996"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p>
        </w:tc>
        <w:tc>
          <w:tcPr>
            <w:tcW w:w="1843" w:type="dxa"/>
            <w:tcBorders>
              <w:top w:val="single" w:sz="8" w:space="0" w:color="000000"/>
              <w:left w:val="nil"/>
              <w:bottom w:val="single" w:sz="8" w:space="0" w:color="000000"/>
              <w:right w:val="nil"/>
            </w:tcBorders>
            <w:shd w:val="clear" w:color="auto" w:fill="F2F2F2"/>
            <w:vAlign w:val="center"/>
            <w:hideMark/>
          </w:tcPr>
          <w:p w14:paraId="5D0FF344"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p>
        </w:tc>
        <w:tc>
          <w:tcPr>
            <w:tcW w:w="1417"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47F46540"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w:t>
            </w:r>
          </w:p>
        </w:tc>
        <w:tc>
          <w:tcPr>
            <w:tcW w:w="1559" w:type="dxa"/>
            <w:tcBorders>
              <w:top w:val="single" w:sz="8" w:space="0" w:color="000000"/>
              <w:left w:val="nil"/>
              <w:bottom w:val="single" w:sz="8" w:space="0" w:color="000000"/>
              <w:right w:val="single" w:sz="8" w:space="0" w:color="000000"/>
            </w:tcBorders>
            <w:shd w:val="clear" w:color="auto" w:fill="F2F2F2"/>
            <w:vAlign w:val="center"/>
          </w:tcPr>
          <w:p w14:paraId="1F4D1E5A" w14:textId="77777777" w:rsidR="009B0011"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 </w:t>
            </w:r>
          </w:p>
          <w:p w14:paraId="0218F1CE" w14:textId="336BDC10" w:rsidR="009B0011" w:rsidRPr="009B0011"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w:t>
            </w:r>
            <w:r w:rsidR="007121A1">
              <w:rPr>
                <w:rFonts w:ascii="Times New Roman" w:eastAsia="Times New Roman" w:hAnsi="Times New Roman" w:cs="Times New Roman"/>
                <w:b/>
                <w:bCs/>
                <w:color w:val="000000" w:themeColor="text1"/>
                <w:kern w:val="24"/>
                <w:sz w:val="24"/>
                <w:szCs w:val="24"/>
              </w:rPr>
              <w:t>post-FDR</w:t>
            </w:r>
            <w:r>
              <w:rPr>
                <w:rFonts w:ascii="Times New Roman" w:eastAsia="Times New Roman" w:hAnsi="Times New Roman" w:cs="Times New Roman"/>
                <w:b/>
                <w:bCs/>
                <w:color w:val="000000" w:themeColor="text1"/>
                <w:kern w:val="24"/>
                <w:sz w:val="24"/>
                <w:szCs w:val="24"/>
              </w:rPr>
              <w:t>)</w:t>
            </w:r>
          </w:p>
        </w:tc>
      </w:tr>
      <w:tr w:rsidR="009B0011" w14:paraId="778BB36E" w14:textId="1201284E" w:rsidTr="007121A1">
        <w:trPr>
          <w:trHeight w:val="45"/>
          <w:jc w:val="center"/>
        </w:trPr>
        <w:tc>
          <w:tcPr>
            <w:tcW w:w="1486" w:type="dxa"/>
            <w:tcBorders>
              <w:top w:val="single" w:sz="8" w:space="0" w:color="000000"/>
              <w:left w:val="single" w:sz="8" w:space="0" w:color="000000"/>
              <w:bottom w:val="single" w:sz="4" w:space="0" w:color="auto"/>
              <w:right w:val="nil"/>
            </w:tcBorders>
            <w:tcMar>
              <w:top w:w="15" w:type="dxa"/>
              <w:left w:w="15" w:type="dxa"/>
              <w:bottom w:w="0" w:type="dxa"/>
              <w:right w:w="15" w:type="dxa"/>
            </w:tcMar>
            <w:vAlign w:val="center"/>
            <w:hideMark/>
          </w:tcPr>
          <w:p w14:paraId="0CE7FB42"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(A)</w:t>
            </w:r>
          </w:p>
        </w:tc>
        <w:tc>
          <w:tcPr>
            <w:tcW w:w="1623" w:type="dxa"/>
            <w:tcBorders>
              <w:top w:val="single" w:sz="8" w:space="0" w:color="000000"/>
              <w:left w:val="nil"/>
              <w:bottom w:val="single" w:sz="4" w:space="0" w:color="auto"/>
              <w:right w:val="nil"/>
            </w:tcBorders>
            <w:tcMar>
              <w:top w:w="15" w:type="dxa"/>
              <w:left w:w="15" w:type="dxa"/>
              <w:bottom w:w="0" w:type="dxa"/>
              <w:right w:w="15" w:type="dxa"/>
            </w:tcMar>
            <w:vAlign w:val="center"/>
            <w:hideMark/>
          </w:tcPr>
          <w:p w14:paraId="3A9ED0A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3.8% </w:t>
            </w:r>
          </w:p>
          <w:p w14:paraId="79B7103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(2/53)</w:t>
            </w:r>
          </w:p>
        </w:tc>
        <w:tc>
          <w:tcPr>
            <w:tcW w:w="1843" w:type="dxa"/>
            <w:tcBorders>
              <w:top w:val="single" w:sz="8" w:space="0" w:color="000000"/>
              <w:left w:val="nil"/>
              <w:bottom w:val="single" w:sz="4" w:space="0" w:color="auto"/>
              <w:right w:val="nil"/>
            </w:tcBorders>
            <w:tcMar>
              <w:top w:w="15" w:type="dxa"/>
              <w:left w:w="15" w:type="dxa"/>
              <w:bottom w:w="0" w:type="dxa"/>
              <w:right w:w="15" w:type="dxa"/>
            </w:tcMar>
            <w:vAlign w:val="center"/>
            <w:hideMark/>
          </w:tcPr>
          <w:p w14:paraId="7EF6431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5.0% </w:t>
            </w:r>
          </w:p>
          <w:p w14:paraId="4878578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(2/40)</w:t>
            </w:r>
          </w:p>
        </w:tc>
        <w:tc>
          <w:tcPr>
            <w:tcW w:w="1417" w:type="dxa"/>
            <w:tcBorders>
              <w:top w:val="single" w:sz="8" w:space="0" w:color="000000"/>
              <w:left w:val="nil"/>
              <w:bottom w:val="single" w:sz="4" w:space="0" w:color="auto"/>
            </w:tcBorders>
            <w:tcMar>
              <w:top w:w="15" w:type="dxa"/>
              <w:left w:w="15" w:type="dxa"/>
              <w:bottom w:w="0" w:type="dxa"/>
              <w:right w:w="15" w:type="dxa"/>
            </w:tcMar>
            <w:vAlign w:val="center"/>
            <w:hideMark/>
          </w:tcPr>
          <w:p w14:paraId="4BC2498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0.99</w:t>
            </w:r>
          </w:p>
        </w:tc>
        <w:tc>
          <w:tcPr>
            <w:tcW w:w="1559" w:type="dxa"/>
            <w:tcBorders>
              <w:top w:val="single" w:sz="8" w:space="0" w:color="000000"/>
              <w:left w:val="nil"/>
              <w:bottom w:val="single" w:sz="4" w:space="0" w:color="auto"/>
              <w:right w:val="single" w:sz="8" w:space="0" w:color="auto"/>
            </w:tcBorders>
            <w:shd w:val="clear" w:color="auto" w:fill="auto"/>
            <w:vAlign w:val="center"/>
          </w:tcPr>
          <w:p w14:paraId="51740238" w14:textId="32918E79"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0.99</w:t>
            </w:r>
          </w:p>
        </w:tc>
      </w:tr>
      <w:tr w:rsidR="009B0011" w14:paraId="242824B5" w14:textId="6A85EC91"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456F78A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(B)</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6075461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89% </w:t>
            </w:r>
          </w:p>
          <w:p w14:paraId="0E0F820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(47/53)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03FC28E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95% </w:t>
            </w:r>
          </w:p>
          <w:p w14:paraId="7BBAD28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(38/40)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492B7B5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0.46</w:t>
            </w:r>
          </w:p>
        </w:tc>
        <w:tc>
          <w:tcPr>
            <w:tcW w:w="1559" w:type="dxa"/>
            <w:tcBorders>
              <w:top w:val="single" w:sz="4" w:space="0" w:color="auto"/>
              <w:left w:val="nil"/>
              <w:bottom w:val="single" w:sz="4" w:space="0" w:color="auto"/>
              <w:right w:val="single" w:sz="8" w:space="0" w:color="auto"/>
            </w:tcBorders>
            <w:shd w:val="clear" w:color="auto" w:fill="auto"/>
            <w:vAlign w:val="center"/>
          </w:tcPr>
          <w:p w14:paraId="2ED168CB" w14:textId="15138031"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0.66</w:t>
            </w:r>
          </w:p>
        </w:tc>
      </w:tr>
      <w:tr w:rsidR="009B0011" w14:paraId="59E6E8BB" w14:textId="32ADFFB9"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3314F4A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(C)</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45FA1CF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19% </w:t>
            </w:r>
          </w:p>
          <w:p w14:paraId="2735B3A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(10/53)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5238EC0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13% </w:t>
            </w:r>
          </w:p>
          <w:p w14:paraId="6CC469E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(5/40)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462022E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0.57</w:t>
            </w:r>
          </w:p>
        </w:tc>
        <w:tc>
          <w:tcPr>
            <w:tcW w:w="1559" w:type="dxa"/>
            <w:tcBorders>
              <w:top w:val="single" w:sz="4" w:space="0" w:color="auto"/>
              <w:left w:val="nil"/>
              <w:bottom w:val="single" w:sz="4" w:space="0" w:color="auto"/>
              <w:right w:val="single" w:sz="8" w:space="0" w:color="auto"/>
            </w:tcBorders>
            <w:shd w:val="clear" w:color="auto" w:fill="auto"/>
            <w:vAlign w:val="center"/>
          </w:tcPr>
          <w:p w14:paraId="58383D17" w14:textId="28298F2D"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0.71</w:t>
            </w:r>
          </w:p>
        </w:tc>
      </w:tr>
      <w:tr w:rsidR="009B0011" w14:paraId="56408178" w14:textId="008C6FE1"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0A7B235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(F)</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108103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68% </w:t>
            </w:r>
          </w:p>
          <w:p w14:paraId="1D638DC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(36/53)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0F433682"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78% </w:t>
            </w:r>
          </w:p>
          <w:p w14:paraId="208ECE9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(31/40)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2197C3D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0.36</w:t>
            </w:r>
          </w:p>
        </w:tc>
        <w:tc>
          <w:tcPr>
            <w:tcW w:w="1559" w:type="dxa"/>
            <w:tcBorders>
              <w:top w:val="single" w:sz="4" w:space="0" w:color="auto"/>
              <w:left w:val="nil"/>
              <w:bottom w:val="single" w:sz="4" w:space="0" w:color="auto"/>
              <w:right w:val="single" w:sz="8" w:space="0" w:color="auto"/>
            </w:tcBorders>
            <w:shd w:val="clear" w:color="auto" w:fill="auto"/>
            <w:vAlign w:val="center"/>
          </w:tcPr>
          <w:p w14:paraId="26ACBA05" w14:textId="5D666DBD"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44962074" w14:textId="4B691CE5"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03B3B03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mef</w:t>
            </w:r>
            <w:proofErr w:type="spellEnd"/>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1F7AE1E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74% </w:t>
            </w:r>
          </w:p>
          <w:p w14:paraId="4838304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(39/53)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EA209B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83% </w:t>
            </w:r>
          </w:p>
          <w:p w14:paraId="195A674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(33/40)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3C37D293"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0.33</w:t>
            </w:r>
          </w:p>
        </w:tc>
        <w:tc>
          <w:tcPr>
            <w:tcW w:w="1559" w:type="dxa"/>
            <w:tcBorders>
              <w:top w:val="single" w:sz="4" w:space="0" w:color="auto"/>
              <w:left w:val="nil"/>
              <w:bottom w:val="single" w:sz="4" w:space="0" w:color="auto"/>
              <w:right w:val="single" w:sz="8" w:space="0" w:color="auto"/>
            </w:tcBorders>
            <w:shd w:val="clear" w:color="auto" w:fill="auto"/>
            <w:vAlign w:val="center"/>
          </w:tcPr>
          <w:p w14:paraId="1A8662AF" w14:textId="3D8CD4EF"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25C89691" w14:textId="30849B82"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4E67CDD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msr</w:t>
            </w:r>
            <w:proofErr w:type="spellEnd"/>
            <w:r>
              <w:rPr>
                <w:rFonts w:ascii="Times New Roman" w:eastAsia="Times New Roman" w:hAnsi="Times New Roman" w:cs="Times New Roman"/>
                <w:color w:val="000000" w:themeColor="text1"/>
                <w:kern w:val="24"/>
                <w:sz w:val="24"/>
                <w:szCs w:val="24"/>
              </w:rPr>
              <w:t>(A)</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7F4FB64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36% </w:t>
            </w:r>
          </w:p>
          <w:p w14:paraId="3011669D"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(19/53)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69A692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25% </w:t>
            </w:r>
          </w:p>
          <w:p w14:paraId="0CC1E2E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(10/40)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05298B1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0.37</w:t>
            </w:r>
          </w:p>
        </w:tc>
        <w:tc>
          <w:tcPr>
            <w:tcW w:w="1559" w:type="dxa"/>
            <w:tcBorders>
              <w:top w:val="single" w:sz="4" w:space="0" w:color="auto"/>
              <w:left w:val="nil"/>
              <w:bottom w:val="single" w:sz="4" w:space="0" w:color="auto"/>
              <w:right w:val="single" w:sz="8" w:space="0" w:color="auto"/>
            </w:tcBorders>
            <w:shd w:val="clear" w:color="auto" w:fill="auto"/>
            <w:vAlign w:val="center"/>
          </w:tcPr>
          <w:p w14:paraId="6A4E8C16" w14:textId="5ED1B687"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1AFAF866" w14:textId="62611B3B"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1B45038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msr</w:t>
            </w:r>
            <w:proofErr w:type="spellEnd"/>
            <w:r>
              <w:rPr>
                <w:rFonts w:ascii="Times New Roman" w:eastAsia="Times New Roman" w:hAnsi="Times New Roman" w:cs="Times New Roman"/>
                <w:color w:val="000000" w:themeColor="text1"/>
                <w:kern w:val="24"/>
                <w:sz w:val="24"/>
                <w:szCs w:val="24"/>
              </w:rPr>
              <w:t>(E)</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41A53D7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66% </w:t>
            </w:r>
          </w:p>
          <w:p w14:paraId="7B34D06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(35/53)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42B0FA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73% </w:t>
            </w:r>
          </w:p>
          <w:p w14:paraId="730346A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(29/40)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5FBAC3E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0.65</w:t>
            </w:r>
          </w:p>
        </w:tc>
        <w:tc>
          <w:tcPr>
            <w:tcW w:w="1559" w:type="dxa"/>
            <w:tcBorders>
              <w:top w:val="single" w:sz="4" w:space="0" w:color="auto"/>
              <w:left w:val="nil"/>
              <w:bottom w:val="single" w:sz="4" w:space="0" w:color="auto"/>
              <w:right w:val="single" w:sz="8" w:space="0" w:color="auto"/>
            </w:tcBorders>
            <w:shd w:val="clear" w:color="auto" w:fill="auto"/>
            <w:vAlign w:val="center"/>
          </w:tcPr>
          <w:p w14:paraId="425E8E36" w14:textId="2E5453DA"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0.72</w:t>
            </w:r>
          </w:p>
        </w:tc>
      </w:tr>
      <w:tr w:rsidR="009B0011" w14:paraId="1467CB3B" w14:textId="4082770C"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2918155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tetM</w:t>
            </w:r>
            <w:proofErr w:type="spellEnd"/>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1BF815A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94% </w:t>
            </w:r>
          </w:p>
          <w:p w14:paraId="1763A07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(50/53)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640F547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100% </w:t>
            </w:r>
          </w:p>
          <w:p w14:paraId="3B290AC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(40/40)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308FB6E2"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0.26</w:t>
            </w:r>
          </w:p>
        </w:tc>
        <w:tc>
          <w:tcPr>
            <w:tcW w:w="1559" w:type="dxa"/>
            <w:tcBorders>
              <w:top w:val="single" w:sz="4" w:space="0" w:color="auto"/>
              <w:left w:val="nil"/>
              <w:bottom w:val="single" w:sz="4" w:space="0" w:color="auto"/>
              <w:right w:val="single" w:sz="8" w:space="0" w:color="auto"/>
            </w:tcBorders>
            <w:shd w:val="clear" w:color="auto" w:fill="auto"/>
            <w:vAlign w:val="center"/>
          </w:tcPr>
          <w:p w14:paraId="681DE17F" w14:textId="7421A0DE"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427A2FE9" w14:textId="5D60B2AE"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6CEC42B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tetO</w:t>
            </w:r>
            <w:proofErr w:type="spellEnd"/>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EC84DB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64% </w:t>
            </w:r>
          </w:p>
          <w:p w14:paraId="255AE47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(34/53)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AFB616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78% </w:t>
            </w:r>
          </w:p>
          <w:p w14:paraId="08D5754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(31/40)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0001071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0.18</w:t>
            </w:r>
          </w:p>
        </w:tc>
        <w:tc>
          <w:tcPr>
            <w:tcW w:w="1559" w:type="dxa"/>
            <w:tcBorders>
              <w:top w:val="single" w:sz="4" w:space="0" w:color="auto"/>
              <w:left w:val="nil"/>
              <w:bottom w:val="single" w:sz="4" w:space="0" w:color="auto"/>
              <w:right w:val="single" w:sz="8" w:space="0" w:color="auto"/>
            </w:tcBorders>
            <w:shd w:val="clear" w:color="auto" w:fill="auto"/>
            <w:vAlign w:val="center"/>
          </w:tcPr>
          <w:p w14:paraId="61B3AC7A" w14:textId="49255A36"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7CC04105" w14:textId="44ECBA68" w:rsidTr="007121A1">
        <w:trPr>
          <w:trHeight w:val="303"/>
          <w:jc w:val="center"/>
        </w:trPr>
        <w:tc>
          <w:tcPr>
            <w:tcW w:w="1486" w:type="dxa"/>
            <w:tcBorders>
              <w:top w:val="single" w:sz="4" w:space="0" w:color="auto"/>
              <w:left w:val="single" w:sz="8" w:space="0" w:color="000000"/>
              <w:bottom w:val="single" w:sz="8" w:space="0" w:color="000000"/>
              <w:right w:val="nil"/>
            </w:tcBorders>
            <w:tcMar>
              <w:top w:w="15" w:type="dxa"/>
              <w:left w:w="15" w:type="dxa"/>
              <w:bottom w:w="0" w:type="dxa"/>
              <w:right w:w="15" w:type="dxa"/>
            </w:tcMar>
            <w:vAlign w:val="center"/>
            <w:hideMark/>
          </w:tcPr>
          <w:p w14:paraId="648CD1B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tetW</w:t>
            </w:r>
            <w:proofErr w:type="spellEnd"/>
          </w:p>
        </w:tc>
        <w:tc>
          <w:tcPr>
            <w:tcW w:w="1623" w:type="dxa"/>
            <w:tcBorders>
              <w:top w:val="single" w:sz="4" w:space="0" w:color="auto"/>
              <w:left w:val="nil"/>
              <w:bottom w:val="single" w:sz="8" w:space="0" w:color="000000"/>
              <w:right w:val="nil"/>
            </w:tcBorders>
            <w:tcMar>
              <w:top w:w="15" w:type="dxa"/>
              <w:left w:w="15" w:type="dxa"/>
              <w:bottom w:w="0" w:type="dxa"/>
              <w:right w:w="15" w:type="dxa"/>
            </w:tcMar>
            <w:vAlign w:val="center"/>
            <w:hideMark/>
          </w:tcPr>
          <w:p w14:paraId="0956398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85% </w:t>
            </w:r>
          </w:p>
          <w:p w14:paraId="4BEA37B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(45/53)</w:t>
            </w:r>
          </w:p>
        </w:tc>
        <w:tc>
          <w:tcPr>
            <w:tcW w:w="1843" w:type="dxa"/>
            <w:tcBorders>
              <w:top w:val="single" w:sz="4" w:space="0" w:color="auto"/>
              <w:left w:val="nil"/>
              <w:bottom w:val="single" w:sz="8" w:space="0" w:color="000000"/>
              <w:right w:val="nil"/>
            </w:tcBorders>
            <w:tcMar>
              <w:top w:w="15" w:type="dxa"/>
              <w:left w:w="15" w:type="dxa"/>
              <w:bottom w:w="0" w:type="dxa"/>
              <w:right w:w="15" w:type="dxa"/>
            </w:tcMar>
            <w:vAlign w:val="center"/>
            <w:hideMark/>
          </w:tcPr>
          <w:p w14:paraId="7368B72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98% </w:t>
            </w:r>
          </w:p>
          <w:p w14:paraId="13484D0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(39/40)</w:t>
            </w:r>
          </w:p>
        </w:tc>
        <w:tc>
          <w:tcPr>
            <w:tcW w:w="1417" w:type="dxa"/>
            <w:tcBorders>
              <w:top w:val="single" w:sz="4" w:space="0" w:color="auto"/>
              <w:left w:val="nil"/>
              <w:bottom w:val="single" w:sz="8" w:space="0" w:color="000000"/>
            </w:tcBorders>
            <w:tcMar>
              <w:top w:w="15" w:type="dxa"/>
              <w:left w:w="15" w:type="dxa"/>
              <w:bottom w:w="0" w:type="dxa"/>
              <w:right w:w="15" w:type="dxa"/>
            </w:tcMar>
            <w:vAlign w:val="center"/>
            <w:hideMark/>
          </w:tcPr>
          <w:p w14:paraId="57C0065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0.07</w:t>
            </w:r>
          </w:p>
        </w:tc>
        <w:tc>
          <w:tcPr>
            <w:tcW w:w="1559" w:type="dxa"/>
            <w:tcBorders>
              <w:top w:val="single" w:sz="4" w:space="0" w:color="auto"/>
              <w:left w:val="nil"/>
              <w:bottom w:val="single" w:sz="8" w:space="0" w:color="auto"/>
              <w:right w:val="single" w:sz="8" w:space="0" w:color="auto"/>
            </w:tcBorders>
            <w:shd w:val="clear" w:color="auto" w:fill="auto"/>
            <w:vAlign w:val="center"/>
          </w:tcPr>
          <w:p w14:paraId="48B80BCF" w14:textId="3902A34F"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bl>
    <w:p w14:paraId="48B455A3" w14:textId="31C4347B" w:rsidR="009B0011" w:rsidRDefault="009B0011">
      <w:pPr>
        <w:rPr>
          <w:b/>
          <w:bCs/>
        </w:rPr>
      </w:pPr>
    </w:p>
    <w:p w14:paraId="4F1E25A1" w14:textId="52966E40" w:rsidR="009B0011" w:rsidRDefault="009B0011">
      <w:pPr>
        <w:rPr>
          <w:b/>
          <w:bCs/>
        </w:rPr>
      </w:pPr>
    </w:p>
    <w:p w14:paraId="70106224" w14:textId="77777777" w:rsidR="009B0011" w:rsidRDefault="009B0011">
      <w:pPr>
        <w:rPr>
          <w:b/>
          <w:bCs/>
        </w:rPr>
      </w:pPr>
    </w:p>
    <w:p w14:paraId="16C64800" w14:textId="4FC4E19F" w:rsidR="00C06E53" w:rsidRDefault="00C06E53">
      <w:pPr>
        <w:rPr>
          <w:b/>
          <w:bCs/>
        </w:rPr>
      </w:pPr>
    </w:p>
    <w:p w14:paraId="5D28D0CC" w14:textId="77777777" w:rsidR="009B0011" w:rsidRDefault="009B0011" w:rsidP="009B0011">
      <w:pPr>
        <w:spacing w:line="480" w:lineRule="auto"/>
        <w:rPr>
          <w:rFonts w:ascii="Times New Roman" w:hAnsi="Times New Roman" w:cs="Times New Roman"/>
          <w:sz w:val="24"/>
        </w:rPr>
      </w:pPr>
      <w:r>
        <w:rPr>
          <w:rFonts w:ascii="Times New Roman" w:hAnsi="Times New Roman" w:cs="Times New Roman"/>
          <w:b/>
          <w:sz w:val="24"/>
        </w:rPr>
        <w:t>Table 3.</w:t>
      </w:r>
      <w:r>
        <w:rPr>
          <w:rFonts w:ascii="Times New Roman" w:hAnsi="Times New Roman" w:cs="Times New Roman"/>
          <w:sz w:val="24"/>
        </w:rPr>
        <w:t xml:space="preserve"> Normalised resistance gene abundance in patients stratified by macrolide use.</w:t>
      </w:r>
    </w:p>
    <w:tbl>
      <w:tblPr>
        <w:tblW w:w="8212" w:type="dxa"/>
        <w:jc w:val="center"/>
        <w:tblCellMar>
          <w:left w:w="0" w:type="dxa"/>
          <w:right w:w="0" w:type="dxa"/>
        </w:tblCellMar>
        <w:tblLook w:val="0600" w:firstRow="0" w:lastRow="0" w:firstColumn="0" w:lastColumn="0" w:noHBand="1" w:noVBand="1"/>
      </w:tblPr>
      <w:tblGrid>
        <w:gridCol w:w="1772"/>
        <w:gridCol w:w="1620"/>
        <w:gridCol w:w="1985"/>
        <w:gridCol w:w="1134"/>
        <w:gridCol w:w="1701"/>
      </w:tblGrid>
      <w:tr w:rsidR="009B0011" w14:paraId="0110FD8F" w14:textId="4634BA3B" w:rsidTr="007121A1">
        <w:trPr>
          <w:trHeight w:val="326"/>
          <w:jc w:val="center"/>
        </w:trPr>
        <w:tc>
          <w:tcPr>
            <w:tcW w:w="1772"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lang w:val="en-US"/>
              </w:rPr>
              <w:t>Resistance gene</w:t>
            </w:r>
          </w:p>
        </w:tc>
        <w:tc>
          <w:tcPr>
            <w:tcW w:w="162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p>
        </w:tc>
        <w:tc>
          <w:tcPr>
            <w:tcW w:w="1985" w:type="dxa"/>
            <w:tcBorders>
              <w:top w:val="single" w:sz="8" w:space="0" w:color="000000"/>
              <w:left w:val="nil"/>
              <w:bottom w:val="single" w:sz="8" w:space="0" w:color="000000"/>
              <w:right w:val="nil"/>
            </w:tcBorders>
            <w:shd w:val="clear" w:color="auto" w:fill="F2F2F2"/>
            <w:vAlign w:val="center"/>
            <w:hideMark/>
          </w:tcPr>
          <w:p w14:paraId="1AD5846F"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p>
        </w:tc>
        <w:tc>
          <w:tcPr>
            <w:tcW w:w="113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w:t>
            </w:r>
          </w:p>
        </w:tc>
        <w:tc>
          <w:tcPr>
            <w:tcW w:w="1701" w:type="dxa"/>
            <w:tcBorders>
              <w:top w:val="single" w:sz="8" w:space="0" w:color="000000"/>
              <w:bottom w:val="single" w:sz="8" w:space="0" w:color="000000"/>
              <w:right w:val="single" w:sz="8" w:space="0" w:color="000000"/>
            </w:tcBorders>
            <w:shd w:val="clear" w:color="auto" w:fill="F2F2F2"/>
            <w:vAlign w:val="center"/>
          </w:tcPr>
          <w:p w14:paraId="2AF880DC" w14:textId="77777777" w:rsidR="009B0011"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 </w:t>
            </w:r>
          </w:p>
          <w:p w14:paraId="6FD946F1" w14:textId="58561EE0" w:rsidR="009B0011" w:rsidRDefault="009B0011" w:rsidP="009B0011">
            <w:pPr>
              <w:spacing w:after="0" w:line="240" w:lineRule="auto"/>
              <w:jc w:val="center"/>
              <w:textAlignment w:val="center"/>
              <w:rPr>
                <w:rFonts w:ascii="Times New Roman" w:eastAsia="Times New Roman" w:hAnsi="Times New Roman" w:cs="Times New Roman"/>
                <w:b/>
                <w:bCs/>
                <w:i/>
                <w:iCs/>
                <w:color w:val="000000" w:themeColor="text1"/>
                <w:kern w:val="24"/>
                <w:sz w:val="24"/>
                <w:szCs w:val="24"/>
              </w:rPr>
            </w:pPr>
            <w:r>
              <w:rPr>
                <w:rFonts w:ascii="Times New Roman" w:eastAsia="Times New Roman" w:hAnsi="Times New Roman" w:cs="Times New Roman"/>
                <w:b/>
                <w:bCs/>
                <w:color w:val="000000" w:themeColor="text1"/>
                <w:kern w:val="24"/>
                <w:sz w:val="24"/>
                <w:szCs w:val="24"/>
              </w:rPr>
              <w:t>(</w:t>
            </w:r>
            <w:r w:rsidR="007121A1">
              <w:rPr>
                <w:rFonts w:ascii="Times New Roman" w:eastAsia="Times New Roman" w:hAnsi="Times New Roman" w:cs="Times New Roman"/>
                <w:b/>
                <w:bCs/>
                <w:color w:val="000000" w:themeColor="text1"/>
                <w:kern w:val="24"/>
                <w:sz w:val="24"/>
                <w:szCs w:val="24"/>
              </w:rPr>
              <w:t>post-FDR</w:t>
            </w:r>
            <w:r>
              <w:rPr>
                <w:rFonts w:ascii="Times New Roman" w:eastAsia="Times New Roman" w:hAnsi="Times New Roman" w:cs="Times New Roman"/>
                <w:b/>
                <w:bCs/>
                <w:color w:val="000000" w:themeColor="text1"/>
                <w:kern w:val="24"/>
                <w:sz w:val="24"/>
                <w:szCs w:val="24"/>
              </w:rPr>
              <w:t>)</w:t>
            </w:r>
          </w:p>
        </w:tc>
      </w:tr>
      <w:tr w:rsidR="009B0011" w14:paraId="3A68CC8D" w14:textId="7D837FC3"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B6702F"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0 </w:t>
            </w:r>
          </w:p>
          <w:p w14:paraId="4AFA7FB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7036D36"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w:t>
            </w:r>
          </w:p>
          <w:p w14:paraId="29816FD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(0.0-7.1)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38C9518E" w14:textId="1980F6F8"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0.99</w:t>
            </w:r>
          </w:p>
        </w:tc>
      </w:tr>
      <w:tr w:rsidR="009B0011" w14:paraId="7DE0EAFA" w14:textId="1E4A75DA"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(B)</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1E0C33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7.5</w:t>
            </w:r>
          </w:p>
          <w:p w14:paraId="56AE478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6FB26E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6.9</w:t>
            </w:r>
          </w:p>
          <w:p w14:paraId="1C10B82D"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(0.0-10.8)</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0.045</w:t>
            </w:r>
          </w:p>
        </w:tc>
        <w:tc>
          <w:tcPr>
            <w:tcW w:w="1701" w:type="dxa"/>
            <w:tcBorders>
              <w:top w:val="single" w:sz="8" w:space="0" w:color="000000"/>
              <w:bottom w:val="single" w:sz="8" w:space="0" w:color="000000"/>
              <w:right w:val="single" w:sz="8" w:space="0" w:color="000000"/>
            </w:tcBorders>
            <w:vAlign w:val="center"/>
          </w:tcPr>
          <w:p w14:paraId="2997E7B1" w14:textId="038F53ED"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0.66</w:t>
            </w:r>
          </w:p>
        </w:tc>
      </w:tr>
      <w:tr w:rsidR="009B0011" w14:paraId="6B824CDB" w14:textId="43A02D52"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(C)</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6EEB950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w:t>
            </w:r>
          </w:p>
          <w:p w14:paraId="5EC0A65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FBA93C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w:t>
            </w:r>
          </w:p>
          <w:p w14:paraId="53C30A6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(0.0-8.0)</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0.14</w:t>
            </w:r>
          </w:p>
        </w:tc>
        <w:tc>
          <w:tcPr>
            <w:tcW w:w="1701" w:type="dxa"/>
            <w:tcBorders>
              <w:top w:val="single" w:sz="8" w:space="0" w:color="000000"/>
              <w:bottom w:val="single" w:sz="8" w:space="0" w:color="000000"/>
              <w:right w:val="single" w:sz="8" w:space="0" w:color="000000"/>
            </w:tcBorders>
            <w:vAlign w:val="center"/>
          </w:tcPr>
          <w:p w14:paraId="72F76938" w14:textId="2C9357AE"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0.71</w:t>
            </w:r>
          </w:p>
        </w:tc>
      </w:tr>
      <w:tr w:rsidR="009B0011" w14:paraId="179496A2" w14:textId="188C7FA9"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(F)</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29E58DF"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7.6</w:t>
            </w:r>
          </w:p>
          <w:p w14:paraId="5FC426E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3151A4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6.2</w:t>
            </w:r>
          </w:p>
          <w:p w14:paraId="5B9D5042"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(0.0-11.9)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0.22</w:t>
            </w:r>
          </w:p>
        </w:tc>
        <w:tc>
          <w:tcPr>
            <w:tcW w:w="1701" w:type="dxa"/>
            <w:tcBorders>
              <w:top w:val="single" w:sz="8" w:space="0" w:color="000000"/>
              <w:bottom w:val="single" w:sz="8" w:space="0" w:color="000000"/>
              <w:right w:val="single" w:sz="8" w:space="0" w:color="000000"/>
            </w:tcBorders>
            <w:vAlign w:val="center"/>
          </w:tcPr>
          <w:p w14:paraId="610A22AD" w14:textId="2B978AF9"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5C8EFEF8" w14:textId="5CE12E19"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mef</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902B28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4.4</w:t>
            </w:r>
          </w:p>
          <w:p w14:paraId="17880E3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(0.0-6.7)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996CCD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3.9</w:t>
            </w:r>
          </w:p>
          <w:p w14:paraId="093C508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(0.0-7.5)</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0.20</w:t>
            </w:r>
          </w:p>
        </w:tc>
        <w:tc>
          <w:tcPr>
            <w:tcW w:w="1701" w:type="dxa"/>
            <w:tcBorders>
              <w:top w:val="single" w:sz="8" w:space="0" w:color="000000"/>
              <w:bottom w:val="single" w:sz="8" w:space="0" w:color="000000"/>
              <w:right w:val="single" w:sz="8" w:space="0" w:color="000000"/>
            </w:tcBorders>
            <w:vAlign w:val="center"/>
          </w:tcPr>
          <w:p w14:paraId="45B25A76" w14:textId="6FBB4759"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6B0A3300" w14:textId="6645317D"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msr</w:t>
            </w:r>
            <w:proofErr w:type="spellEnd"/>
            <w:r>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6D2FE3"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w:t>
            </w:r>
          </w:p>
          <w:p w14:paraId="50D2E983"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6551C7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w:t>
            </w:r>
          </w:p>
          <w:p w14:paraId="4A31947D"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(0.0-9.1)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0.15</w:t>
            </w:r>
          </w:p>
        </w:tc>
        <w:tc>
          <w:tcPr>
            <w:tcW w:w="1701" w:type="dxa"/>
            <w:tcBorders>
              <w:top w:val="single" w:sz="8" w:space="0" w:color="000000"/>
              <w:bottom w:val="single" w:sz="8" w:space="0" w:color="000000"/>
              <w:right w:val="single" w:sz="8" w:space="0" w:color="000000"/>
            </w:tcBorders>
            <w:vAlign w:val="center"/>
          </w:tcPr>
          <w:p w14:paraId="07887356" w14:textId="7EAD19D0"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0867D6EB" w14:textId="18BD6570"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msr</w:t>
            </w:r>
            <w:proofErr w:type="spellEnd"/>
            <w:r>
              <w:rPr>
                <w:rFonts w:ascii="Times New Roman" w:eastAsia="Times New Roman" w:hAnsi="Times New Roman" w:cs="Times New Roman"/>
                <w:color w:val="000000" w:themeColor="text1"/>
                <w:kern w:val="24"/>
                <w:sz w:val="24"/>
                <w:szCs w:val="24"/>
              </w:rPr>
              <w:t>(E)</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996C8B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7.3</w:t>
            </w:r>
          </w:p>
          <w:p w14:paraId="28A0149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(0.0-13.0)</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041C12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5.7</w:t>
            </w:r>
          </w:p>
          <w:p w14:paraId="159B39F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(0.0-15.9)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0.07</w:t>
            </w:r>
          </w:p>
        </w:tc>
        <w:tc>
          <w:tcPr>
            <w:tcW w:w="1701" w:type="dxa"/>
            <w:tcBorders>
              <w:top w:val="single" w:sz="8" w:space="0" w:color="000000"/>
              <w:bottom w:val="single" w:sz="8" w:space="0" w:color="000000"/>
              <w:right w:val="single" w:sz="8" w:space="0" w:color="000000"/>
            </w:tcBorders>
            <w:vAlign w:val="center"/>
          </w:tcPr>
          <w:p w14:paraId="34E94032" w14:textId="51C443C3"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0.72</w:t>
            </w:r>
          </w:p>
        </w:tc>
      </w:tr>
      <w:tr w:rsidR="009B0011" w14:paraId="3BF5EB10" w14:textId="73509514"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tetM</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668CC6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5.9</w:t>
            </w:r>
          </w:p>
          <w:p w14:paraId="7D763CF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(0.0-8.9)</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C0CEC3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5.5</w:t>
            </w:r>
          </w:p>
          <w:p w14:paraId="56CF3E8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(2.1-7.6)</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0.42</w:t>
            </w:r>
          </w:p>
        </w:tc>
        <w:tc>
          <w:tcPr>
            <w:tcW w:w="1701" w:type="dxa"/>
            <w:tcBorders>
              <w:top w:val="single" w:sz="8" w:space="0" w:color="000000"/>
              <w:bottom w:val="single" w:sz="8" w:space="0" w:color="000000"/>
              <w:right w:val="single" w:sz="8" w:space="0" w:color="000000"/>
            </w:tcBorders>
            <w:vAlign w:val="center"/>
          </w:tcPr>
          <w:p w14:paraId="75741513" w14:textId="71686BC6"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0F07D734" w14:textId="01598101"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tetO</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56B89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6.4</w:t>
            </w:r>
          </w:p>
          <w:p w14:paraId="21F4713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A733B3"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6.3</w:t>
            </w:r>
          </w:p>
          <w:p w14:paraId="5E773E2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(0.0-12.3)</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61B6A3A8" w14:textId="4DFB8643"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581AF526" w14:textId="36B148E3"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tetW</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C573A7D"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5.2</w:t>
            </w:r>
          </w:p>
          <w:p w14:paraId="396BCFB6"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(2.7)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80C4E2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4.8</w:t>
            </w:r>
          </w:p>
          <w:p w14:paraId="0B1F5AF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(2.2)</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0.46</w:t>
            </w:r>
          </w:p>
        </w:tc>
        <w:tc>
          <w:tcPr>
            <w:tcW w:w="1701" w:type="dxa"/>
            <w:tcBorders>
              <w:top w:val="single" w:sz="8" w:space="0" w:color="000000"/>
              <w:bottom w:val="single" w:sz="8" w:space="0" w:color="000000"/>
              <w:right w:val="single" w:sz="8" w:space="0" w:color="000000"/>
            </w:tcBorders>
            <w:vAlign w:val="center"/>
          </w:tcPr>
          <w:p w14:paraId="4A45FE23" w14:textId="455A9194"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bl>
    <w:p w14:paraId="74BEF24F" w14:textId="77777777" w:rsidR="009B0011" w:rsidRDefault="009B0011" w:rsidP="009B0011">
      <w:pPr>
        <w:spacing w:line="480" w:lineRule="auto"/>
        <w:ind w:right="-46"/>
        <w:rPr>
          <w:rFonts w:ascii="Times New Roman" w:hAnsi="Times New Roman" w:cs="Times New Roman"/>
          <w:b/>
          <w:sz w:val="24"/>
        </w:rPr>
      </w:pPr>
    </w:p>
    <w:p w14:paraId="5394EF68" w14:textId="77777777" w:rsidR="009B0011" w:rsidRDefault="009B0011" w:rsidP="009B0011">
      <w:pPr>
        <w:spacing w:line="480" w:lineRule="auto"/>
        <w:ind w:right="-46"/>
        <w:rPr>
          <w:rFonts w:ascii="Times New Roman" w:hAnsi="Times New Roman" w:cs="Times New Roman"/>
          <w:b/>
          <w:sz w:val="24"/>
        </w:rPr>
      </w:pPr>
    </w:p>
    <w:p w14:paraId="12138269" w14:textId="77777777" w:rsidR="009B0011" w:rsidRDefault="009B0011" w:rsidP="009B0011">
      <w:pPr>
        <w:spacing w:line="480" w:lineRule="auto"/>
        <w:ind w:right="-46"/>
        <w:rPr>
          <w:rFonts w:ascii="Times New Roman" w:hAnsi="Times New Roman" w:cs="Times New Roman"/>
          <w:b/>
          <w:sz w:val="24"/>
        </w:rPr>
      </w:pPr>
    </w:p>
    <w:p w14:paraId="45E18C0B" w14:textId="77777777" w:rsidR="009B0011" w:rsidRDefault="009B0011" w:rsidP="009B0011">
      <w:pPr>
        <w:spacing w:line="480" w:lineRule="auto"/>
        <w:ind w:right="-46"/>
        <w:rPr>
          <w:rFonts w:ascii="Times New Roman" w:hAnsi="Times New Roman" w:cs="Times New Roman"/>
          <w:b/>
          <w:sz w:val="24"/>
        </w:rPr>
      </w:pPr>
    </w:p>
    <w:p w14:paraId="6B45635A" w14:textId="77777777" w:rsidR="009B0011" w:rsidRDefault="009B0011" w:rsidP="009B0011">
      <w:pPr>
        <w:spacing w:line="480" w:lineRule="auto"/>
        <w:ind w:right="-46"/>
        <w:rPr>
          <w:rFonts w:ascii="Times New Roman" w:hAnsi="Times New Roman" w:cs="Times New Roman"/>
          <w:b/>
          <w:sz w:val="24"/>
        </w:rPr>
      </w:pPr>
    </w:p>
    <w:p w14:paraId="33240C2A" w14:textId="77777777" w:rsidR="009B0011" w:rsidRDefault="009B0011" w:rsidP="009B0011">
      <w:pPr>
        <w:spacing w:line="480" w:lineRule="auto"/>
        <w:ind w:right="-46"/>
        <w:rPr>
          <w:rFonts w:ascii="Times New Roman" w:hAnsi="Times New Roman" w:cs="Times New Roman"/>
          <w:b/>
          <w:sz w:val="24"/>
        </w:rPr>
      </w:pPr>
    </w:p>
    <w:p w14:paraId="7F229F78" w14:textId="77777777" w:rsidR="009B0011" w:rsidRDefault="009B0011" w:rsidP="009B0011">
      <w:pPr>
        <w:spacing w:line="480" w:lineRule="auto"/>
        <w:ind w:right="-46"/>
        <w:rPr>
          <w:rFonts w:ascii="Times New Roman" w:hAnsi="Times New Roman" w:cs="Times New Roman"/>
          <w:b/>
          <w:sz w:val="24"/>
        </w:rPr>
      </w:pPr>
    </w:p>
    <w:p w14:paraId="0F8E5D50" w14:textId="77777777" w:rsidR="009B0011" w:rsidRDefault="009B0011" w:rsidP="009B0011">
      <w:pPr>
        <w:spacing w:line="480" w:lineRule="auto"/>
        <w:ind w:right="-46"/>
        <w:rPr>
          <w:rFonts w:ascii="Times New Roman" w:hAnsi="Times New Roman" w:cs="Times New Roman"/>
          <w:b/>
          <w:sz w:val="24"/>
        </w:rPr>
      </w:pPr>
    </w:p>
    <w:p w14:paraId="74A10399" w14:textId="6E4CB37B" w:rsidR="009B0011" w:rsidRDefault="009B0011" w:rsidP="009B0011">
      <w:pPr>
        <w:spacing w:line="480" w:lineRule="auto"/>
        <w:ind w:right="-46"/>
        <w:rPr>
          <w:rFonts w:ascii="Times New Roman" w:hAnsi="Times New Roman" w:cs="Times New Roman"/>
          <w:sz w:val="24"/>
        </w:rPr>
      </w:pPr>
      <w:r>
        <w:rPr>
          <w:rFonts w:ascii="Times New Roman" w:hAnsi="Times New Roman" w:cs="Times New Roman"/>
          <w:b/>
          <w:sz w:val="24"/>
        </w:rPr>
        <w:lastRenderedPageBreak/>
        <w:t>Table 4.</w:t>
      </w:r>
      <w:r>
        <w:rPr>
          <w:rFonts w:ascii="Times New Roman" w:hAnsi="Times New Roman" w:cs="Times New Roman"/>
          <w:sz w:val="24"/>
        </w:rPr>
        <w:t xml:space="preserve"> Paired assessment of the resistance gene detection frequency between patients and close contacts stratified by macrolide use.</w:t>
      </w:r>
    </w:p>
    <w:tbl>
      <w:tblPr>
        <w:tblW w:w="9006" w:type="dxa"/>
        <w:jc w:val="center"/>
        <w:tblCellMar>
          <w:left w:w="0" w:type="dxa"/>
          <w:right w:w="0" w:type="dxa"/>
        </w:tblCellMar>
        <w:tblLook w:val="0600" w:firstRow="0" w:lastRow="0" w:firstColumn="0" w:lastColumn="0" w:noHBand="1" w:noVBand="1"/>
      </w:tblPr>
      <w:tblGrid>
        <w:gridCol w:w="1295"/>
        <w:gridCol w:w="1209"/>
        <w:gridCol w:w="1314"/>
        <w:gridCol w:w="1275"/>
        <w:gridCol w:w="1149"/>
        <w:gridCol w:w="1403"/>
        <w:gridCol w:w="1361"/>
      </w:tblGrid>
      <w:tr w:rsidR="00403A3A" w14:paraId="4B4E3DA6" w14:textId="777DB6CE" w:rsidTr="00FD17F4">
        <w:trPr>
          <w:trHeight w:val="550"/>
          <w:jc w:val="center"/>
        </w:trPr>
        <w:tc>
          <w:tcPr>
            <w:tcW w:w="129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013F3C6" w14:textId="77777777" w:rsidR="00403A3A" w:rsidRDefault="00403A3A">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Resistance gene</w:t>
            </w:r>
          </w:p>
        </w:tc>
        <w:tc>
          <w:tcPr>
            <w:tcW w:w="3798" w:type="dxa"/>
            <w:gridSpan w:val="3"/>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A82BA73" w14:textId="6380D5BF" w:rsidR="00403A3A" w:rsidRDefault="00403A3A"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 xml:space="preserve">MR vs MRCC </w:t>
            </w:r>
          </w:p>
        </w:tc>
        <w:tc>
          <w:tcPr>
            <w:tcW w:w="3913" w:type="dxa"/>
            <w:gridSpan w:val="3"/>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2CDAE523" w14:textId="32C964DB" w:rsidR="00403A3A" w:rsidRDefault="00403A3A"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 xml:space="preserve">MNR vs MNRCC  </w:t>
            </w:r>
          </w:p>
        </w:tc>
      </w:tr>
      <w:tr w:rsidR="009B0011" w14:paraId="3CFEA3C2" w14:textId="6495438F" w:rsidTr="00F5687B">
        <w:trPr>
          <w:trHeight w:val="3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9FDCC7" w14:textId="77777777" w:rsidR="009B0011" w:rsidRDefault="009B0011">
            <w:pPr>
              <w:spacing w:after="0"/>
              <w:rPr>
                <w:rFonts w:ascii="Times New Roman" w:eastAsia="Times New Roman" w:hAnsi="Times New Roman" w:cs="Times New Roman"/>
                <w:sz w:val="24"/>
                <w:szCs w:val="24"/>
              </w:rPr>
            </w:pPr>
          </w:p>
        </w:tc>
        <w:tc>
          <w:tcPr>
            <w:tcW w:w="12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76E57F1A" w14:textId="77777777" w:rsidR="009B0011" w:rsidRDefault="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 xml:space="preserve">Odds ratio </w:t>
            </w:r>
          </w:p>
          <w:p w14:paraId="5D4A0D37"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(95% CI)</w:t>
            </w:r>
          </w:p>
        </w:tc>
        <w:tc>
          <w:tcPr>
            <w:tcW w:w="131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7CE9F216"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w:t>
            </w:r>
          </w:p>
        </w:tc>
        <w:tc>
          <w:tcPr>
            <w:tcW w:w="1275" w:type="dxa"/>
            <w:tcBorders>
              <w:top w:val="single" w:sz="8" w:space="0" w:color="000000"/>
              <w:bottom w:val="single" w:sz="8" w:space="0" w:color="000000"/>
              <w:right w:val="single" w:sz="8" w:space="0" w:color="000000"/>
            </w:tcBorders>
            <w:shd w:val="clear" w:color="auto" w:fill="F2F2F2"/>
            <w:vAlign w:val="center"/>
          </w:tcPr>
          <w:p w14:paraId="05ACA9CD" w14:textId="77777777" w:rsidR="009B0011"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 </w:t>
            </w:r>
          </w:p>
          <w:p w14:paraId="49B840F2" w14:textId="08B09A36" w:rsidR="009B0011"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w:t>
            </w:r>
            <w:r w:rsidR="007121A1">
              <w:rPr>
                <w:rFonts w:ascii="Times New Roman" w:eastAsia="Times New Roman" w:hAnsi="Times New Roman" w:cs="Times New Roman"/>
                <w:b/>
                <w:bCs/>
                <w:color w:val="000000" w:themeColor="text1"/>
                <w:kern w:val="24"/>
                <w:sz w:val="24"/>
                <w:szCs w:val="24"/>
              </w:rPr>
              <w:t>post-</w:t>
            </w:r>
            <w:r>
              <w:rPr>
                <w:rFonts w:ascii="Times New Roman" w:eastAsia="Times New Roman" w:hAnsi="Times New Roman" w:cs="Times New Roman"/>
                <w:b/>
                <w:bCs/>
                <w:color w:val="000000" w:themeColor="text1"/>
                <w:kern w:val="24"/>
                <w:sz w:val="24"/>
                <w:szCs w:val="24"/>
              </w:rPr>
              <w:t>FDR)</w:t>
            </w:r>
          </w:p>
        </w:tc>
        <w:tc>
          <w:tcPr>
            <w:tcW w:w="114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35F9208B" w14:textId="6437BF71" w:rsidR="009B0011" w:rsidRDefault="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 xml:space="preserve">Odds ratio </w:t>
            </w:r>
          </w:p>
          <w:p w14:paraId="3162335D"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(95% CI)</w:t>
            </w:r>
          </w:p>
        </w:tc>
        <w:tc>
          <w:tcPr>
            <w:tcW w:w="1403"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1F593979"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w:t>
            </w:r>
          </w:p>
        </w:tc>
        <w:tc>
          <w:tcPr>
            <w:tcW w:w="1361" w:type="dxa"/>
            <w:tcBorders>
              <w:top w:val="single" w:sz="8" w:space="0" w:color="000000"/>
              <w:bottom w:val="single" w:sz="8" w:space="0" w:color="000000"/>
              <w:right w:val="single" w:sz="8" w:space="0" w:color="000000"/>
            </w:tcBorders>
            <w:shd w:val="clear" w:color="auto" w:fill="F2F2F2"/>
            <w:vAlign w:val="center"/>
          </w:tcPr>
          <w:p w14:paraId="5950CFD6" w14:textId="77777777" w:rsidR="007121A1" w:rsidRDefault="007121A1" w:rsidP="007121A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 </w:t>
            </w:r>
          </w:p>
          <w:p w14:paraId="4D4DA89A" w14:textId="3C1BE8FA" w:rsidR="009B0011" w:rsidRDefault="007121A1" w:rsidP="007121A1">
            <w:pPr>
              <w:spacing w:after="0" w:line="240" w:lineRule="auto"/>
              <w:jc w:val="center"/>
              <w:textAlignment w:val="center"/>
              <w:rPr>
                <w:rFonts w:ascii="Times New Roman" w:eastAsia="Times New Roman" w:hAnsi="Times New Roman" w:cs="Times New Roman"/>
                <w:b/>
                <w:bCs/>
                <w:i/>
                <w:iCs/>
                <w:color w:val="000000" w:themeColor="text1"/>
                <w:kern w:val="24"/>
                <w:sz w:val="24"/>
                <w:szCs w:val="24"/>
              </w:rPr>
            </w:pPr>
            <w:r>
              <w:rPr>
                <w:rFonts w:ascii="Times New Roman" w:eastAsia="Times New Roman" w:hAnsi="Times New Roman" w:cs="Times New Roman"/>
                <w:b/>
                <w:bCs/>
                <w:color w:val="000000" w:themeColor="text1"/>
                <w:kern w:val="24"/>
                <w:sz w:val="24"/>
                <w:szCs w:val="24"/>
              </w:rPr>
              <w:t>(post-FDR)</w:t>
            </w:r>
          </w:p>
        </w:tc>
      </w:tr>
      <w:tr w:rsidR="009B0011" w14:paraId="4B2BE3E6" w14:textId="374A0C1D"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FDD2A4A"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(B)</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2AC0012"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3.4</w:t>
            </w:r>
          </w:p>
          <w:p w14:paraId="0B8B8C4F"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(0.5-22.9)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0392570B"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0.21</w:t>
            </w:r>
          </w:p>
        </w:tc>
        <w:tc>
          <w:tcPr>
            <w:tcW w:w="1275" w:type="dxa"/>
            <w:tcBorders>
              <w:top w:val="single" w:sz="8" w:space="0" w:color="000000"/>
              <w:bottom w:val="single" w:sz="8" w:space="0" w:color="000000"/>
              <w:right w:val="single" w:sz="8" w:space="0" w:color="000000"/>
            </w:tcBorders>
            <w:vAlign w:val="center"/>
          </w:tcPr>
          <w:p w14:paraId="6E3C922A" w14:textId="465AB5F0"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0.38</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2021F825" w14:textId="3CA05729"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1.3×10</w:t>
            </w:r>
            <w:r>
              <w:rPr>
                <w:rFonts w:ascii="Times New Roman" w:eastAsia="Times New Roman" w:hAnsi="Times New Roman" w:cs="Times New Roman"/>
                <w:color w:val="000000" w:themeColor="text1"/>
                <w:kern w:val="24"/>
                <w:sz w:val="24"/>
                <w:szCs w:val="24"/>
                <w:vertAlign w:val="superscript"/>
              </w:rPr>
              <w:t>-7</w:t>
            </w:r>
          </w:p>
          <w:p w14:paraId="5239714B"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(0-Inf)</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00BC1986"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&gt;0.99</w:t>
            </w:r>
          </w:p>
        </w:tc>
        <w:tc>
          <w:tcPr>
            <w:tcW w:w="1361" w:type="dxa"/>
            <w:tcBorders>
              <w:top w:val="single" w:sz="8" w:space="0" w:color="000000"/>
              <w:bottom w:val="single" w:sz="8" w:space="0" w:color="000000"/>
              <w:right w:val="single" w:sz="8" w:space="0" w:color="000000"/>
            </w:tcBorders>
            <w:vAlign w:val="center"/>
          </w:tcPr>
          <w:p w14:paraId="2EBF8B27" w14:textId="2F371CEC"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12323C05" w14:textId="054A301D"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DD2CD90"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(C)</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B24FEE7"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5.1</w:t>
            </w:r>
          </w:p>
          <w:p w14:paraId="6553CBD7"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(0.6-41.9)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5ABFF4D5"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0.13</w:t>
            </w:r>
          </w:p>
        </w:tc>
        <w:tc>
          <w:tcPr>
            <w:tcW w:w="1275" w:type="dxa"/>
            <w:tcBorders>
              <w:top w:val="single" w:sz="8" w:space="0" w:color="000000"/>
              <w:bottom w:val="single" w:sz="8" w:space="0" w:color="000000"/>
              <w:right w:val="single" w:sz="8" w:space="0" w:color="000000"/>
            </w:tcBorders>
            <w:vAlign w:val="center"/>
          </w:tcPr>
          <w:p w14:paraId="7E654699" w14:textId="55488814"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0.29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12087A4" w14:textId="24C04008"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8.5</w:t>
            </w:r>
          </w:p>
          <w:p w14:paraId="28006683"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(0.4-163.9)</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32697174"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0.16</w:t>
            </w:r>
          </w:p>
        </w:tc>
        <w:tc>
          <w:tcPr>
            <w:tcW w:w="1361" w:type="dxa"/>
            <w:tcBorders>
              <w:top w:val="single" w:sz="8" w:space="0" w:color="000000"/>
              <w:bottom w:val="single" w:sz="8" w:space="0" w:color="000000"/>
              <w:right w:val="single" w:sz="8" w:space="0" w:color="000000"/>
            </w:tcBorders>
            <w:vAlign w:val="center"/>
          </w:tcPr>
          <w:p w14:paraId="0A246CF4" w14:textId="48BF1BB7"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1ABA2742" w14:textId="32748AC2"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2C354D3B"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(F)</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3E099DE"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11.8</w:t>
            </w:r>
          </w:p>
          <w:p w14:paraId="2A7B8D6D"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(2.3-59.6)</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60ED55C7"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0.0029</w:t>
            </w:r>
          </w:p>
        </w:tc>
        <w:tc>
          <w:tcPr>
            <w:tcW w:w="1275" w:type="dxa"/>
            <w:tcBorders>
              <w:top w:val="single" w:sz="8" w:space="0" w:color="000000"/>
              <w:bottom w:val="single" w:sz="8" w:space="0" w:color="000000"/>
              <w:right w:val="single" w:sz="8" w:space="0" w:color="000000"/>
            </w:tcBorders>
            <w:vAlign w:val="center"/>
          </w:tcPr>
          <w:p w14:paraId="07F9E6CF" w14:textId="53CF4A97"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0.020</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C00A291" w14:textId="0E5257AB"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1.7</w:t>
            </w:r>
          </w:p>
          <w:p w14:paraId="0F693E0A"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(0.4-7.6)</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537DC34C"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0.50</w:t>
            </w:r>
          </w:p>
        </w:tc>
        <w:tc>
          <w:tcPr>
            <w:tcW w:w="1361" w:type="dxa"/>
            <w:tcBorders>
              <w:top w:val="single" w:sz="8" w:space="0" w:color="000000"/>
              <w:bottom w:val="single" w:sz="8" w:space="0" w:color="000000"/>
              <w:right w:val="single" w:sz="8" w:space="0" w:color="000000"/>
            </w:tcBorders>
            <w:vAlign w:val="center"/>
          </w:tcPr>
          <w:p w14:paraId="3BFBFE35" w14:textId="66970821"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2A62F801" w14:textId="4D5406E7"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7280D0FC" w14:textId="77777777" w:rsidR="009B0011" w:rsidRDefault="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mef</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2DE54B9"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7.3</w:t>
            </w:r>
          </w:p>
          <w:p w14:paraId="36651CBE"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(1.9-28.4)</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600C6F33"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0.0044</w:t>
            </w:r>
          </w:p>
        </w:tc>
        <w:tc>
          <w:tcPr>
            <w:tcW w:w="1275" w:type="dxa"/>
            <w:tcBorders>
              <w:top w:val="single" w:sz="8" w:space="0" w:color="000000"/>
              <w:bottom w:val="single" w:sz="8" w:space="0" w:color="000000"/>
              <w:right w:val="single" w:sz="8" w:space="0" w:color="000000"/>
            </w:tcBorders>
            <w:vAlign w:val="center"/>
          </w:tcPr>
          <w:p w14:paraId="52C3D35F" w14:textId="5B944940"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0.020</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812F0FC" w14:textId="191842B5"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1.3</w:t>
            </w:r>
          </w:p>
          <w:p w14:paraId="69B3DE3E"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(0.3-6.9)</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3461E38A"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0.75</w:t>
            </w:r>
          </w:p>
        </w:tc>
        <w:tc>
          <w:tcPr>
            <w:tcW w:w="1361" w:type="dxa"/>
            <w:tcBorders>
              <w:top w:val="single" w:sz="8" w:space="0" w:color="000000"/>
              <w:bottom w:val="single" w:sz="8" w:space="0" w:color="000000"/>
              <w:right w:val="single" w:sz="8" w:space="0" w:color="000000"/>
            </w:tcBorders>
            <w:vAlign w:val="center"/>
          </w:tcPr>
          <w:p w14:paraId="2B99A8FB" w14:textId="4B1FD339"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0F40BBE7" w14:textId="40F46F96"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1D11428" w14:textId="77777777" w:rsidR="009B0011" w:rsidRDefault="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msr</w:t>
            </w:r>
            <w:proofErr w:type="spellEnd"/>
            <w:r>
              <w:rPr>
                <w:rFonts w:ascii="Times New Roman" w:eastAsia="Times New Roman" w:hAnsi="Times New Roman" w:cs="Times New Roman"/>
                <w:color w:val="000000" w:themeColor="text1"/>
                <w:kern w:val="24"/>
                <w:sz w:val="24"/>
                <w:szCs w:val="24"/>
              </w:rPr>
              <w:t>(A)</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CFF1B8C"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1.5</w:t>
            </w:r>
          </w:p>
          <w:p w14:paraId="21D09B9C"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(0.5-4.9)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5AEE69AA"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0.48</w:t>
            </w:r>
          </w:p>
        </w:tc>
        <w:tc>
          <w:tcPr>
            <w:tcW w:w="1275" w:type="dxa"/>
            <w:tcBorders>
              <w:top w:val="single" w:sz="8" w:space="0" w:color="000000"/>
              <w:bottom w:val="single" w:sz="8" w:space="0" w:color="000000"/>
              <w:right w:val="single" w:sz="8" w:space="0" w:color="000000"/>
            </w:tcBorders>
            <w:vAlign w:val="center"/>
          </w:tcPr>
          <w:p w14:paraId="78A82A3B" w14:textId="015D267F"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0.62</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7588F3B" w14:textId="3D90D780"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1.8</w:t>
            </w:r>
          </w:p>
          <w:p w14:paraId="6B7B7032"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(0.4-8.2)</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798C1CFB"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0.43</w:t>
            </w:r>
          </w:p>
        </w:tc>
        <w:tc>
          <w:tcPr>
            <w:tcW w:w="1361" w:type="dxa"/>
            <w:tcBorders>
              <w:top w:val="single" w:sz="8" w:space="0" w:color="000000"/>
              <w:bottom w:val="single" w:sz="8" w:space="0" w:color="000000"/>
              <w:right w:val="single" w:sz="8" w:space="0" w:color="000000"/>
            </w:tcBorders>
            <w:vAlign w:val="center"/>
          </w:tcPr>
          <w:p w14:paraId="7C69B57D" w14:textId="1EF70781"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59DE0D00" w14:textId="7E64811B"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417543FE" w14:textId="77777777" w:rsidR="009B0011" w:rsidRDefault="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msr</w:t>
            </w:r>
            <w:proofErr w:type="spellEnd"/>
            <w:r>
              <w:rPr>
                <w:rFonts w:ascii="Times New Roman" w:eastAsia="Times New Roman" w:hAnsi="Times New Roman" w:cs="Times New Roman"/>
                <w:color w:val="000000" w:themeColor="text1"/>
                <w:kern w:val="24"/>
                <w:sz w:val="24"/>
                <w:szCs w:val="24"/>
              </w:rPr>
              <w:t>(E)</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ABE2E28"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0.8</w:t>
            </w:r>
          </w:p>
          <w:p w14:paraId="7CFD87EC"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(0.3-2.7)</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25546F4F"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0.74</w:t>
            </w:r>
          </w:p>
        </w:tc>
        <w:tc>
          <w:tcPr>
            <w:tcW w:w="1275" w:type="dxa"/>
            <w:tcBorders>
              <w:top w:val="single" w:sz="8" w:space="0" w:color="000000"/>
              <w:bottom w:val="single" w:sz="8" w:space="0" w:color="000000"/>
              <w:right w:val="single" w:sz="8" w:space="0" w:color="000000"/>
            </w:tcBorders>
            <w:vAlign w:val="center"/>
          </w:tcPr>
          <w:p w14:paraId="66269545" w14:textId="1C4781A2"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0.83</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33EE5DE" w14:textId="66690661"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1.1</w:t>
            </w:r>
          </w:p>
          <w:p w14:paraId="0F054A05"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(0.3-4.5)</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58F56986"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0.87</w:t>
            </w:r>
          </w:p>
        </w:tc>
        <w:tc>
          <w:tcPr>
            <w:tcW w:w="1361" w:type="dxa"/>
            <w:tcBorders>
              <w:top w:val="single" w:sz="8" w:space="0" w:color="000000"/>
              <w:bottom w:val="single" w:sz="8" w:space="0" w:color="000000"/>
              <w:right w:val="single" w:sz="8" w:space="0" w:color="000000"/>
            </w:tcBorders>
            <w:vAlign w:val="center"/>
          </w:tcPr>
          <w:p w14:paraId="70B9DD05" w14:textId="05E79285"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4E5A0E01" w14:textId="2560FE88" w:rsidTr="00F5687B">
        <w:trPr>
          <w:trHeight w:val="486"/>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6A5923E" w14:textId="77777777" w:rsidR="009B0011" w:rsidRDefault="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tetM</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8E814D1"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2.1</w:t>
            </w:r>
            <w:r>
              <w:rPr>
                <w:rFonts w:ascii="Times New Roman" w:eastAsia="Times New Roman" w:hAnsi="Times New Roman" w:cs="Times New Roman"/>
                <w:color w:val="000000" w:themeColor="text1"/>
                <w:kern w:val="24"/>
                <w:sz w:val="24"/>
                <w:szCs w:val="24"/>
              </w:rPr>
              <w:t>×10</w:t>
            </w:r>
            <w:r>
              <w:rPr>
                <w:rFonts w:ascii="Times New Roman" w:eastAsia="Times New Roman" w:hAnsi="Times New Roman" w:cs="Times New Roman"/>
                <w:color w:val="000000" w:themeColor="text1"/>
                <w:kern w:val="24"/>
                <w:sz w:val="24"/>
                <w:szCs w:val="24"/>
                <w:vertAlign w:val="superscript"/>
              </w:rPr>
              <w:t>-7</w:t>
            </w:r>
          </w:p>
          <w:p w14:paraId="4A73438F"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(0-Inf)</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42F3902D"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&gt;0.99</w:t>
            </w:r>
          </w:p>
        </w:tc>
        <w:tc>
          <w:tcPr>
            <w:tcW w:w="1275" w:type="dxa"/>
            <w:tcBorders>
              <w:top w:val="single" w:sz="8" w:space="0" w:color="000000"/>
              <w:bottom w:val="single" w:sz="8" w:space="0" w:color="000000"/>
              <w:right w:val="single" w:sz="8" w:space="0" w:color="000000"/>
            </w:tcBorders>
            <w:vAlign w:val="center"/>
          </w:tcPr>
          <w:p w14:paraId="448B6374" w14:textId="1CE4313D"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4EEF647" w14:textId="713976B1"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N/A</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2E6AB2CC"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N/A</w:t>
            </w:r>
          </w:p>
        </w:tc>
        <w:tc>
          <w:tcPr>
            <w:tcW w:w="1361" w:type="dxa"/>
            <w:tcBorders>
              <w:top w:val="single" w:sz="8" w:space="0" w:color="000000"/>
              <w:bottom w:val="single" w:sz="8" w:space="0" w:color="000000"/>
              <w:right w:val="single" w:sz="8" w:space="0" w:color="000000"/>
            </w:tcBorders>
            <w:vAlign w:val="center"/>
          </w:tcPr>
          <w:p w14:paraId="151168AC" w14:textId="04B06095"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N/A</w:t>
            </w:r>
          </w:p>
        </w:tc>
      </w:tr>
      <w:tr w:rsidR="009B0011" w14:paraId="77A1B695" w14:textId="57E949FA"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FD82AA8" w14:textId="77777777" w:rsidR="009B0011" w:rsidRDefault="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tetO</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2E95741"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2.7</w:t>
            </w:r>
          </w:p>
          <w:p w14:paraId="5CC54BED"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(0.8-8.5)</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17FEB1D8"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0.099</w:t>
            </w:r>
          </w:p>
        </w:tc>
        <w:tc>
          <w:tcPr>
            <w:tcW w:w="1275" w:type="dxa"/>
            <w:tcBorders>
              <w:top w:val="single" w:sz="8" w:space="0" w:color="000000"/>
              <w:bottom w:val="single" w:sz="8" w:space="0" w:color="000000"/>
              <w:right w:val="single" w:sz="8" w:space="0" w:color="000000"/>
            </w:tcBorders>
            <w:vAlign w:val="center"/>
          </w:tcPr>
          <w:p w14:paraId="09E1C890" w14:textId="38E01080"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0.29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20F970C8" w14:textId="32733C6C"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1.7</w:t>
            </w:r>
          </w:p>
          <w:p w14:paraId="1C685CCF"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(0.4-7.6)</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6ABD34DB"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0.50</w:t>
            </w:r>
          </w:p>
        </w:tc>
        <w:tc>
          <w:tcPr>
            <w:tcW w:w="1361" w:type="dxa"/>
            <w:tcBorders>
              <w:top w:val="single" w:sz="8" w:space="0" w:color="000000"/>
              <w:bottom w:val="single" w:sz="8" w:space="0" w:color="000000"/>
              <w:right w:val="single" w:sz="8" w:space="0" w:color="000000"/>
            </w:tcBorders>
            <w:vAlign w:val="center"/>
          </w:tcPr>
          <w:p w14:paraId="2BC7DE34" w14:textId="1FECA3B4"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4D850FC6" w14:textId="2DA43753" w:rsidTr="00F5687B">
        <w:trPr>
          <w:trHeight w:val="255"/>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11E66A18" w14:textId="77777777" w:rsidR="009B0011" w:rsidRDefault="009B0011">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tetW</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F80C6DA"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2.4</w:t>
            </w:r>
          </w:p>
          <w:p w14:paraId="1A597283"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(0.5-12.0)</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748AD2D8"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0.29</w:t>
            </w:r>
          </w:p>
        </w:tc>
        <w:tc>
          <w:tcPr>
            <w:tcW w:w="1275" w:type="dxa"/>
            <w:tcBorders>
              <w:top w:val="single" w:sz="8" w:space="0" w:color="000000"/>
              <w:bottom w:val="single" w:sz="8" w:space="0" w:color="000000"/>
              <w:right w:val="single" w:sz="8" w:space="0" w:color="000000"/>
            </w:tcBorders>
            <w:vAlign w:val="center"/>
          </w:tcPr>
          <w:p w14:paraId="3AB1CC0D" w14:textId="04049F7A"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0.44</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CC79EB6" w14:textId="35D8012C"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2.5×10</w:t>
            </w:r>
            <w:r>
              <w:rPr>
                <w:rFonts w:ascii="Times New Roman" w:eastAsia="Times New Roman" w:hAnsi="Times New Roman" w:cs="Times New Roman"/>
                <w:color w:val="000000" w:themeColor="text1"/>
                <w:kern w:val="24"/>
                <w:sz w:val="24"/>
                <w:szCs w:val="24"/>
                <w:vertAlign w:val="superscript"/>
              </w:rPr>
              <w:t>-7</w:t>
            </w:r>
          </w:p>
          <w:p w14:paraId="61205181"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 xml:space="preserve"> (0-Inf)</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2FE3B435"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&gt;0.99</w:t>
            </w:r>
          </w:p>
        </w:tc>
        <w:tc>
          <w:tcPr>
            <w:tcW w:w="1361" w:type="dxa"/>
            <w:tcBorders>
              <w:top w:val="single" w:sz="8" w:space="0" w:color="000000"/>
              <w:bottom w:val="single" w:sz="8" w:space="0" w:color="000000"/>
              <w:right w:val="single" w:sz="8" w:space="0" w:color="000000"/>
            </w:tcBorders>
            <w:vAlign w:val="center"/>
          </w:tcPr>
          <w:p w14:paraId="0FEB3B1B" w14:textId="5450EA62"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bl>
    <w:p w14:paraId="3CB7216F" w14:textId="77777777" w:rsidR="00403A3A" w:rsidRDefault="00403A3A" w:rsidP="00403A3A">
      <w:pPr>
        <w:spacing w:line="480" w:lineRule="auto"/>
        <w:ind w:right="-46"/>
        <w:rPr>
          <w:rFonts w:ascii="Times New Roman" w:hAnsi="Times New Roman" w:cs="Times New Roman"/>
          <w:b/>
          <w:sz w:val="24"/>
        </w:rPr>
      </w:pPr>
    </w:p>
    <w:p w14:paraId="4FBC5B71" w14:textId="77777777" w:rsidR="00403A3A" w:rsidRDefault="00403A3A" w:rsidP="00403A3A">
      <w:pPr>
        <w:spacing w:line="480" w:lineRule="auto"/>
        <w:ind w:right="-46"/>
        <w:rPr>
          <w:rFonts w:ascii="Times New Roman" w:hAnsi="Times New Roman" w:cs="Times New Roman"/>
          <w:b/>
          <w:sz w:val="24"/>
        </w:rPr>
      </w:pPr>
    </w:p>
    <w:p w14:paraId="7277D854" w14:textId="77777777" w:rsidR="00403A3A" w:rsidRDefault="00403A3A" w:rsidP="00403A3A">
      <w:pPr>
        <w:spacing w:line="480" w:lineRule="auto"/>
        <w:ind w:right="-46"/>
        <w:rPr>
          <w:rFonts w:ascii="Times New Roman" w:hAnsi="Times New Roman" w:cs="Times New Roman"/>
          <w:b/>
          <w:sz w:val="24"/>
        </w:rPr>
      </w:pPr>
    </w:p>
    <w:p w14:paraId="42DB1412" w14:textId="77777777" w:rsidR="00403A3A" w:rsidRDefault="00403A3A" w:rsidP="00403A3A">
      <w:pPr>
        <w:spacing w:line="480" w:lineRule="auto"/>
        <w:ind w:right="-46"/>
        <w:rPr>
          <w:rFonts w:ascii="Times New Roman" w:hAnsi="Times New Roman" w:cs="Times New Roman"/>
          <w:b/>
          <w:sz w:val="24"/>
        </w:rPr>
      </w:pPr>
    </w:p>
    <w:p w14:paraId="6597F32F" w14:textId="77777777" w:rsidR="00403A3A" w:rsidRDefault="00403A3A" w:rsidP="00403A3A">
      <w:pPr>
        <w:spacing w:line="480" w:lineRule="auto"/>
        <w:ind w:right="-46"/>
        <w:rPr>
          <w:rFonts w:ascii="Times New Roman" w:hAnsi="Times New Roman" w:cs="Times New Roman"/>
          <w:b/>
          <w:sz w:val="24"/>
        </w:rPr>
      </w:pPr>
    </w:p>
    <w:p w14:paraId="29ED0885" w14:textId="77777777" w:rsidR="00403A3A" w:rsidRDefault="00403A3A" w:rsidP="00403A3A">
      <w:pPr>
        <w:spacing w:line="480" w:lineRule="auto"/>
        <w:ind w:right="-46"/>
        <w:rPr>
          <w:rFonts w:ascii="Times New Roman" w:hAnsi="Times New Roman" w:cs="Times New Roman"/>
          <w:b/>
          <w:sz w:val="24"/>
        </w:rPr>
      </w:pPr>
    </w:p>
    <w:p w14:paraId="32DA60CB" w14:textId="77777777" w:rsidR="00403A3A" w:rsidRDefault="00403A3A" w:rsidP="00403A3A">
      <w:pPr>
        <w:spacing w:line="480" w:lineRule="auto"/>
        <w:ind w:right="-46"/>
        <w:rPr>
          <w:rFonts w:ascii="Times New Roman" w:hAnsi="Times New Roman" w:cs="Times New Roman"/>
          <w:b/>
          <w:sz w:val="24"/>
        </w:rPr>
      </w:pPr>
    </w:p>
    <w:p w14:paraId="2CC4F949" w14:textId="77777777" w:rsidR="00403A3A" w:rsidRDefault="00403A3A" w:rsidP="00403A3A">
      <w:pPr>
        <w:spacing w:line="480" w:lineRule="auto"/>
        <w:ind w:right="-46"/>
        <w:rPr>
          <w:rFonts w:ascii="Times New Roman" w:hAnsi="Times New Roman" w:cs="Times New Roman"/>
          <w:b/>
          <w:sz w:val="24"/>
        </w:rPr>
      </w:pPr>
    </w:p>
    <w:p w14:paraId="52DE8D9D" w14:textId="77777777" w:rsidR="00403A3A" w:rsidRDefault="00403A3A" w:rsidP="00403A3A">
      <w:pPr>
        <w:spacing w:line="480" w:lineRule="auto"/>
        <w:ind w:right="-46"/>
        <w:rPr>
          <w:rFonts w:ascii="Times New Roman" w:hAnsi="Times New Roman" w:cs="Times New Roman"/>
          <w:b/>
          <w:sz w:val="24"/>
        </w:rPr>
      </w:pPr>
    </w:p>
    <w:p w14:paraId="6831BC9E" w14:textId="1B9C365F" w:rsidR="00403A3A" w:rsidRDefault="00403A3A" w:rsidP="00403A3A">
      <w:pPr>
        <w:spacing w:line="480" w:lineRule="auto"/>
        <w:ind w:right="-46"/>
        <w:rPr>
          <w:rFonts w:ascii="Times New Roman" w:hAnsi="Times New Roman" w:cs="Times New Roman"/>
          <w:sz w:val="24"/>
        </w:rPr>
      </w:pPr>
      <w:r>
        <w:rPr>
          <w:rFonts w:ascii="Times New Roman" w:hAnsi="Times New Roman" w:cs="Times New Roman"/>
          <w:b/>
          <w:sz w:val="24"/>
        </w:rPr>
        <w:lastRenderedPageBreak/>
        <w:t>Table 5.</w:t>
      </w:r>
      <w:r>
        <w:rPr>
          <w:rFonts w:ascii="Times New Roman" w:hAnsi="Times New Roman" w:cs="Times New Roman"/>
          <w:sz w:val="24"/>
        </w:rPr>
        <w:t xml:space="preserve"> Assessment of long-term macrolide use on onward transmission risk of macrolide resistance genes.</w:t>
      </w:r>
    </w:p>
    <w:tbl>
      <w:tblPr>
        <w:tblStyle w:val="TableGrid"/>
        <w:tblW w:w="0" w:type="auto"/>
        <w:jc w:val="center"/>
        <w:tblLook w:val="04A0" w:firstRow="1" w:lastRow="0" w:firstColumn="1" w:lastColumn="0" w:noHBand="0" w:noVBand="1"/>
      </w:tblPr>
      <w:tblGrid>
        <w:gridCol w:w="1833"/>
        <w:gridCol w:w="2840"/>
        <w:gridCol w:w="2268"/>
        <w:gridCol w:w="2075"/>
      </w:tblGrid>
      <w:tr w:rsidR="00403A3A" w14:paraId="1F193062" w14:textId="5C3C6408" w:rsidTr="00606BCE">
        <w:trPr>
          <w:trHeight w:val="589"/>
          <w:jc w:val="center"/>
        </w:trPr>
        <w:tc>
          <w:tcPr>
            <w:tcW w:w="183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71DDDCD" w14:textId="77777777" w:rsidR="00403A3A" w:rsidRDefault="00403A3A">
            <w:pPr>
              <w:pStyle w:val="EndNoteBibliography"/>
              <w:ind w:left="720" w:hanging="720"/>
              <w:jc w:val="center"/>
              <w:rPr>
                <w:b/>
                <w:bCs/>
              </w:rPr>
            </w:pPr>
            <w:r>
              <w:rPr>
                <w:b/>
                <w:bCs/>
              </w:rPr>
              <w:t>Resistance</w:t>
            </w:r>
          </w:p>
          <w:p w14:paraId="2FD2EA99" w14:textId="77777777" w:rsidR="00403A3A" w:rsidRDefault="00403A3A">
            <w:pPr>
              <w:pStyle w:val="EndNoteBibliography"/>
              <w:ind w:left="720" w:hanging="720"/>
              <w:jc w:val="center"/>
              <w:rPr>
                <w:b/>
                <w:bCs/>
              </w:rPr>
            </w:pPr>
            <w:r>
              <w:rPr>
                <w:b/>
                <w:bCs/>
              </w:rPr>
              <w:t>gene</w:t>
            </w:r>
          </w:p>
        </w:tc>
        <w:tc>
          <w:tcPr>
            <w:tcW w:w="718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D67F8B" w14:textId="110D9687" w:rsidR="00403A3A" w:rsidRDefault="00403A3A" w:rsidP="00403A3A">
            <w:pPr>
              <w:pStyle w:val="EndNoteBibliography"/>
              <w:ind w:left="720" w:hanging="720"/>
              <w:jc w:val="center"/>
              <w:rPr>
                <w:b/>
                <w:bCs/>
              </w:rPr>
            </w:pPr>
            <w:r>
              <w:rPr>
                <w:b/>
                <w:bCs/>
              </w:rPr>
              <w:t>Macrolide recipient group vs Macrolide non-recipient group</w:t>
            </w:r>
          </w:p>
        </w:tc>
      </w:tr>
      <w:tr w:rsidR="00403A3A" w14:paraId="2067A749" w14:textId="26E7BBE8" w:rsidTr="00404D96">
        <w:trPr>
          <w:trHeight w:val="617"/>
          <w:jc w:val="center"/>
        </w:trPr>
        <w:tc>
          <w:tcPr>
            <w:tcW w:w="1833" w:type="dxa"/>
            <w:vMerge/>
            <w:tcBorders>
              <w:top w:val="single" w:sz="4" w:space="0" w:color="auto"/>
              <w:left w:val="single" w:sz="4" w:space="0" w:color="auto"/>
              <w:bottom w:val="single" w:sz="4" w:space="0" w:color="auto"/>
              <w:right w:val="single" w:sz="4" w:space="0" w:color="auto"/>
            </w:tcBorders>
            <w:vAlign w:val="center"/>
            <w:hideMark/>
          </w:tcPr>
          <w:p w14:paraId="2461ED87" w14:textId="77777777" w:rsidR="00403A3A" w:rsidRDefault="00403A3A" w:rsidP="00403A3A">
            <w:pPr>
              <w:rPr>
                <w:rFonts w:ascii="Times New Roman" w:hAnsi="Times New Roman" w:cs="Times New Roman"/>
                <w:b/>
                <w:bCs/>
                <w:noProof/>
                <w:sz w:val="24"/>
              </w:rPr>
            </w:pPr>
          </w:p>
        </w:tc>
        <w:tc>
          <w:tcPr>
            <w:tcW w:w="2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E22A49" w14:textId="77777777" w:rsidR="00403A3A" w:rsidRDefault="00403A3A" w:rsidP="00403A3A">
            <w:pPr>
              <w:pStyle w:val="EndNoteBibliography"/>
              <w:ind w:left="720" w:hanging="720"/>
              <w:jc w:val="center"/>
              <w:rPr>
                <w:b/>
                <w:bCs/>
              </w:rPr>
            </w:pPr>
            <w:r>
              <w:rPr>
                <w:b/>
                <w:bCs/>
              </w:rPr>
              <w:t>Odds ratio</w:t>
            </w:r>
          </w:p>
          <w:p w14:paraId="0E7D0EFC" w14:textId="77777777" w:rsidR="00403A3A" w:rsidRDefault="00403A3A" w:rsidP="00403A3A">
            <w:pPr>
              <w:pStyle w:val="EndNoteBibliography"/>
              <w:ind w:left="720" w:hanging="720"/>
              <w:jc w:val="center"/>
              <w:rPr>
                <w:b/>
                <w:bCs/>
              </w:rPr>
            </w:pPr>
            <w:r>
              <w:rPr>
                <w:b/>
                <w:bCs/>
              </w:rPr>
              <w:t>(95% CI)</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EB49291" w14:textId="77777777" w:rsidR="00403A3A" w:rsidRDefault="00403A3A" w:rsidP="00403A3A">
            <w:pPr>
              <w:pStyle w:val="EndNoteBibliography"/>
              <w:ind w:left="720" w:hanging="720"/>
              <w:jc w:val="center"/>
              <w:rPr>
                <w:b/>
                <w:bCs/>
              </w:rPr>
            </w:pPr>
            <w:r>
              <w:rPr>
                <w:b/>
                <w:bCs/>
                <w:i/>
                <w:iCs/>
              </w:rPr>
              <w:t>P</w:t>
            </w:r>
            <w:r>
              <w:rPr>
                <w:b/>
                <w:bCs/>
              </w:rPr>
              <w:t xml:space="preserve"> value</w:t>
            </w:r>
          </w:p>
        </w:tc>
        <w:tc>
          <w:tcPr>
            <w:tcW w:w="20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0E1C63" w14:textId="77777777" w:rsidR="00403A3A" w:rsidRDefault="00403A3A" w:rsidP="00403A3A">
            <w:pPr>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 </w:t>
            </w:r>
          </w:p>
          <w:p w14:paraId="232086E7" w14:textId="4963E82B" w:rsidR="00403A3A" w:rsidRDefault="00403A3A" w:rsidP="00403A3A">
            <w:pPr>
              <w:pStyle w:val="EndNoteBibliography"/>
              <w:ind w:left="720" w:hanging="720"/>
              <w:jc w:val="center"/>
              <w:rPr>
                <w:b/>
                <w:bCs/>
                <w:i/>
                <w:iCs/>
              </w:rPr>
            </w:pPr>
            <w:r>
              <w:rPr>
                <w:rFonts w:eastAsia="Times New Roman"/>
                <w:b/>
                <w:bCs/>
                <w:color w:val="000000" w:themeColor="text1"/>
                <w:kern w:val="24"/>
                <w:szCs w:val="24"/>
              </w:rPr>
              <w:t>(post-FDR)</w:t>
            </w:r>
          </w:p>
        </w:tc>
      </w:tr>
      <w:tr w:rsidR="00403A3A" w14:paraId="4E273943" w14:textId="31E41AAB" w:rsidTr="005C2F2D">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389507E" w14:textId="77777777" w:rsidR="00403A3A" w:rsidRDefault="00403A3A" w:rsidP="00403A3A">
            <w:pPr>
              <w:pStyle w:val="EndNoteBibliography"/>
              <w:ind w:left="720" w:hanging="720"/>
              <w:jc w:val="center"/>
            </w:pPr>
            <w:r>
              <w:rPr>
                <w:i/>
                <w:iCs/>
              </w:rPr>
              <w:t>erm</w:t>
            </w:r>
            <w:r>
              <w:t>(A)</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5E1DBBA" w14:textId="77777777" w:rsidR="00403A3A" w:rsidRDefault="00403A3A" w:rsidP="00403A3A">
            <w:pPr>
              <w:pStyle w:val="EndNoteBibliography"/>
              <w:ind w:left="720" w:hanging="720"/>
              <w:jc w:val="center"/>
            </w:pPr>
            <w:r>
              <w:t xml:space="preserve">1.0 </w:t>
            </w:r>
          </w:p>
          <w:p w14:paraId="44B71BE7" w14:textId="77777777" w:rsidR="00403A3A" w:rsidRDefault="00403A3A" w:rsidP="00403A3A">
            <w:pPr>
              <w:pStyle w:val="EndNoteBibliography"/>
              <w:ind w:left="720" w:hanging="720"/>
              <w:jc w:val="center"/>
            </w:pPr>
            <w:r>
              <w:t>(0-Inf)</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FB642A3" w14:textId="77777777" w:rsidR="00403A3A" w:rsidRDefault="00403A3A" w:rsidP="00403A3A">
            <w:pPr>
              <w:pStyle w:val="EndNoteBibliography"/>
              <w:ind w:left="720" w:hanging="720"/>
              <w:jc w:val="center"/>
            </w:pPr>
            <w:r>
              <w:t>&gt;0.99</w:t>
            </w:r>
          </w:p>
        </w:tc>
        <w:tc>
          <w:tcPr>
            <w:tcW w:w="2075" w:type="dxa"/>
            <w:tcBorders>
              <w:top w:val="single" w:sz="4" w:space="0" w:color="auto"/>
              <w:left w:val="single" w:sz="4" w:space="0" w:color="auto"/>
              <w:bottom w:val="single" w:sz="4" w:space="0" w:color="auto"/>
              <w:right w:val="single" w:sz="4" w:space="0" w:color="auto"/>
            </w:tcBorders>
            <w:vAlign w:val="center"/>
          </w:tcPr>
          <w:p w14:paraId="16DFE84B" w14:textId="1FE9F8D6"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677248C5" w14:textId="26DF3461" w:rsidTr="005C2F2D">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51CC9535" w14:textId="77777777" w:rsidR="00403A3A" w:rsidRDefault="00403A3A" w:rsidP="00403A3A">
            <w:pPr>
              <w:pStyle w:val="EndNoteBibliography"/>
              <w:ind w:left="720" w:hanging="720"/>
              <w:jc w:val="center"/>
            </w:pPr>
            <w:r>
              <w:rPr>
                <w:i/>
                <w:iCs/>
              </w:rPr>
              <w:t>erm</w:t>
            </w:r>
            <w:r>
              <w:t>(B)</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3084F23D" w14:textId="77777777" w:rsidR="00403A3A" w:rsidRDefault="00403A3A" w:rsidP="00403A3A">
            <w:pPr>
              <w:pStyle w:val="EndNoteBibliography"/>
              <w:ind w:left="720" w:hanging="720"/>
              <w:jc w:val="center"/>
            </w:pPr>
            <w:r>
              <w:t xml:space="preserve">1.0 </w:t>
            </w:r>
          </w:p>
          <w:p w14:paraId="774DDBC8" w14:textId="77777777" w:rsidR="00403A3A" w:rsidRDefault="00403A3A" w:rsidP="00403A3A">
            <w:pPr>
              <w:pStyle w:val="EndNoteBibliography"/>
              <w:ind w:left="720" w:hanging="720"/>
              <w:jc w:val="center"/>
            </w:pPr>
            <w:r>
              <w:t>(0.4-2.9)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0F58EC2" w14:textId="77777777" w:rsidR="00403A3A" w:rsidRDefault="00403A3A" w:rsidP="00403A3A">
            <w:pPr>
              <w:pStyle w:val="EndNoteBibliography"/>
              <w:ind w:left="720" w:hanging="720"/>
              <w:jc w:val="center"/>
            </w:pPr>
            <w:r>
              <w:t>0.96</w:t>
            </w:r>
          </w:p>
        </w:tc>
        <w:tc>
          <w:tcPr>
            <w:tcW w:w="2075" w:type="dxa"/>
            <w:tcBorders>
              <w:top w:val="single" w:sz="4" w:space="0" w:color="auto"/>
              <w:left w:val="single" w:sz="4" w:space="0" w:color="auto"/>
              <w:bottom w:val="single" w:sz="4" w:space="0" w:color="auto"/>
              <w:right w:val="single" w:sz="4" w:space="0" w:color="auto"/>
            </w:tcBorders>
            <w:vAlign w:val="center"/>
          </w:tcPr>
          <w:p w14:paraId="5BE92A61" w14:textId="6DFBDC2B"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23F34CDF" w14:textId="1B0BAD79" w:rsidTr="005C2F2D">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265E926C" w14:textId="77777777" w:rsidR="00403A3A" w:rsidRDefault="00403A3A" w:rsidP="00403A3A">
            <w:pPr>
              <w:pStyle w:val="EndNoteBibliography"/>
              <w:ind w:left="720" w:hanging="720"/>
              <w:jc w:val="center"/>
            </w:pPr>
            <w:r>
              <w:rPr>
                <w:i/>
                <w:iCs/>
              </w:rPr>
              <w:t>erm</w:t>
            </w:r>
            <w:r>
              <w:t>(C)</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15240AE9" w14:textId="77777777" w:rsidR="00403A3A" w:rsidRDefault="00403A3A" w:rsidP="00403A3A">
            <w:pPr>
              <w:pStyle w:val="EndNoteBibliography"/>
              <w:ind w:left="720" w:hanging="720"/>
              <w:jc w:val="center"/>
            </w:pPr>
            <w:r>
              <w:t xml:space="preserve">1.0 </w:t>
            </w:r>
          </w:p>
          <w:p w14:paraId="22C33FAC" w14:textId="77777777" w:rsidR="00403A3A" w:rsidRDefault="00403A3A" w:rsidP="00403A3A">
            <w:pPr>
              <w:pStyle w:val="EndNoteBibliography"/>
              <w:ind w:left="720" w:hanging="720"/>
              <w:jc w:val="center"/>
            </w:pPr>
            <w:r>
              <w:t>(0.07-13.9)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76E77B6" w14:textId="77777777" w:rsidR="00403A3A" w:rsidRDefault="00403A3A" w:rsidP="00403A3A">
            <w:pPr>
              <w:pStyle w:val="EndNoteBibliography"/>
              <w:ind w:left="720" w:hanging="720"/>
              <w:jc w:val="center"/>
            </w:pPr>
            <w:r>
              <w:t>&gt;0.99</w:t>
            </w:r>
          </w:p>
        </w:tc>
        <w:tc>
          <w:tcPr>
            <w:tcW w:w="2075" w:type="dxa"/>
            <w:tcBorders>
              <w:top w:val="single" w:sz="4" w:space="0" w:color="auto"/>
              <w:left w:val="single" w:sz="4" w:space="0" w:color="auto"/>
              <w:bottom w:val="single" w:sz="4" w:space="0" w:color="auto"/>
              <w:right w:val="single" w:sz="4" w:space="0" w:color="auto"/>
            </w:tcBorders>
            <w:vAlign w:val="center"/>
          </w:tcPr>
          <w:p w14:paraId="2A0AB374" w14:textId="723A40D3"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38DFF369" w14:textId="77934154" w:rsidTr="005C2F2D">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7D8D2FD" w14:textId="77777777" w:rsidR="00403A3A" w:rsidRDefault="00403A3A" w:rsidP="00403A3A">
            <w:pPr>
              <w:pStyle w:val="EndNoteBibliography"/>
              <w:ind w:left="720" w:hanging="720"/>
              <w:jc w:val="center"/>
            </w:pPr>
            <w:r>
              <w:rPr>
                <w:i/>
                <w:iCs/>
              </w:rPr>
              <w:t>erm</w:t>
            </w:r>
            <w:r>
              <w:t>(F)</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642314CA" w14:textId="77777777" w:rsidR="00403A3A" w:rsidRDefault="00403A3A" w:rsidP="00403A3A">
            <w:pPr>
              <w:pStyle w:val="EndNoteBibliography"/>
              <w:ind w:left="720" w:hanging="720"/>
              <w:jc w:val="center"/>
            </w:pPr>
            <w:r>
              <w:t xml:space="preserve">1.0 </w:t>
            </w:r>
          </w:p>
          <w:p w14:paraId="30E18444" w14:textId="77777777" w:rsidR="00403A3A" w:rsidRDefault="00403A3A" w:rsidP="00403A3A">
            <w:pPr>
              <w:pStyle w:val="EndNoteBibliography"/>
              <w:ind w:left="720" w:hanging="720"/>
              <w:jc w:val="center"/>
            </w:pPr>
            <w:r>
              <w:t>(0.4-2.5)</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569BFA58" w14:textId="77777777" w:rsidR="00403A3A" w:rsidRDefault="00403A3A" w:rsidP="00403A3A">
            <w:pPr>
              <w:pStyle w:val="EndNoteBibliography"/>
              <w:ind w:left="720" w:hanging="720"/>
              <w:jc w:val="center"/>
            </w:pPr>
            <w:r>
              <w:t>0.97</w:t>
            </w:r>
          </w:p>
        </w:tc>
        <w:tc>
          <w:tcPr>
            <w:tcW w:w="2075" w:type="dxa"/>
            <w:tcBorders>
              <w:top w:val="single" w:sz="4" w:space="0" w:color="auto"/>
              <w:left w:val="single" w:sz="4" w:space="0" w:color="auto"/>
              <w:bottom w:val="single" w:sz="4" w:space="0" w:color="auto"/>
              <w:right w:val="single" w:sz="4" w:space="0" w:color="auto"/>
            </w:tcBorders>
            <w:vAlign w:val="center"/>
          </w:tcPr>
          <w:p w14:paraId="673E2BB3" w14:textId="3FD5CB60"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78FF4377" w14:textId="571F595A" w:rsidTr="005C2F2D">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289DD23" w14:textId="77777777" w:rsidR="00403A3A" w:rsidRDefault="00403A3A" w:rsidP="00403A3A">
            <w:pPr>
              <w:pStyle w:val="EndNoteBibliography"/>
              <w:ind w:left="720" w:hanging="720"/>
              <w:jc w:val="center"/>
              <w:rPr>
                <w:i/>
                <w:iCs/>
              </w:rPr>
            </w:pPr>
            <w:r>
              <w:rPr>
                <w:i/>
                <w:iCs/>
              </w:rPr>
              <w:t>mef</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DF540F5" w14:textId="77777777" w:rsidR="00403A3A" w:rsidRDefault="00403A3A" w:rsidP="00403A3A">
            <w:pPr>
              <w:pStyle w:val="EndNoteBibliography"/>
              <w:ind w:left="720" w:hanging="720"/>
              <w:jc w:val="center"/>
            </w:pPr>
            <w:r>
              <w:t xml:space="preserve">1.6 </w:t>
            </w:r>
          </w:p>
          <w:p w14:paraId="44C9EE84" w14:textId="77777777" w:rsidR="00403A3A" w:rsidRDefault="00403A3A" w:rsidP="00403A3A">
            <w:pPr>
              <w:pStyle w:val="EndNoteBibliography"/>
              <w:ind w:left="720" w:hanging="720"/>
              <w:jc w:val="center"/>
            </w:pPr>
            <w:r>
              <w:t>(0.6-3.9)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1D023EF" w14:textId="77777777" w:rsidR="00403A3A" w:rsidRDefault="00403A3A" w:rsidP="00403A3A">
            <w:pPr>
              <w:pStyle w:val="EndNoteBibliography"/>
              <w:ind w:left="720" w:hanging="720"/>
              <w:jc w:val="center"/>
            </w:pPr>
            <w:r>
              <w:t>0.33</w:t>
            </w:r>
          </w:p>
        </w:tc>
        <w:tc>
          <w:tcPr>
            <w:tcW w:w="2075" w:type="dxa"/>
            <w:tcBorders>
              <w:top w:val="single" w:sz="4" w:space="0" w:color="auto"/>
              <w:left w:val="single" w:sz="4" w:space="0" w:color="auto"/>
              <w:bottom w:val="single" w:sz="4" w:space="0" w:color="auto"/>
              <w:right w:val="single" w:sz="4" w:space="0" w:color="auto"/>
            </w:tcBorders>
            <w:vAlign w:val="center"/>
          </w:tcPr>
          <w:p w14:paraId="68B3BE0A" w14:textId="07E7EAEF"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71A87E21" w14:textId="528E787F" w:rsidTr="005C2F2D">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73CC1C8C" w14:textId="77777777" w:rsidR="00403A3A" w:rsidRDefault="00403A3A" w:rsidP="00403A3A">
            <w:pPr>
              <w:pStyle w:val="EndNoteBibliography"/>
              <w:ind w:left="720" w:hanging="720"/>
              <w:jc w:val="center"/>
            </w:pPr>
            <w:r>
              <w:rPr>
                <w:i/>
                <w:iCs/>
              </w:rPr>
              <w:t>msr</w:t>
            </w:r>
            <w:r>
              <w:t>(A)</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8700B7C" w14:textId="77777777" w:rsidR="00403A3A" w:rsidRDefault="00403A3A" w:rsidP="00403A3A">
            <w:pPr>
              <w:pStyle w:val="EndNoteBibliography"/>
              <w:ind w:left="720" w:hanging="720"/>
              <w:jc w:val="center"/>
            </w:pPr>
            <w:r>
              <w:t xml:space="preserve">1.3 </w:t>
            </w:r>
          </w:p>
          <w:p w14:paraId="7D759226" w14:textId="77777777" w:rsidR="00403A3A" w:rsidRDefault="00403A3A" w:rsidP="00403A3A">
            <w:pPr>
              <w:pStyle w:val="EndNoteBibliography"/>
              <w:ind w:left="720" w:hanging="720"/>
              <w:jc w:val="center"/>
            </w:pPr>
            <w:r>
              <w:t>(0.3-5.0)</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274B09F" w14:textId="77777777" w:rsidR="00403A3A" w:rsidRDefault="00403A3A" w:rsidP="00403A3A">
            <w:pPr>
              <w:pStyle w:val="EndNoteBibliography"/>
              <w:ind w:left="720" w:hanging="720"/>
              <w:jc w:val="center"/>
            </w:pPr>
            <w:r>
              <w:t>0.73</w:t>
            </w:r>
          </w:p>
        </w:tc>
        <w:tc>
          <w:tcPr>
            <w:tcW w:w="2075" w:type="dxa"/>
            <w:tcBorders>
              <w:top w:val="single" w:sz="4" w:space="0" w:color="auto"/>
              <w:left w:val="single" w:sz="4" w:space="0" w:color="auto"/>
              <w:bottom w:val="single" w:sz="4" w:space="0" w:color="auto"/>
              <w:right w:val="single" w:sz="4" w:space="0" w:color="auto"/>
            </w:tcBorders>
            <w:vAlign w:val="center"/>
          </w:tcPr>
          <w:p w14:paraId="3EB18B6F" w14:textId="672C8A1F"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61B1D059" w14:textId="3C3EFF5C" w:rsidTr="005C2F2D">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67FBA4EF" w14:textId="77777777" w:rsidR="00403A3A" w:rsidRDefault="00403A3A" w:rsidP="00403A3A">
            <w:pPr>
              <w:pStyle w:val="EndNoteBibliography"/>
              <w:ind w:left="720" w:hanging="720"/>
              <w:jc w:val="center"/>
            </w:pPr>
            <w:r>
              <w:rPr>
                <w:i/>
                <w:iCs/>
              </w:rPr>
              <w:t>msr</w:t>
            </w:r>
            <w:r>
              <w:t>(E)</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3BF342DC" w14:textId="77777777" w:rsidR="00403A3A" w:rsidRDefault="00403A3A" w:rsidP="00403A3A">
            <w:pPr>
              <w:pStyle w:val="EndNoteBibliography"/>
              <w:ind w:left="720" w:hanging="720"/>
              <w:jc w:val="center"/>
            </w:pPr>
            <w:r>
              <w:t xml:space="preserve">0.6 </w:t>
            </w:r>
          </w:p>
          <w:p w14:paraId="7E58CA2F" w14:textId="77777777" w:rsidR="00403A3A" w:rsidRDefault="00403A3A" w:rsidP="00403A3A">
            <w:pPr>
              <w:pStyle w:val="EndNoteBibliography"/>
              <w:ind w:left="720" w:hanging="720"/>
              <w:jc w:val="center"/>
            </w:pPr>
            <w:r>
              <w:t>(0.2-1.5)</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F516C3B" w14:textId="77777777" w:rsidR="00403A3A" w:rsidRDefault="00403A3A" w:rsidP="00403A3A">
            <w:pPr>
              <w:pStyle w:val="EndNoteBibliography"/>
              <w:ind w:left="720" w:hanging="720"/>
              <w:jc w:val="center"/>
            </w:pPr>
            <w:r>
              <w:t>0.25</w:t>
            </w:r>
          </w:p>
        </w:tc>
        <w:tc>
          <w:tcPr>
            <w:tcW w:w="2075" w:type="dxa"/>
            <w:tcBorders>
              <w:top w:val="single" w:sz="4" w:space="0" w:color="auto"/>
              <w:left w:val="single" w:sz="4" w:space="0" w:color="auto"/>
              <w:bottom w:val="single" w:sz="4" w:space="0" w:color="auto"/>
              <w:right w:val="single" w:sz="4" w:space="0" w:color="auto"/>
            </w:tcBorders>
            <w:vAlign w:val="center"/>
          </w:tcPr>
          <w:p w14:paraId="57D744B0" w14:textId="5CA9CCC3"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48FD8ED0" w14:textId="7872ECB9" w:rsidTr="005C2F2D">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7D92DA05" w14:textId="77777777" w:rsidR="00403A3A" w:rsidRDefault="00403A3A" w:rsidP="00403A3A">
            <w:pPr>
              <w:pStyle w:val="EndNoteBibliography"/>
              <w:ind w:left="720" w:hanging="720"/>
              <w:jc w:val="center"/>
              <w:rPr>
                <w:i/>
                <w:iCs/>
              </w:rPr>
            </w:pPr>
            <w:r>
              <w:rPr>
                <w:i/>
                <w:iCs/>
              </w:rPr>
              <w:t>tetM</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5C2DD0B" w14:textId="77777777" w:rsidR="00403A3A" w:rsidRDefault="00403A3A" w:rsidP="00403A3A">
            <w:pPr>
              <w:pStyle w:val="EndNoteBibliography"/>
              <w:ind w:left="720" w:hanging="720"/>
              <w:jc w:val="center"/>
            </w:pPr>
            <w:r>
              <w:t xml:space="preserve">0.5 </w:t>
            </w:r>
          </w:p>
          <w:p w14:paraId="1FA69FC7" w14:textId="77777777" w:rsidR="00403A3A" w:rsidRDefault="00403A3A" w:rsidP="00403A3A">
            <w:pPr>
              <w:pStyle w:val="EndNoteBibliography"/>
              <w:ind w:left="720" w:hanging="720"/>
              <w:jc w:val="center"/>
            </w:pPr>
            <w:r>
              <w:t>(0.09-2.7)</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564C5249" w14:textId="77777777" w:rsidR="00403A3A" w:rsidRDefault="00403A3A" w:rsidP="00403A3A">
            <w:pPr>
              <w:pStyle w:val="EndNoteBibliography"/>
              <w:ind w:left="720" w:hanging="720"/>
              <w:jc w:val="center"/>
            </w:pPr>
            <w:r>
              <w:t>0.43</w:t>
            </w:r>
          </w:p>
        </w:tc>
        <w:tc>
          <w:tcPr>
            <w:tcW w:w="2075" w:type="dxa"/>
            <w:tcBorders>
              <w:top w:val="single" w:sz="4" w:space="0" w:color="auto"/>
              <w:left w:val="single" w:sz="4" w:space="0" w:color="auto"/>
              <w:bottom w:val="single" w:sz="4" w:space="0" w:color="auto"/>
              <w:right w:val="single" w:sz="4" w:space="0" w:color="auto"/>
            </w:tcBorders>
            <w:vAlign w:val="center"/>
          </w:tcPr>
          <w:p w14:paraId="6BF07EC6" w14:textId="636AF0C1"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6E1046D7" w14:textId="043C5EA8" w:rsidTr="005C2F2D">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25CA8AA" w14:textId="77777777" w:rsidR="00403A3A" w:rsidRDefault="00403A3A" w:rsidP="00403A3A">
            <w:pPr>
              <w:pStyle w:val="EndNoteBibliography"/>
              <w:ind w:left="720" w:hanging="720"/>
              <w:jc w:val="center"/>
              <w:rPr>
                <w:i/>
                <w:iCs/>
              </w:rPr>
            </w:pPr>
            <w:r>
              <w:rPr>
                <w:i/>
                <w:iCs/>
              </w:rPr>
              <w:t>tetO</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7BF5932" w14:textId="77777777" w:rsidR="00403A3A" w:rsidRDefault="00403A3A" w:rsidP="00403A3A">
            <w:pPr>
              <w:pStyle w:val="EndNoteBibliography"/>
              <w:ind w:left="720" w:hanging="720"/>
              <w:jc w:val="center"/>
            </w:pPr>
            <w:r>
              <w:t xml:space="preserve">0.9 </w:t>
            </w:r>
          </w:p>
          <w:p w14:paraId="02CDD265" w14:textId="77777777" w:rsidR="00403A3A" w:rsidRDefault="00403A3A" w:rsidP="00403A3A">
            <w:pPr>
              <w:pStyle w:val="EndNoteBibliography"/>
              <w:ind w:left="720" w:hanging="720"/>
              <w:jc w:val="center"/>
            </w:pPr>
            <w:r>
              <w:t>(0.4-2.2)</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D0D30A7" w14:textId="77777777" w:rsidR="00403A3A" w:rsidRDefault="00403A3A" w:rsidP="00403A3A">
            <w:pPr>
              <w:pStyle w:val="EndNoteBibliography"/>
              <w:ind w:left="720" w:hanging="720"/>
              <w:jc w:val="center"/>
            </w:pPr>
            <w:r>
              <w:t>0.82</w:t>
            </w:r>
          </w:p>
        </w:tc>
        <w:tc>
          <w:tcPr>
            <w:tcW w:w="2075" w:type="dxa"/>
            <w:tcBorders>
              <w:top w:val="single" w:sz="4" w:space="0" w:color="auto"/>
              <w:left w:val="single" w:sz="4" w:space="0" w:color="auto"/>
              <w:bottom w:val="single" w:sz="4" w:space="0" w:color="auto"/>
              <w:right w:val="single" w:sz="4" w:space="0" w:color="auto"/>
            </w:tcBorders>
            <w:vAlign w:val="center"/>
          </w:tcPr>
          <w:p w14:paraId="1B07F5BA" w14:textId="18A2FD73"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710450EB" w14:textId="1B6A97DF" w:rsidTr="00403A3A">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17AA497" w14:textId="77777777" w:rsidR="00403A3A" w:rsidRDefault="00403A3A" w:rsidP="00403A3A">
            <w:pPr>
              <w:pStyle w:val="EndNoteBibliography"/>
              <w:ind w:left="720" w:hanging="720"/>
              <w:jc w:val="center"/>
              <w:rPr>
                <w:i/>
                <w:iCs/>
              </w:rPr>
            </w:pPr>
            <w:r>
              <w:rPr>
                <w:i/>
                <w:iCs/>
              </w:rPr>
              <w:t>tetW</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5908D958" w14:textId="77777777" w:rsidR="00403A3A" w:rsidRDefault="00403A3A" w:rsidP="00403A3A">
            <w:pPr>
              <w:pStyle w:val="EndNoteBibliography"/>
              <w:ind w:left="720" w:hanging="720"/>
              <w:jc w:val="center"/>
            </w:pPr>
            <w:r>
              <w:t xml:space="preserve">0.7 </w:t>
            </w:r>
          </w:p>
          <w:p w14:paraId="4386F06B" w14:textId="77777777" w:rsidR="00403A3A" w:rsidRDefault="00403A3A" w:rsidP="00403A3A">
            <w:pPr>
              <w:pStyle w:val="EndNoteBibliography"/>
              <w:ind w:left="720" w:hanging="720"/>
              <w:jc w:val="center"/>
            </w:pPr>
            <w:r>
              <w:t>(0.3-2.0)</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AC209F2" w14:textId="77777777" w:rsidR="00403A3A" w:rsidRDefault="00403A3A" w:rsidP="00403A3A">
            <w:pPr>
              <w:pStyle w:val="EndNoteBibliography"/>
              <w:ind w:left="720" w:hanging="720"/>
              <w:jc w:val="center"/>
            </w:pPr>
            <w:r>
              <w:t>0.55</w:t>
            </w:r>
          </w:p>
        </w:tc>
        <w:tc>
          <w:tcPr>
            <w:tcW w:w="2075" w:type="dxa"/>
            <w:tcBorders>
              <w:top w:val="single" w:sz="4" w:space="0" w:color="auto"/>
              <w:left w:val="single" w:sz="4" w:space="0" w:color="auto"/>
              <w:bottom w:val="single" w:sz="4" w:space="0" w:color="auto"/>
              <w:right w:val="single" w:sz="4" w:space="0" w:color="auto"/>
            </w:tcBorders>
            <w:vAlign w:val="center"/>
          </w:tcPr>
          <w:p w14:paraId="6350FB6F" w14:textId="7DA867CC" w:rsidR="00403A3A" w:rsidRDefault="00403A3A" w:rsidP="00403A3A">
            <w:pPr>
              <w:pStyle w:val="EndNoteBibliography"/>
              <w:ind w:left="720" w:hanging="720"/>
              <w:jc w:val="center"/>
            </w:pPr>
            <w:r>
              <w:t>0.99</w:t>
            </w:r>
          </w:p>
        </w:tc>
      </w:tr>
    </w:tbl>
    <w:p w14:paraId="1AED820C" w14:textId="77777777" w:rsidR="00C06E53" w:rsidRDefault="00C06E53">
      <w:pPr>
        <w:rPr>
          <w:b/>
          <w:bCs/>
        </w:rPr>
        <w:sectPr w:rsidR="00C06E53">
          <w:pgSz w:w="11906" w:h="16838"/>
          <w:pgMar w:top="1440" w:right="1440" w:bottom="1440" w:left="1440" w:header="708" w:footer="708" w:gutter="0"/>
          <w:cols w:space="708"/>
          <w:docGrid w:linePitch="360"/>
        </w:sectPr>
      </w:pPr>
    </w:p>
    <w:p w14:paraId="72DEAA79" w14:textId="0DADA73D" w:rsidR="009665F5" w:rsidRDefault="009665F5" w:rsidP="00C06E53">
      <w:pPr>
        <w:pStyle w:val="PlainText"/>
        <w:numPr>
          <w:ilvl w:val="0"/>
          <w:numId w:val="5"/>
        </w:numPr>
        <w:shd w:val="clear" w:color="auto" w:fill="FFF2CC" w:themeFill="accent4" w:themeFillTint="33"/>
        <w:spacing w:line="360" w:lineRule="auto"/>
        <w:jc w:val="both"/>
        <w:rPr>
          <w:rFonts w:ascii="Times New Roman" w:hAnsi="Times New Roman" w:cs="Times New Roman"/>
        </w:rPr>
      </w:pPr>
    </w:p>
    <w:p w14:paraId="376F4184" w14:textId="6FF10DDC" w:rsidR="009665F5" w:rsidRDefault="009665F5" w:rsidP="009665F5">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w:t>
      </w:r>
      <w:r w:rsidR="00C06E53" w:rsidRPr="00C2120F">
        <w:rPr>
          <w:rFonts w:ascii="Times New Roman" w:hAnsi="Times New Roman" w:cs="Times New Roman"/>
        </w:rPr>
        <w:t xml:space="preserve">Onward transmission” of resistance genes, i.e. </w:t>
      </w:r>
      <w:r>
        <w:rPr>
          <w:rFonts w:ascii="Times New Roman" w:hAnsi="Times New Roman" w:cs="Times New Roman"/>
        </w:rPr>
        <w:t xml:space="preserve">(that is) </w:t>
      </w:r>
      <w:r w:rsidR="00C06E53" w:rsidRPr="00C2120F">
        <w:rPr>
          <w:rFonts w:ascii="Times New Roman" w:hAnsi="Times New Roman" w:cs="Times New Roman"/>
        </w:rPr>
        <w:t xml:space="preserve">increased relative risk of resistance gene co-detection in co-habitants of patients on long-term macrolide therapy. </w:t>
      </w:r>
    </w:p>
    <w:p w14:paraId="398D854D" w14:textId="77777777" w:rsidR="009665F5" w:rsidRDefault="00C06E53" w:rsidP="009665F5">
      <w:pPr>
        <w:pStyle w:val="PlainText"/>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 xml:space="preserve">However, onward transmission is somewhat speculative since it is not really possible to establish “transmission” of a 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w:t>
      </w:r>
    </w:p>
    <w:p w14:paraId="24A2BDCF" w14:textId="59F57B71" w:rsidR="00C06E53" w:rsidRPr="00C2120F" w:rsidRDefault="00C06E53" w:rsidP="009665F5">
      <w:pPr>
        <w:pStyle w:val="PlainText"/>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One would need to isolate a resistant organism from both patient and co-inhabitant and test this by strain typing or WGS analysis (as a start).</w:t>
      </w:r>
    </w:p>
    <w:p w14:paraId="4F107564" w14:textId="410788CF" w:rsidR="00C06E53" w:rsidRDefault="00C06E53">
      <w:pPr>
        <w:rPr>
          <w:b/>
          <w:bCs/>
        </w:rPr>
      </w:pPr>
    </w:p>
    <w:p w14:paraId="59183461" w14:textId="76B1CD60" w:rsidR="00E636FD" w:rsidRPr="00020792" w:rsidRDefault="00E636FD" w:rsidP="00020792">
      <w:pPr>
        <w:spacing w:line="360" w:lineRule="auto"/>
        <w:jc w:val="both"/>
        <w:rPr>
          <w:b/>
          <w:bCs/>
          <w:color w:val="7030A0"/>
        </w:rPr>
      </w:pPr>
      <w:r w:rsidRPr="00020792">
        <w:rPr>
          <w:b/>
          <w:bCs/>
          <w:color w:val="7030A0"/>
        </w:rPr>
        <w:t>[</w:t>
      </w:r>
      <w:r w:rsidR="003C2BD6">
        <w:rPr>
          <w:b/>
          <w:bCs/>
          <w:color w:val="7030A0"/>
        </w:rPr>
        <w:t xml:space="preserve">Reviewer’s </w:t>
      </w:r>
      <w:r w:rsidRPr="00020792">
        <w:rPr>
          <w:b/>
          <w:bCs/>
          <w:color w:val="7030A0"/>
        </w:rPr>
        <w:t>Questions]</w:t>
      </w:r>
    </w:p>
    <w:p w14:paraId="16B81E7B" w14:textId="465ED576" w:rsidR="00E636FD" w:rsidRDefault="00900374" w:rsidP="006C5E35">
      <w:pPr>
        <w:pStyle w:val="ListParagraph"/>
        <w:numPr>
          <w:ilvl w:val="0"/>
          <w:numId w:val="15"/>
        </w:numPr>
        <w:spacing w:line="360" w:lineRule="auto"/>
        <w:jc w:val="both"/>
      </w:pPr>
      <w:r w:rsidRPr="00900374">
        <w:rPr>
          <w:b/>
          <w:bCs/>
          <w:u w:val="single"/>
        </w:rPr>
        <w:t>Reviewer:</w:t>
      </w:r>
      <w:r>
        <w:rPr>
          <w:b/>
          <w:bCs/>
        </w:rPr>
        <w:t xml:space="preserve"> </w:t>
      </w:r>
      <w:r w:rsidR="00E636FD" w:rsidRPr="006C5E35">
        <w:rPr>
          <w:b/>
          <w:bCs/>
        </w:rPr>
        <w:t>“Onward transmission” is not accurate</w:t>
      </w:r>
      <w:r w:rsidR="00E636FD" w:rsidRPr="00E636FD">
        <w:t xml:space="preserve"> as it is not really possible to establish “transmission” of a resistance gene by the methodology employed.</w:t>
      </w:r>
      <w:r w:rsidR="006C5E35">
        <w:t xml:space="preserve"> This is because </w:t>
      </w:r>
      <w:r w:rsidR="00E636FD" w:rsidRPr="006C5E35">
        <w:rPr>
          <w:b/>
          <w:bCs/>
        </w:rPr>
        <w:t>A patient could have acquired the resistance gene from their co-inhabitant initially for example</w:t>
      </w:r>
    </w:p>
    <w:p w14:paraId="36BF6AA0" w14:textId="45B17A43" w:rsidR="006C5E35" w:rsidRDefault="006C5E35" w:rsidP="006C5E35">
      <w:pPr>
        <w:pStyle w:val="ListParagraph"/>
        <w:numPr>
          <w:ilvl w:val="1"/>
          <w:numId w:val="15"/>
        </w:numPr>
        <w:spacing w:line="360" w:lineRule="auto"/>
        <w:jc w:val="both"/>
      </w:pPr>
      <w:r>
        <w:t>It is t</w:t>
      </w:r>
      <w:r w:rsidR="00E636FD">
        <w:t>rue</w:t>
      </w:r>
      <w:r>
        <w:t xml:space="preserve"> that a</w:t>
      </w:r>
      <w:r w:rsidRPr="006C5E35">
        <w:t xml:space="preserve"> patient could have acquired the resistance gene from their co-inhabitant</w:t>
      </w:r>
      <w:r w:rsidR="006E0FE9">
        <w:t xml:space="preserve"> initially.</w:t>
      </w:r>
      <w:r w:rsidR="006E0FE9" w:rsidRPr="006E0FE9">
        <w:t xml:space="preserve"> </w:t>
      </w:r>
      <w:r w:rsidR="006E0FE9">
        <w:t>However, we have considered this</w:t>
      </w:r>
      <w:r w:rsidR="006E0FE9">
        <w:t>.</w:t>
      </w:r>
    </w:p>
    <w:p w14:paraId="10A36AAF" w14:textId="4F47F621" w:rsidR="006C5E35" w:rsidRDefault="006E0FE9" w:rsidP="006C5E35">
      <w:pPr>
        <w:pStyle w:val="ListParagraph"/>
        <w:numPr>
          <w:ilvl w:val="1"/>
          <w:numId w:val="15"/>
        </w:numPr>
        <w:spacing w:line="360" w:lineRule="auto"/>
        <w:jc w:val="both"/>
      </w:pPr>
      <w:r>
        <w:t xml:space="preserve">Firstly, </w:t>
      </w:r>
      <w:r w:rsidR="006C5E35">
        <w:t>the second logistic regression we use is to assess the macrolide therapy effect on transmission risk. In this model, we consider transmission in two direction</w:t>
      </w:r>
      <w:r>
        <w:t xml:space="preserve"> (coding pattern is 1-1)</w:t>
      </w:r>
      <w:r w:rsidR="006C5E35">
        <w:t>: from patient to close contact and from close contact to patients</w:t>
      </w:r>
      <w:r>
        <w:t xml:space="preserve">. 1-1. </w:t>
      </w:r>
    </w:p>
    <w:p w14:paraId="353EC6DF" w14:textId="43CA8F6A" w:rsidR="006E0FE9" w:rsidRDefault="00F41B69" w:rsidP="006C5E35">
      <w:pPr>
        <w:pStyle w:val="ListParagraph"/>
        <w:numPr>
          <w:ilvl w:val="1"/>
          <w:numId w:val="15"/>
        </w:numPr>
        <w:spacing w:line="360" w:lineRule="auto"/>
        <w:jc w:val="both"/>
      </w:pPr>
      <w:r>
        <w:t>Secondly, t</w:t>
      </w:r>
      <w:r w:rsidR="006E0FE9">
        <w:t>o compensate for the fact that there are no baseline samples, we include the control group, which is non macrolide recipient group; Also we found the resistance gene levels are significantly lower in close contacts than patients, despite of the macrolide treatment.</w:t>
      </w:r>
    </w:p>
    <w:p w14:paraId="131BE7C8" w14:textId="1FB2A118" w:rsidR="006E0FE9" w:rsidRDefault="006E0FE9" w:rsidP="006C5E35">
      <w:pPr>
        <w:pStyle w:val="ListParagraph"/>
        <w:numPr>
          <w:ilvl w:val="1"/>
          <w:numId w:val="15"/>
        </w:numPr>
        <w:spacing w:line="360" w:lineRule="auto"/>
        <w:jc w:val="both"/>
      </w:pPr>
      <w:r>
        <w:t xml:space="preserve">I believe all these results </w:t>
      </w:r>
      <w:r w:rsidR="00F41B69">
        <w:t>are strong enough to draw our conclusion that “In this study, we did not find evidence to support that macrolide therapy could influence transmission risk of macrolide resistance genes”</w:t>
      </w:r>
    </w:p>
    <w:p w14:paraId="303E797E" w14:textId="2C0317FB" w:rsidR="00E636FD" w:rsidRPr="00E636FD" w:rsidRDefault="00900374" w:rsidP="006C5E35">
      <w:pPr>
        <w:pStyle w:val="ListParagraph"/>
        <w:numPr>
          <w:ilvl w:val="0"/>
          <w:numId w:val="15"/>
        </w:numPr>
        <w:spacing w:line="360" w:lineRule="auto"/>
        <w:jc w:val="both"/>
      </w:pPr>
      <w:r w:rsidRPr="00900374">
        <w:rPr>
          <w:b/>
          <w:bCs/>
          <w:u w:val="single"/>
        </w:rPr>
        <w:t>Reviewer:</w:t>
      </w:r>
      <w:r>
        <w:rPr>
          <w:b/>
          <w:bCs/>
        </w:rPr>
        <w:t xml:space="preserve"> </w:t>
      </w:r>
      <w:r w:rsidR="006E0FE9" w:rsidRPr="00E636FD">
        <w:t xml:space="preserve"> </w:t>
      </w:r>
      <w:r w:rsidR="00E636FD" w:rsidRPr="00E636FD">
        <w:t>“</w:t>
      </w:r>
      <w:r w:rsidR="00E636FD">
        <w:t>E</w:t>
      </w:r>
      <w:r w:rsidR="00E636FD" w:rsidRPr="00E636FD">
        <w:t>ffect of household antibiotic use on risk of resistance detection in untreated individuals” would be more accurate</w:t>
      </w:r>
    </w:p>
    <w:p w14:paraId="018D016F" w14:textId="77777777" w:rsidR="00E22E07" w:rsidRDefault="00E22E07" w:rsidP="00E22E07">
      <w:pPr>
        <w:spacing w:line="360" w:lineRule="auto"/>
        <w:rPr>
          <w:b/>
          <w:bCs/>
        </w:rPr>
      </w:pPr>
    </w:p>
    <w:p w14:paraId="6114E66F" w14:textId="77777777" w:rsidR="00E22E07" w:rsidRDefault="00E22E07" w:rsidP="00E22E07">
      <w:pPr>
        <w:spacing w:line="360" w:lineRule="auto"/>
        <w:rPr>
          <w:b/>
          <w:bCs/>
        </w:rPr>
      </w:pPr>
    </w:p>
    <w:p w14:paraId="1B965349" w14:textId="77777777" w:rsidR="00E22E07" w:rsidRDefault="00E22E07" w:rsidP="00E22E07">
      <w:pPr>
        <w:spacing w:line="360" w:lineRule="auto"/>
        <w:rPr>
          <w:b/>
          <w:bCs/>
        </w:rPr>
      </w:pPr>
    </w:p>
    <w:p w14:paraId="0934C8B0" w14:textId="77777777" w:rsidR="00E22E07" w:rsidRDefault="00E22E07" w:rsidP="00E22E07">
      <w:pPr>
        <w:spacing w:line="360" w:lineRule="auto"/>
        <w:rPr>
          <w:b/>
          <w:bCs/>
        </w:rPr>
      </w:pPr>
    </w:p>
    <w:p w14:paraId="6337BB40" w14:textId="7105DE79" w:rsidR="000547C1" w:rsidRDefault="00E636FD" w:rsidP="00020792">
      <w:pPr>
        <w:spacing w:line="360" w:lineRule="auto"/>
        <w:jc w:val="both"/>
        <w:rPr>
          <w:b/>
          <w:bCs/>
        </w:rPr>
      </w:pPr>
      <w:r>
        <w:rPr>
          <w:b/>
          <w:bCs/>
        </w:rPr>
        <w:lastRenderedPageBreak/>
        <w:t xml:space="preserve"> </w:t>
      </w:r>
      <w:r w:rsidR="00C06E53" w:rsidRPr="00020792">
        <w:rPr>
          <w:b/>
          <w:bCs/>
          <w:color w:val="7030A0"/>
        </w:rPr>
        <w:t>[AMR dissemination</w:t>
      </w:r>
      <w:r w:rsidR="009665F5" w:rsidRPr="00020792">
        <w:rPr>
          <w:b/>
          <w:bCs/>
          <w:color w:val="7030A0"/>
        </w:rPr>
        <w:t xml:space="preserve"> papers</w:t>
      </w:r>
      <w:r w:rsidR="00C06E53" w:rsidRPr="00020792">
        <w:rPr>
          <w:b/>
          <w:bCs/>
          <w:color w:val="7030A0"/>
        </w:rPr>
        <w:t>]</w:t>
      </w:r>
      <w:r w:rsidR="000547C1" w:rsidRPr="00020792">
        <w:rPr>
          <w:b/>
          <w:bCs/>
          <w:color w:val="7030A0"/>
        </w:rPr>
        <w:t xml:space="preserve">: </w:t>
      </w:r>
      <w:r w:rsidR="00900374" w:rsidRPr="00020792">
        <w:rPr>
          <w:b/>
          <w:bCs/>
          <w:color w:val="7030A0"/>
        </w:rPr>
        <w:t xml:space="preserve">Evidence of </w:t>
      </w:r>
      <w:r w:rsidR="000547C1" w:rsidRPr="00020792">
        <w:rPr>
          <w:b/>
          <w:bCs/>
          <w:color w:val="7030A0"/>
        </w:rPr>
        <w:t>Household transmission of antibiotic resistance</w:t>
      </w:r>
    </w:p>
    <w:p w14:paraId="16FFB6F8" w14:textId="4B86A93E" w:rsidR="00C06E53" w:rsidRPr="00A87787" w:rsidRDefault="000547C1" w:rsidP="00E22E07">
      <w:pPr>
        <w:pStyle w:val="ListParagraph"/>
        <w:numPr>
          <w:ilvl w:val="0"/>
          <w:numId w:val="23"/>
        </w:numPr>
        <w:spacing w:line="360" w:lineRule="auto"/>
      </w:pPr>
      <w:r w:rsidRPr="00A87787">
        <w:t xml:space="preserve">Humans to human transmission are </w:t>
      </w:r>
      <w:r w:rsidRPr="00A87787">
        <w:t>the</w:t>
      </w:r>
      <w:r w:rsidRPr="00A87787">
        <w:t xml:space="preserve"> main source of community</w:t>
      </w:r>
      <w:r w:rsidRPr="00A87787">
        <w:t xml:space="preserve"> acquired antibiotic-resistant bacteria</w:t>
      </w:r>
    </w:p>
    <w:p w14:paraId="7152B9A8" w14:textId="0DA9642F" w:rsidR="00A87787" w:rsidRPr="00A87787" w:rsidRDefault="00A87787" w:rsidP="00E22E07">
      <w:pPr>
        <w:pStyle w:val="ListParagraph"/>
        <w:numPr>
          <w:ilvl w:val="1"/>
          <w:numId w:val="23"/>
        </w:numPr>
        <w:spacing w:line="360" w:lineRule="auto"/>
        <w:jc w:val="both"/>
      </w:pPr>
      <w:proofErr w:type="spellStart"/>
      <w:r w:rsidRPr="00A87787">
        <w:t>Mughini</w:t>
      </w:r>
      <w:proofErr w:type="spellEnd"/>
      <w:r w:rsidRPr="00A87787">
        <w:t>-Gras 2019</w:t>
      </w:r>
      <w:r>
        <w:t>-</w:t>
      </w:r>
      <w:r w:rsidRPr="00A87787">
        <w:t xml:space="preserve"> </w:t>
      </w:r>
      <w:r w:rsidRPr="00A87787">
        <w:t>PMID</w:t>
      </w:r>
      <w:r>
        <w:t xml:space="preserve"> </w:t>
      </w:r>
      <w:r w:rsidRPr="00A87787">
        <w:t>31439317:</w:t>
      </w:r>
      <w:r w:rsidRPr="00A87787">
        <w:t xml:space="preserve"> </w:t>
      </w:r>
      <w:r w:rsidRPr="00A87787">
        <w:t>Most community-acquired β-lactam-resistant E.coli carriage was attributed to human-to-human transmission within or between households in the open community (60·1%, 95% credible interval 40·0–73·5)</w:t>
      </w:r>
    </w:p>
    <w:p w14:paraId="081788C4" w14:textId="05FCC916" w:rsidR="00A87787" w:rsidRDefault="00A87787" w:rsidP="00E22E07">
      <w:pPr>
        <w:pStyle w:val="ListParagraph"/>
        <w:numPr>
          <w:ilvl w:val="0"/>
          <w:numId w:val="23"/>
        </w:numPr>
        <w:spacing w:line="360" w:lineRule="auto"/>
      </w:pPr>
      <w:r>
        <w:t>Examples of antibiotic resistance (bacteria) transmission</w:t>
      </w:r>
    </w:p>
    <w:p w14:paraId="08A34874" w14:textId="6D24E78F" w:rsidR="00D16ED8" w:rsidRDefault="00A87787" w:rsidP="00E22E07">
      <w:pPr>
        <w:pStyle w:val="ListParagraph"/>
        <w:numPr>
          <w:ilvl w:val="1"/>
          <w:numId w:val="23"/>
        </w:numPr>
        <w:spacing w:line="360" w:lineRule="auto"/>
        <w:jc w:val="both"/>
      </w:pPr>
      <w:r w:rsidRPr="00A87787">
        <w:t>PMID</w:t>
      </w:r>
      <w:r>
        <w:t xml:space="preserve"> – </w:t>
      </w:r>
      <w:r w:rsidRPr="00A87787">
        <w:t>11101914</w:t>
      </w:r>
      <w:r>
        <w:t xml:space="preserve">: </w:t>
      </w:r>
      <w:r w:rsidR="00D16ED8" w:rsidRPr="00D16ED8">
        <w:rPr>
          <w:i/>
          <w:iCs/>
        </w:rPr>
        <w:t>Staphylococcus aureus nasopharyngeal carriage rates and antimicrobial susceptibility patterns among health care workers and their household contacts</w:t>
      </w:r>
    </w:p>
    <w:p w14:paraId="2124C41E" w14:textId="7B47B2CC" w:rsidR="00A87787" w:rsidRPr="00A87787" w:rsidRDefault="00A87787" w:rsidP="00E22E07">
      <w:pPr>
        <w:pStyle w:val="ListParagraph"/>
        <w:numPr>
          <w:ilvl w:val="2"/>
          <w:numId w:val="23"/>
        </w:numPr>
        <w:spacing w:line="360" w:lineRule="auto"/>
        <w:jc w:val="both"/>
      </w:pPr>
      <w:r>
        <w:t>The frequency of MRSA colonization among health care workers (</w:t>
      </w:r>
      <w:r w:rsidRPr="00A87787">
        <w:t>63/200</w:t>
      </w:r>
      <w:r>
        <w:t xml:space="preserve">, </w:t>
      </w:r>
      <w:r w:rsidRPr="00A87787">
        <w:t xml:space="preserve">31.5%) </w:t>
      </w:r>
      <w:r>
        <w:t xml:space="preserve"> and among their household contacts (</w:t>
      </w:r>
      <w:r w:rsidRPr="00A87787">
        <w:t>27/87</w:t>
      </w:r>
      <w:r>
        <w:t xml:space="preserve">, </w:t>
      </w:r>
      <w:r w:rsidRPr="00A87787">
        <w:t xml:space="preserve">31%) </w:t>
      </w:r>
      <w:r>
        <w:t>are higher than that in members of the community (</w:t>
      </w:r>
      <w:r w:rsidRPr="00A87787">
        <w:t>14/77</w:t>
      </w:r>
      <w:r>
        <w:t xml:space="preserve">, </w:t>
      </w:r>
      <w:r w:rsidRPr="00A87787">
        <w:t>18.1%)</w:t>
      </w:r>
      <w:r>
        <w:t xml:space="preserve"> despite not reach the statistical significance</w:t>
      </w:r>
    </w:p>
    <w:p w14:paraId="0A8C647D" w14:textId="402DEE64" w:rsidR="00A87787" w:rsidRDefault="00A87787" w:rsidP="00E22E07">
      <w:pPr>
        <w:pStyle w:val="ListParagraph"/>
        <w:numPr>
          <w:ilvl w:val="1"/>
          <w:numId w:val="23"/>
        </w:numPr>
        <w:spacing w:line="360" w:lineRule="auto"/>
      </w:pPr>
      <w:r w:rsidRPr="00A87787">
        <w:t>PMID</w:t>
      </w:r>
      <w:r>
        <w:t xml:space="preserve"> – </w:t>
      </w:r>
      <w:r w:rsidRPr="00A87787">
        <w:t>19923490</w:t>
      </w:r>
      <w:r>
        <w:t xml:space="preserve">: </w:t>
      </w:r>
      <w:r w:rsidR="00D16ED8">
        <w:t xml:space="preserve"> </w:t>
      </w:r>
      <w:r w:rsidR="00900374" w:rsidRPr="00900374">
        <w:t>Transmission of methicillin-resistant Staphylococcus aureus within a household</w:t>
      </w:r>
    </w:p>
    <w:p w14:paraId="51D07968" w14:textId="23F4F0B7" w:rsidR="00A87787" w:rsidRDefault="00A87787" w:rsidP="00E22E07">
      <w:pPr>
        <w:pStyle w:val="ListParagraph"/>
        <w:numPr>
          <w:ilvl w:val="2"/>
          <w:numId w:val="23"/>
        </w:numPr>
        <w:spacing w:line="360" w:lineRule="auto"/>
      </w:pPr>
      <w:r w:rsidRPr="00A87787">
        <w:t>Transmission of MRSA from an index person to household contacts occurred in nearly half of the cases (47%; n = 29). These 29 index persons together had 84 household contacts, of which two-thirds (67%; n = 56) became MRSA positive.</w:t>
      </w:r>
    </w:p>
    <w:p w14:paraId="06C374D3" w14:textId="22BB946E" w:rsidR="00A87787" w:rsidRDefault="00A87787" w:rsidP="00E22E07">
      <w:pPr>
        <w:pStyle w:val="ListParagraph"/>
        <w:numPr>
          <w:ilvl w:val="2"/>
          <w:numId w:val="23"/>
        </w:numPr>
        <w:spacing w:line="360" w:lineRule="auto"/>
      </w:pPr>
      <w:r w:rsidRPr="00A87787">
        <w:t>Prolonged exposure time to MRSA at home was a significant risk factor for MRSA transmission to household contacts.</w:t>
      </w:r>
    </w:p>
    <w:p w14:paraId="33A474D9" w14:textId="6076FFE4" w:rsidR="00900374" w:rsidRPr="00900374" w:rsidRDefault="00900374" w:rsidP="00E22E07">
      <w:pPr>
        <w:pStyle w:val="ListParagraph"/>
        <w:numPr>
          <w:ilvl w:val="1"/>
          <w:numId w:val="23"/>
        </w:numPr>
        <w:spacing w:line="360" w:lineRule="auto"/>
      </w:pPr>
      <w:r w:rsidRPr="00900374">
        <w:t>PMID</w:t>
      </w:r>
      <w:r>
        <w:t xml:space="preserve"> –</w:t>
      </w:r>
      <w:r w:rsidRPr="00900374">
        <w:t xml:space="preserve"> 20135845</w:t>
      </w:r>
      <w:r>
        <w:t xml:space="preserve">: </w:t>
      </w:r>
      <w:r w:rsidRPr="00900374">
        <w:rPr>
          <w:i/>
          <w:iCs/>
        </w:rPr>
        <w:t xml:space="preserve">Staphylococcus aureus nasal colonization among </w:t>
      </w:r>
      <w:proofErr w:type="spellStart"/>
      <w:r w:rsidRPr="00900374">
        <w:rPr>
          <w:i/>
          <w:iCs/>
        </w:rPr>
        <w:t>pediatric</w:t>
      </w:r>
      <w:proofErr w:type="spellEnd"/>
      <w:r w:rsidRPr="00900374">
        <w:rPr>
          <w:i/>
          <w:iCs/>
        </w:rPr>
        <w:t xml:space="preserve"> cystic fibrosis patients and their household contacts</w:t>
      </w:r>
    </w:p>
    <w:p w14:paraId="13CA4D27" w14:textId="0AEC8155" w:rsidR="00900374" w:rsidRDefault="00900374" w:rsidP="00E22E07">
      <w:pPr>
        <w:pStyle w:val="ListParagraph"/>
        <w:numPr>
          <w:ilvl w:val="2"/>
          <w:numId w:val="23"/>
        </w:numPr>
        <w:spacing w:line="360" w:lineRule="auto"/>
      </w:pPr>
      <w:r w:rsidRPr="00900374">
        <w:t>Overall, 27.6% of 98 households had &gt; or =2 members colonized with closely related isolates.</w:t>
      </w:r>
    </w:p>
    <w:p w14:paraId="113A0E6A" w14:textId="7FA5B980" w:rsidR="00D16ED8" w:rsidRPr="00A87787" w:rsidRDefault="00900374" w:rsidP="00E22E07">
      <w:pPr>
        <w:pStyle w:val="ListParagraph"/>
        <w:numPr>
          <w:ilvl w:val="2"/>
          <w:numId w:val="23"/>
        </w:numPr>
        <w:spacing w:line="360" w:lineRule="auto"/>
      </w:pPr>
      <w:r w:rsidRPr="00900374">
        <w:t>This study demonstrated that household members of CF children harbor both MSSA and MRSA, including CA-MRSA, and that S. aureus is transmitted within CF households.</w:t>
      </w:r>
    </w:p>
    <w:p w14:paraId="6092CE3E" w14:textId="77777777" w:rsidR="006C5E35" w:rsidRDefault="006C5E35">
      <w:pPr>
        <w:rPr>
          <w:b/>
          <w:bCs/>
        </w:rPr>
      </w:pPr>
    </w:p>
    <w:p w14:paraId="617A2943" w14:textId="268DD252" w:rsidR="00C06E53" w:rsidRDefault="00C06E53">
      <w:pPr>
        <w:rPr>
          <w:b/>
          <w:bCs/>
        </w:rPr>
      </w:pPr>
    </w:p>
    <w:p w14:paraId="6766523C" w14:textId="77777777" w:rsidR="00C06E53" w:rsidRDefault="00C06E53">
      <w:pPr>
        <w:rPr>
          <w:b/>
          <w:bCs/>
        </w:rPr>
        <w:sectPr w:rsidR="00C06E53">
          <w:pgSz w:w="11906" w:h="16838"/>
          <w:pgMar w:top="1440" w:right="1440" w:bottom="1440" w:left="1440" w:header="708" w:footer="708" w:gutter="0"/>
          <w:cols w:space="708"/>
          <w:docGrid w:linePitch="360"/>
        </w:sectPr>
      </w:pPr>
    </w:p>
    <w:p w14:paraId="5B6DB245" w14:textId="77777777" w:rsidR="00C06E53" w:rsidRPr="00C2120F" w:rsidRDefault="00C06E53" w:rsidP="009665F5">
      <w:pPr>
        <w:pStyle w:val="PlainText"/>
        <w:numPr>
          <w:ilvl w:val="0"/>
          <w:numId w:val="14"/>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lastRenderedPageBreak/>
        <w:t xml:space="preserve">“Carriage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w:t>
      </w:r>
      <w:proofErr w:type="spellStart"/>
      <w:r w:rsidRPr="00C2120F">
        <w:rPr>
          <w:rFonts w:ascii="Times New Roman" w:hAnsi="Times New Roman" w:cs="Times New Roman"/>
        </w:rPr>
        <w:t>resistome</w:t>
      </w:r>
      <w:proofErr w:type="spellEnd"/>
      <w:r w:rsidRPr="00C2120F">
        <w:rPr>
          <w:rFonts w:ascii="Times New Roman" w:hAnsi="Times New Roman" w:cs="Times New Roman"/>
        </w:rPr>
        <w:t xml:space="preserve"> studies. Thus, even healthy individuals may harbour these genes anyway, perhaps through maintenance via other, as yet unrecognised, selective pressures. There seem to be many unanswered questions that the study fails to address. Just looking at a few resistance genes at a single anatomical site is somewhat limited in scope considering the complex effects of antibiotics on the microbiome/</w:t>
      </w:r>
      <w:proofErr w:type="spellStart"/>
      <w:r w:rsidRPr="00C2120F">
        <w:rPr>
          <w:rFonts w:ascii="Times New Roman" w:hAnsi="Times New Roman" w:cs="Times New Roman"/>
        </w:rPr>
        <w:t>resistome</w:t>
      </w:r>
      <w:proofErr w:type="spellEnd"/>
      <w:r w:rsidRPr="00C2120F">
        <w:rPr>
          <w:rFonts w:ascii="Times New Roman" w:hAnsi="Times New Roman" w:cs="Times New Roman"/>
        </w:rPr>
        <w:t>.</w:t>
      </w:r>
    </w:p>
    <w:p w14:paraId="3D4973A2" w14:textId="77777777" w:rsidR="003C2BD6" w:rsidRDefault="003C2BD6" w:rsidP="003C2BD6">
      <w:pPr>
        <w:rPr>
          <w:b/>
          <w:bCs/>
        </w:rPr>
      </w:pPr>
    </w:p>
    <w:p w14:paraId="45E5DB2D" w14:textId="77777777" w:rsidR="003C2BD6" w:rsidRPr="00020792" w:rsidRDefault="003C2BD6" w:rsidP="003C2BD6">
      <w:pPr>
        <w:spacing w:line="360" w:lineRule="auto"/>
        <w:jc w:val="both"/>
        <w:rPr>
          <w:b/>
          <w:bCs/>
          <w:color w:val="7030A0"/>
        </w:rPr>
      </w:pPr>
      <w:r w:rsidRPr="00020792">
        <w:rPr>
          <w:b/>
          <w:bCs/>
          <w:color w:val="7030A0"/>
        </w:rPr>
        <w:t>[</w:t>
      </w:r>
      <w:r>
        <w:rPr>
          <w:b/>
          <w:bCs/>
          <w:color w:val="7030A0"/>
        </w:rPr>
        <w:t xml:space="preserve">Reviewer’s </w:t>
      </w:r>
      <w:r w:rsidRPr="00020792">
        <w:rPr>
          <w:b/>
          <w:bCs/>
          <w:color w:val="7030A0"/>
        </w:rPr>
        <w:t>Questions]</w:t>
      </w:r>
    </w:p>
    <w:p w14:paraId="6DE1CA9E" w14:textId="23258B9E" w:rsidR="003C2BD6" w:rsidRPr="003C2BD6" w:rsidRDefault="003C2BD6" w:rsidP="003C2BD6">
      <w:pPr>
        <w:pStyle w:val="ListParagraph"/>
        <w:numPr>
          <w:ilvl w:val="0"/>
          <w:numId w:val="24"/>
        </w:numPr>
        <w:spacing w:line="360" w:lineRule="auto"/>
        <w:jc w:val="both"/>
        <w:rPr>
          <w:b/>
          <w:bCs/>
        </w:rPr>
      </w:pPr>
      <w:r w:rsidRPr="00C2120F">
        <w:rPr>
          <w:rFonts w:ascii="Times New Roman" w:hAnsi="Times New Roman" w:cs="Times New Roman"/>
        </w:rPr>
        <w:t>“Carriage and transmission of resistance genes” For macrolides, this is an incredibly difficult question to address by the applied methodology given the apparently high prevalence of macrolide resistance in the environment/microbiome.</w:t>
      </w:r>
    </w:p>
    <w:p w14:paraId="726A0470" w14:textId="443FE285" w:rsidR="003C2BD6" w:rsidRPr="003C2BD6" w:rsidRDefault="003C2BD6" w:rsidP="003C2BD6">
      <w:pPr>
        <w:pStyle w:val="ListParagraph"/>
        <w:numPr>
          <w:ilvl w:val="0"/>
          <w:numId w:val="24"/>
        </w:numPr>
        <w:spacing w:line="360" w:lineRule="auto"/>
        <w:jc w:val="both"/>
        <w:rPr>
          <w:b/>
          <w:bCs/>
        </w:rPr>
      </w:pPr>
      <w:r w:rsidRPr="00C2120F">
        <w:rPr>
          <w:rFonts w:ascii="Times New Roman" w:hAnsi="Times New Roman" w:cs="Times New Roman"/>
        </w:rPr>
        <w:t xml:space="preserve">Macrolide and Tetracycline resistance genes are frequently the most highly detected resistance genes reported in </w:t>
      </w:r>
      <w:proofErr w:type="spellStart"/>
      <w:r w:rsidRPr="00C2120F">
        <w:rPr>
          <w:rFonts w:ascii="Times New Roman" w:hAnsi="Times New Roman" w:cs="Times New Roman"/>
        </w:rPr>
        <w:t>resistome</w:t>
      </w:r>
      <w:proofErr w:type="spellEnd"/>
      <w:r w:rsidRPr="00C2120F">
        <w:rPr>
          <w:rFonts w:ascii="Times New Roman" w:hAnsi="Times New Roman" w:cs="Times New Roman"/>
        </w:rPr>
        <w:t xml:space="preserve"> studies. Thus, even healthy individuals may harbour these genes anyway, perhaps through maintenance via other, as yet unrecognised, selective pressures.</w:t>
      </w:r>
    </w:p>
    <w:p w14:paraId="61E1DF28" w14:textId="46CFE504" w:rsidR="003C2BD6" w:rsidRPr="003C2BD6" w:rsidRDefault="003C2BD6" w:rsidP="003C2BD6">
      <w:pPr>
        <w:pStyle w:val="ListParagraph"/>
        <w:numPr>
          <w:ilvl w:val="1"/>
          <w:numId w:val="24"/>
        </w:numPr>
        <w:spacing w:line="360" w:lineRule="auto"/>
        <w:jc w:val="both"/>
      </w:pPr>
      <w:r w:rsidRPr="003C2BD6">
        <w:rPr>
          <w:rFonts w:ascii="Times New Roman" w:hAnsi="Times New Roman" w:cs="Times New Roman"/>
        </w:rPr>
        <w:t>Partially true,</w:t>
      </w:r>
    </w:p>
    <w:p w14:paraId="1CA814B7" w14:textId="77777777" w:rsidR="003C2BD6" w:rsidRPr="003C2BD6" w:rsidRDefault="003C2BD6" w:rsidP="003C2BD6">
      <w:pPr>
        <w:pStyle w:val="ListParagraph"/>
        <w:numPr>
          <w:ilvl w:val="1"/>
          <w:numId w:val="24"/>
        </w:numPr>
        <w:spacing w:line="360" w:lineRule="auto"/>
      </w:pPr>
      <w:proofErr w:type="spellStart"/>
      <w:r w:rsidRPr="003C2BD6">
        <w:t>tet</w:t>
      </w:r>
      <w:proofErr w:type="spellEnd"/>
      <w:r w:rsidRPr="003C2BD6">
        <w:t xml:space="preserve"> resistance gene is more prevalent in CF patients</w:t>
      </w:r>
    </w:p>
    <w:p w14:paraId="30919289" w14:textId="77777777" w:rsidR="003C2BD6" w:rsidRPr="003C2BD6" w:rsidRDefault="003C2BD6" w:rsidP="003C2BD6">
      <w:pPr>
        <w:pStyle w:val="ListParagraph"/>
        <w:numPr>
          <w:ilvl w:val="1"/>
          <w:numId w:val="24"/>
        </w:numPr>
        <w:spacing w:line="360" w:lineRule="auto"/>
        <w:jc w:val="both"/>
        <w:rPr>
          <w:b/>
          <w:bCs/>
        </w:rPr>
      </w:pPr>
    </w:p>
    <w:p w14:paraId="074A1370" w14:textId="77777777" w:rsidR="003C2BD6" w:rsidRPr="003C2BD6" w:rsidRDefault="003C2BD6" w:rsidP="003C2BD6">
      <w:pPr>
        <w:pStyle w:val="ListParagraph"/>
        <w:numPr>
          <w:ilvl w:val="0"/>
          <w:numId w:val="24"/>
        </w:numPr>
        <w:spacing w:line="360" w:lineRule="auto"/>
        <w:jc w:val="both"/>
      </w:pPr>
      <w:r w:rsidRPr="003C2BD6">
        <w:t>There seem to be many unanswered questions that the study fails to address. Just looking at a few resistance genes at a single anatomical site is somewhat limited in scope considering the complex effects of antibiotics on the microbiome/</w:t>
      </w:r>
      <w:proofErr w:type="spellStart"/>
      <w:r w:rsidRPr="003C2BD6">
        <w:t>resistome</w:t>
      </w:r>
      <w:proofErr w:type="spellEnd"/>
      <w:r w:rsidRPr="003C2BD6">
        <w:t>.</w:t>
      </w:r>
    </w:p>
    <w:p w14:paraId="7759D3EE" w14:textId="77777777" w:rsidR="003C2BD6" w:rsidRDefault="003C2BD6">
      <w:pPr>
        <w:rPr>
          <w:b/>
          <w:bCs/>
        </w:rPr>
        <w:sectPr w:rsidR="003C2BD6">
          <w:pgSz w:w="11906" w:h="16838"/>
          <w:pgMar w:top="1440" w:right="1440" w:bottom="1440" w:left="1440" w:header="708" w:footer="708" w:gutter="0"/>
          <w:cols w:space="708"/>
          <w:docGrid w:linePitch="360"/>
        </w:sectPr>
      </w:pPr>
    </w:p>
    <w:p w14:paraId="799B3380" w14:textId="77777777" w:rsidR="00AD516B" w:rsidRPr="00020792" w:rsidRDefault="00C06E53" w:rsidP="00020792">
      <w:pPr>
        <w:spacing w:line="360" w:lineRule="auto"/>
        <w:jc w:val="both"/>
        <w:rPr>
          <w:b/>
          <w:bCs/>
          <w:color w:val="7030A0"/>
        </w:rPr>
      </w:pPr>
      <w:r w:rsidRPr="00020792">
        <w:rPr>
          <w:b/>
          <w:bCs/>
          <w:color w:val="7030A0"/>
        </w:rPr>
        <w:lastRenderedPageBreak/>
        <w:t>[</w:t>
      </w:r>
      <w:r w:rsidR="00C97C6C" w:rsidRPr="00020792">
        <w:rPr>
          <w:b/>
          <w:bCs/>
          <w:color w:val="7030A0"/>
        </w:rPr>
        <w:t xml:space="preserve">Find 2-3 papers that describe the frequency of macrolide and </w:t>
      </w:r>
      <w:proofErr w:type="spellStart"/>
      <w:r w:rsidR="00C97C6C" w:rsidRPr="00020792">
        <w:rPr>
          <w:b/>
          <w:bCs/>
          <w:color w:val="7030A0"/>
        </w:rPr>
        <w:t>tet</w:t>
      </w:r>
      <w:proofErr w:type="spellEnd"/>
      <w:r w:rsidR="00C97C6C" w:rsidRPr="00020792">
        <w:rPr>
          <w:b/>
          <w:bCs/>
          <w:color w:val="7030A0"/>
        </w:rPr>
        <w:t xml:space="preserve"> resistance genes in humans/environment</w:t>
      </w:r>
      <w:r w:rsidRPr="00020792">
        <w:rPr>
          <w:b/>
          <w:bCs/>
          <w:color w:val="7030A0"/>
        </w:rPr>
        <w:t>]</w:t>
      </w:r>
    </w:p>
    <w:p w14:paraId="59BE45AB" w14:textId="2C2222B5" w:rsidR="00AD516B" w:rsidRPr="003C2BD6" w:rsidRDefault="003C2BD6" w:rsidP="00E8708E">
      <w:pPr>
        <w:spacing w:line="360" w:lineRule="auto"/>
        <w:jc w:val="both"/>
        <w:rPr>
          <w:b/>
          <w:bCs/>
        </w:rPr>
      </w:pPr>
      <w:r w:rsidRPr="003C2BD6">
        <w:rPr>
          <w:b/>
          <w:bCs/>
        </w:rPr>
        <w:t>Reference</w:t>
      </w:r>
    </w:p>
    <w:p w14:paraId="504E3961" w14:textId="019174F1" w:rsidR="003C2BD6" w:rsidRDefault="003C2BD6" w:rsidP="00E8708E">
      <w:pPr>
        <w:pStyle w:val="ListParagraph"/>
        <w:numPr>
          <w:ilvl w:val="0"/>
          <w:numId w:val="18"/>
        </w:numPr>
        <w:spacing w:line="360" w:lineRule="auto"/>
        <w:jc w:val="both"/>
      </w:pPr>
      <w:r w:rsidRPr="003C2BD6">
        <w:t>PMID</w:t>
      </w:r>
      <w:r>
        <w:t xml:space="preserve"> –</w:t>
      </w:r>
      <w:r w:rsidRPr="003C2BD6">
        <w:t xml:space="preserve"> 33250435</w:t>
      </w:r>
      <w:r>
        <w:t xml:space="preserve">: Steven 2021 </w:t>
      </w:r>
      <w:proofErr w:type="spellStart"/>
      <w:r>
        <w:t>Matergut</w:t>
      </w:r>
      <w:proofErr w:type="spellEnd"/>
    </w:p>
    <w:p w14:paraId="26301198" w14:textId="6FFC0852" w:rsidR="003C2BD6" w:rsidRDefault="003C2BD6" w:rsidP="00E8708E">
      <w:pPr>
        <w:pStyle w:val="ListParagraph"/>
        <w:numPr>
          <w:ilvl w:val="1"/>
          <w:numId w:val="18"/>
        </w:numPr>
        <w:spacing w:line="360" w:lineRule="auto"/>
        <w:jc w:val="both"/>
      </w:pPr>
      <w:r w:rsidRPr="003C2BD6">
        <w:t>Twelve genes with evidence of mobility were more prevalent in CF</w:t>
      </w:r>
      <w:r>
        <w:t xml:space="preserve"> (</w:t>
      </w:r>
      <w:proofErr w:type="spellStart"/>
      <w:r>
        <w:t>tetM</w:t>
      </w:r>
      <w:proofErr w:type="spellEnd"/>
      <w:r>
        <w:t xml:space="preserve"> is one target in AZM)</w:t>
      </w:r>
    </w:p>
    <w:p w14:paraId="5989EAB8" w14:textId="3719FEF8" w:rsidR="003C2BD6" w:rsidRDefault="003C2BD6" w:rsidP="00E8708E">
      <w:pPr>
        <w:spacing w:line="360" w:lineRule="auto"/>
        <w:jc w:val="center"/>
      </w:pPr>
      <w:r>
        <w:rPr>
          <w:noProof/>
        </w:rPr>
        <w:drawing>
          <wp:inline distT="0" distB="0" distL="0" distR="0" wp14:anchorId="7B574AC2" wp14:editId="654F1BE2">
            <wp:extent cx="2381250" cy="420593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5921" cy="4231849"/>
                    </a:xfrm>
                    <a:prstGeom prst="rect">
                      <a:avLst/>
                    </a:prstGeom>
                  </pic:spPr>
                </pic:pic>
              </a:graphicData>
            </a:graphic>
          </wp:inline>
        </w:drawing>
      </w:r>
    </w:p>
    <w:p w14:paraId="1C30064E" w14:textId="3C392598" w:rsidR="003C2BD6" w:rsidRPr="003C2BD6" w:rsidRDefault="003C2BD6" w:rsidP="00E8708E">
      <w:pPr>
        <w:pStyle w:val="ListParagraph"/>
        <w:numPr>
          <w:ilvl w:val="0"/>
          <w:numId w:val="18"/>
        </w:numPr>
        <w:spacing w:line="360" w:lineRule="auto"/>
        <w:jc w:val="both"/>
        <w:rPr>
          <w:i/>
          <w:iCs/>
        </w:rPr>
      </w:pPr>
      <w:r w:rsidRPr="003C2BD6">
        <w:t>PMID</w:t>
      </w:r>
      <w:r w:rsidRPr="003C2BD6">
        <w:t xml:space="preserve"> -</w:t>
      </w:r>
      <w:r w:rsidRPr="003C2BD6">
        <w:t xml:space="preserve"> 25422753:</w:t>
      </w:r>
      <w:r w:rsidRPr="003C2BD6">
        <w:t xml:space="preserve"> </w:t>
      </w:r>
      <w:r w:rsidRPr="003C2BD6">
        <w:rPr>
          <w:i/>
          <w:iCs/>
        </w:rPr>
        <w:t>Antimicrobial susceptibility and analysis of macrolide resistance genes in Streptococcus pneumoniae isolated in Hamadan</w:t>
      </w:r>
    </w:p>
    <w:p w14:paraId="4DFA1EFA" w14:textId="058BED1E" w:rsidR="003C2BD6" w:rsidRDefault="003C2BD6" w:rsidP="00E8708E">
      <w:pPr>
        <w:pStyle w:val="ListParagraph"/>
        <w:numPr>
          <w:ilvl w:val="1"/>
          <w:numId w:val="18"/>
        </w:numPr>
        <w:spacing w:line="360" w:lineRule="auto"/>
        <w:jc w:val="both"/>
      </w:pPr>
      <w:r w:rsidRPr="003C2BD6">
        <w:t xml:space="preserve">The macrolide resistance genes of </w:t>
      </w:r>
      <w:proofErr w:type="spellStart"/>
      <w:r w:rsidRPr="003C2BD6">
        <w:t>ermB</w:t>
      </w:r>
      <w:proofErr w:type="spellEnd"/>
      <w:r w:rsidRPr="003C2BD6">
        <w:t xml:space="preserve"> and </w:t>
      </w:r>
      <w:proofErr w:type="spellStart"/>
      <w:r w:rsidRPr="003C2BD6">
        <w:t>mefA</w:t>
      </w:r>
      <w:proofErr w:type="spellEnd"/>
      <w:r w:rsidRPr="003C2BD6">
        <w:t xml:space="preserve"> were found in 10.9% and 18.2% of Clinical isolates of S. pneumoniae (n=55) collected from 400 </w:t>
      </w:r>
      <w:proofErr w:type="spellStart"/>
      <w:r w:rsidRPr="003C2BD6">
        <w:t>outpaients</w:t>
      </w:r>
      <w:proofErr w:type="spellEnd"/>
      <w:r w:rsidRPr="003C2BD6">
        <w:t xml:space="preserve"> samples</w:t>
      </w:r>
    </w:p>
    <w:p w14:paraId="04FE2156" w14:textId="77777777" w:rsidR="003C2BD6" w:rsidRDefault="003C2BD6" w:rsidP="00E8708E">
      <w:pPr>
        <w:pStyle w:val="ListParagraph"/>
        <w:spacing w:line="360" w:lineRule="auto"/>
        <w:ind w:left="360"/>
        <w:jc w:val="both"/>
      </w:pPr>
    </w:p>
    <w:p w14:paraId="64144C6C" w14:textId="370CE6C7" w:rsidR="003C2BD6" w:rsidRPr="003C2BD6" w:rsidRDefault="003C2BD6" w:rsidP="00E8708E">
      <w:pPr>
        <w:pStyle w:val="ListParagraph"/>
        <w:numPr>
          <w:ilvl w:val="0"/>
          <w:numId w:val="18"/>
        </w:numPr>
        <w:spacing w:line="360" w:lineRule="auto"/>
        <w:jc w:val="both"/>
      </w:pPr>
      <w:r w:rsidRPr="00C05A68">
        <w:t>PMID</w:t>
      </w:r>
      <w:r>
        <w:t xml:space="preserve"> – </w:t>
      </w:r>
      <w:r w:rsidRPr="00C05A68">
        <w:t>29669883</w:t>
      </w:r>
      <w:r>
        <w:t xml:space="preserve">: Jocelyn OP study - </w:t>
      </w:r>
      <w:r w:rsidRPr="003C2BD6">
        <w:rPr>
          <w:i/>
          <w:iCs/>
        </w:rPr>
        <w:t>Impact of Long-Term Erythromycin Therapy on the Oropharyngeal Microbiome and Resistance Gene Reservoir in Non-Cystic Fibrosis Bronchiectasis</w:t>
      </w:r>
    </w:p>
    <w:p w14:paraId="2C79BA85" w14:textId="5D74E487" w:rsidR="00E8708E" w:rsidRDefault="00E8708E" w:rsidP="00E8708E">
      <w:pPr>
        <w:pStyle w:val="ListParagraph"/>
        <w:numPr>
          <w:ilvl w:val="1"/>
          <w:numId w:val="18"/>
        </w:numPr>
        <w:spacing w:line="360" w:lineRule="auto"/>
        <w:jc w:val="both"/>
      </w:pPr>
      <w:r w:rsidRPr="00C05A68">
        <w:t xml:space="preserve">At baseline, the most commonly carried resistance gene was </w:t>
      </w:r>
      <w:proofErr w:type="spellStart"/>
      <w:r w:rsidRPr="00C05A68">
        <w:t>mef</w:t>
      </w:r>
      <w:proofErr w:type="spellEnd"/>
      <w:r w:rsidRPr="00C05A68">
        <w:t xml:space="preserve"> (detected in most subjects), while erm(B) (placebo = 53.6%, erythromycin = 60.5%) and erm(F) (placebo = 53.6%, erythromycin = 41.9%) were detected in approximately half of the subjects. Lower </w:t>
      </w:r>
      <w:r w:rsidRPr="00C05A68">
        <w:lastRenderedPageBreak/>
        <w:t xml:space="preserve">rates of carriage were observed for erm(C) (placebo = 17.1%, erythromycin = 11.6%) and erm(A) (placebo = 2.4%, erythromycin = 4.7%). </w:t>
      </w:r>
      <w:proofErr w:type="spellStart"/>
      <w:r w:rsidRPr="00C05A68">
        <w:t>msrA</w:t>
      </w:r>
      <w:proofErr w:type="spellEnd"/>
      <w:r w:rsidRPr="00C05A68">
        <w:t xml:space="preserve"> was detected in one subject at baseline</w:t>
      </w:r>
    </w:p>
    <w:p w14:paraId="54F54E9E" w14:textId="77777777" w:rsidR="00E8708E" w:rsidRPr="00CB3A82" w:rsidRDefault="00E8708E" w:rsidP="00E8708E">
      <w:pPr>
        <w:pStyle w:val="ListParagraph"/>
        <w:numPr>
          <w:ilvl w:val="1"/>
          <w:numId w:val="18"/>
        </w:numPr>
        <w:spacing w:line="360" w:lineRule="auto"/>
        <w:jc w:val="both"/>
      </w:pPr>
      <w:r>
        <w:rPr>
          <w:color w:val="000000"/>
          <w:shd w:val="clear" w:color="auto" w:fill="FFFFFF"/>
        </w:rPr>
        <w:t> Levels of both </w:t>
      </w:r>
      <w:r>
        <w:rPr>
          <w:rStyle w:val="Emphasis"/>
          <w:color w:val="000000"/>
          <w:shd w:val="clear" w:color="auto" w:fill="FFFFFF"/>
        </w:rPr>
        <w:t>erm</w:t>
      </w:r>
      <w:r>
        <w:rPr>
          <w:color w:val="000000"/>
          <w:shd w:val="clear" w:color="auto" w:fill="FFFFFF"/>
        </w:rPr>
        <w:t>(B) and </w:t>
      </w:r>
      <w:proofErr w:type="spellStart"/>
      <w:r>
        <w:rPr>
          <w:rStyle w:val="Emphasis"/>
          <w:color w:val="000000"/>
          <w:shd w:val="clear" w:color="auto" w:fill="FFFFFF"/>
        </w:rPr>
        <w:t>mef</w:t>
      </w:r>
      <w:proofErr w:type="spellEnd"/>
      <w:r>
        <w:rPr>
          <w:color w:val="000000"/>
          <w:shd w:val="clear" w:color="auto" w:fill="FFFFFF"/>
        </w:rPr>
        <w:t> increased significantly between baseline and week 48 in the treatment group</w:t>
      </w:r>
    </w:p>
    <w:p w14:paraId="5E6E45C4" w14:textId="51BA4683" w:rsidR="00E8708E" w:rsidRDefault="00E8708E" w:rsidP="00E8708E">
      <w:pPr>
        <w:pStyle w:val="ListParagraph"/>
        <w:numPr>
          <w:ilvl w:val="0"/>
          <w:numId w:val="18"/>
        </w:numPr>
        <w:spacing w:line="360" w:lineRule="auto"/>
        <w:jc w:val="both"/>
      </w:pPr>
      <w:r w:rsidRPr="00CB3A82">
        <w:t>PMID</w:t>
      </w:r>
      <w:r>
        <w:t xml:space="preserve"> - </w:t>
      </w:r>
      <w:r w:rsidRPr="00CB3A82">
        <w:t>32994137</w:t>
      </w:r>
      <w:r>
        <w:t>:</w:t>
      </w:r>
      <w:r>
        <w:t xml:space="preserve"> </w:t>
      </w:r>
      <w:r w:rsidRPr="00E8708E">
        <w:rPr>
          <w:i/>
          <w:iCs/>
        </w:rPr>
        <w:t>Emergence of macrolide-resistant Streptococcus pyogenes emm12 in southern Taiwan from 2000 to 2019</w:t>
      </w:r>
    </w:p>
    <w:p w14:paraId="722FFCD5" w14:textId="3D182C00" w:rsidR="00E8708E" w:rsidRDefault="00E8708E" w:rsidP="00E8708E">
      <w:pPr>
        <w:pStyle w:val="ListParagraph"/>
        <w:numPr>
          <w:ilvl w:val="1"/>
          <w:numId w:val="18"/>
        </w:numPr>
        <w:spacing w:line="360" w:lineRule="auto"/>
        <w:jc w:val="both"/>
      </w:pPr>
      <w:r>
        <w:t xml:space="preserve">In Taiwan from 2000 to 2019, study population: </w:t>
      </w:r>
      <w:r w:rsidRPr="00CB3A82">
        <w:t>children with upper respiratory tract infection (URTI)</w:t>
      </w:r>
      <w:r>
        <w:t xml:space="preserve">, 76.2% of them (93/122) carried </w:t>
      </w:r>
      <w:proofErr w:type="spellStart"/>
      <w:r>
        <w:t>ermB</w:t>
      </w:r>
      <w:proofErr w:type="spellEnd"/>
      <w:r>
        <w:t xml:space="preserve">, 19.7%(24/122) carried </w:t>
      </w:r>
      <w:proofErr w:type="spellStart"/>
      <w:r>
        <w:t>mefA</w:t>
      </w:r>
      <w:proofErr w:type="spellEnd"/>
      <w:r>
        <w:t xml:space="preserve">, 12.3% (15/122) carried </w:t>
      </w:r>
      <w:proofErr w:type="spellStart"/>
      <w:r>
        <w:t>tetO</w:t>
      </w:r>
      <w:proofErr w:type="spellEnd"/>
      <w:r>
        <w:t xml:space="preserve"> and 99.2%(121/122) carried </w:t>
      </w:r>
      <w:proofErr w:type="spellStart"/>
      <w:r>
        <w:t>tetM</w:t>
      </w:r>
      <w:proofErr w:type="spellEnd"/>
    </w:p>
    <w:p w14:paraId="46941757" w14:textId="4F585563" w:rsidR="00E8708E" w:rsidRDefault="00E8708E" w:rsidP="00E8708E">
      <w:pPr>
        <w:pStyle w:val="ListParagraph"/>
        <w:numPr>
          <w:ilvl w:val="0"/>
          <w:numId w:val="18"/>
        </w:numPr>
        <w:spacing w:line="360" w:lineRule="auto"/>
        <w:jc w:val="both"/>
      </w:pPr>
      <w:r w:rsidRPr="0075008A">
        <w:t>PMID</w:t>
      </w:r>
      <w:r>
        <w:t xml:space="preserve"> –</w:t>
      </w:r>
      <w:r w:rsidRPr="0075008A">
        <w:t xml:space="preserve"> 26989065</w:t>
      </w:r>
      <w:r>
        <w:t xml:space="preserve">: </w:t>
      </w:r>
      <w:r w:rsidRPr="00E8708E">
        <w:t>Tetracycline Antibiotics and Resistance</w:t>
      </w:r>
    </w:p>
    <w:p w14:paraId="0AD09A06" w14:textId="6302FD25" w:rsidR="00E8708E" w:rsidRDefault="00E8708E" w:rsidP="00E8708E">
      <w:pPr>
        <w:pStyle w:val="ListParagraph"/>
        <w:numPr>
          <w:ilvl w:val="1"/>
          <w:numId w:val="18"/>
        </w:numPr>
        <w:spacing w:line="360" w:lineRule="auto"/>
        <w:jc w:val="both"/>
      </w:pPr>
      <w:r>
        <w:t>G</w:t>
      </w:r>
      <w:r w:rsidRPr="00E8708E">
        <w:t>lobal tetracycline-resistance percentages were 8.7% and 24.3% for methicillin-resistant Staphylococcus aureus (MRSA) and Streptococcus pneumoniae, respectively (Mendes et al. 2015)</w:t>
      </w:r>
    </w:p>
    <w:p w14:paraId="36BF1415" w14:textId="2CFF7608" w:rsidR="00E8708E" w:rsidRPr="00E8708E" w:rsidRDefault="00E8708E" w:rsidP="00E8708E">
      <w:pPr>
        <w:pStyle w:val="ListParagraph"/>
        <w:numPr>
          <w:ilvl w:val="0"/>
          <w:numId w:val="18"/>
        </w:numPr>
        <w:spacing w:line="360" w:lineRule="auto"/>
        <w:jc w:val="both"/>
        <w:rPr>
          <w:i/>
          <w:iCs/>
        </w:rPr>
      </w:pPr>
      <w:r w:rsidRPr="002A26F7">
        <w:t>PMID</w:t>
      </w:r>
      <w:r>
        <w:t xml:space="preserve"> -</w:t>
      </w:r>
      <w:r w:rsidRPr="002A26F7">
        <w:t xml:space="preserve"> 27709102</w:t>
      </w:r>
      <w:r>
        <w:t>:</w:t>
      </w:r>
      <w:r w:rsidRPr="00E8708E">
        <w:t xml:space="preserve"> </w:t>
      </w:r>
      <w:r w:rsidRPr="00E8708E">
        <w:rPr>
          <w:i/>
          <w:iCs/>
        </w:rPr>
        <w:t>Macrolide Resistance in Streptococcus pneumoniae</w:t>
      </w:r>
    </w:p>
    <w:p w14:paraId="778D92E0" w14:textId="3B651FD9" w:rsidR="00E8708E" w:rsidRPr="00E8708E" w:rsidRDefault="00E8708E" w:rsidP="00E8708E">
      <w:pPr>
        <w:pStyle w:val="ListParagraph"/>
        <w:numPr>
          <w:ilvl w:val="1"/>
          <w:numId w:val="18"/>
        </w:numPr>
        <w:spacing w:line="360" w:lineRule="auto"/>
        <w:jc w:val="both"/>
      </w:pPr>
      <w:r>
        <w:t>M</w:t>
      </w:r>
      <w:r w:rsidRPr="00E8708E">
        <w:t xml:space="preserve">acrolide resistance gene distribution; the macrolide resistance gene carriage in different countries varied.  E.g. In Australia, only 32.4 % of people carried </w:t>
      </w:r>
      <w:proofErr w:type="spellStart"/>
      <w:r w:rsidRPr="00E8708E">
        <w:t>ermB</w:t>
      </w:r>
      <w:proofErr w:type="spellEnd"/>
      <w:r w:rsidRPr="00E8708E">
        <w:t>.</w:t>
      </w:r>
    </w:p>
    <w:p w14:paraId="5F5FDC6F" w14:textId="77777777" w:rsidR="00E8708E" w:rsidRDefault="00E8708E" w:rsidP="00E8708E">
      <w:pPr>
        <w:pStyle w:val="ListParagraph"/>
        <w:ind w:left="1080"/>
      </w:pPr>
    </w:p>
    <w:p w14:paraId="6F6C92CC" w14:textId="7EE3F03E" w:rsidR="0075008A" w:rsidRPr="0075008A" w:rsidRDefault="0075008A" w:rsidP="0075008A">
      <w:pPr>
        <w:pStyle w:val="ListParagraph"/>
        <w:numPr>
          <w:ilvl w:val="0"/>
          <w:numId w:val="18"/>
        </w:numPr>
      </w:pPr>
      <w:r w:rsidRPr="0075008A">
        <w:t>PMID: 15837373</w:t>
      </w:r>
      <w:r>
        <w:t xml:space="preserve">: </w:t>
      </w:r>
      <w:r w:rsidRPr="0075008A">
        <w:t xml:space="preserve">while in most previous studies &lt;10% of the Gram-negative isolates carried multiple </w:t>
      </w:r>
      <w:proofErr w:type="spellStart"/>
      <w:r w:rsidRPr="0075008A">
        <w:t>tet</w:t>
      </w:r>
      <w:proofErr w:type="spellEnd"/>
      <w:r w:rsidRPr="0075008A">
        <w:t xml:space="preserve"> genes [1], [8], [39]. This may be changing. One recent study of E. coli O157:H7 isolates found four (33%) of the 12 human </w:t>
      </w:r>
      <w:proofErr w:type="spellStart"/>
      <w:r w:rsidRPr="0075008A">
        <w:t>Tcr</w:t>
      </w:r>
      <w:proofErr w:type="spellEnd"/>
      <w:r w:rsidRPr="0075008A">
        <w:t xml:space="preserve"> isolates, with known </w:t>
      </w:r>
      <w:proofErr w:type="spellStart"/>
      <w:r w:rsidRPr="0075008A">
        <w:t>tet</w:t>
      </w:r>
      <w:proofErr w:type="spellEnd"/>
      <w:r w:rsidRPr="0075008A">
        <w:t xml:space="preserve"> genes, carried two different </w:t>
      </w:r>
      <w:proofErr w:type="spellStart"/>
      <w:r w:rsidRPr="0075008A">
        <w:t>tet</w:t>
      </w:r>
      <w:proofErr w:type="spellEnd"/>
      <w:r w:rsidRPr="0075008A">
        <w:t xml:space="preserve"> genes [1</w:t>
      </w:r>
      <w:r>
        <w:t>9].</w:t>
      </w:r>
      <w:r w:rsidRPr="0075008A">
        <w:t xml:space="preserve"> These studies suggest that multiple </w:t>
      </w:r>
      <w:proofErr w:type="spellStart"/>
      <w:r w:rsidRPr="0075008A">
        <w:t>tet</w:t>
      </w:r>
      <w:proofErr w:type="spellEnd"/>
      <w:r w:rsidRPr="0075008A">
        <w:t xml:space="preserve"> genes can represent &gt;10% of the </w:t>
      </w:r>
      <w:proofErr w:type="spellStart"/>
      <w:r w:rsidRPr="0075008A">
        <w:t>Tcr</w:t>
      </w:r>
      <w:proofErr w:type="spellEnd"/>
      <w:r w:rsidRPr="0075008A">
        <w:t xml:space="preserve"> Gram-negative population in some ecosystems and this should be considered whenever characterization of </w:t>
      </w:r>
      <w:proofErr w:type="spellStart"/>
      <w:r w:rsidRPr="0075008A">
        <w:t>tet</w:t>
      </w:r>
      <w:proofErr w:type="spellEnd"/>
      <w:r w:rsidRPr="0075008A">
        <w:t xml:space="preserve"> genes are determined.</w:t>
      </w:r>
    </w:p>
    <w:p w14:paraId="3068D274" w14:textId="54E9AC8D" w:rsidR="0075008A" w:rsidRPr="00CB3A82" w:rsidRDefault="0075008A" w:rsidP="00CB3A82">
      <w:pPr>
        <w:pStyle w:val="ListParagraph"/>
        <w:numPr>
          <w:ilvl w:val="0"/>
          <w:numId w:val="18"/>
        </w:numPr>
      </w:pPr>
      <w:r w:rsidRPr="0075008A">
        <w:t xml:space="preserve">PMID: 19862477 </w:t>
      </w:r>
      <w:r>
        <w:t xml:space="preserve">: </w:t>
      </w:r>
      <w:r w:rsidRPr="0075008A">
        <w:t>In a sampling for resistance determinants in diverse soils from various regions of the world, we showed a wide dispersion of antibiotic resistance, and the data on tetracyclines were informative [67]. Of 482 strains tested, 286 strains were found to be resistant to tetracyclines; ~60% of the strains in the sample.</w:t>
      </w:r>
    </w:p>
    <w:p w14:paraId="3B67DAA8" w14:textId="1A3C4024" w:rsidR="00E8708E" w:rsidRDefault="00E8708E" w:rsidP="00E8708E">
      <w:pPr>
        <w:pStyle w:val="ListParagraph"/>
        <w:ind w:left="0"/>
        <w:jc w:val="both"/>
      </w:pPr>
    </w:p>
    <w:p w14:paraId="14756824" w14:textId="7728F65B" w:rsidR="00E8708E" w:rsidRDefault="00E8708E" w:rsidP="00E8708E">
      <w:pPr>
        <w:pStyle w:val="ListParagraph"/>
        <w:ind w:left="0"/>
        <w:jc w:val="both"/>
      </w:pPr>
    </w:p>
    <w:p w14:paraId="797FF39F" w14:textId="3CB210A0" w:rsidR="00E8708E" w:rsidRDefault="00E8708E" w:rsidP="00E8708E">
      <w:pPr>
        <w:pStyle w:val="ListParagraph"/>
        <w:ind w:left="0"/>
        <w:jc w:val="both"/>
      </w:pPr>
    </w:p>
    <w:p w14:paraId="16349954" w14:textId="7AEADEC3" w:rsidR="00E8708E" w:rsidRDefault="00E8708E" w:rsidP="00E8708E">
      <w:pPr>
        <w:pStyle w:val="ListParagraph"/>
        <w:ind w:left="0"/>
        <w:jc w:val="both"/>
      </w:pPr>
    </w:p>
    <w:p w14:paraId="1F70E856" w14:textId="498DEAB5" w:rsidR="00E8708E" w:rsidRDefault="00E8708E" w:rsidP="00E8708E">
      <w:pPr>
        <w:pStyle w:val="ListParagraph"/>
        <w:ind w:left="0"/>
        <w:jc w:val="both"/>
      </w:pPr>
    </w:p>
    <w:p w14:paraId="6471F5D2" w14:textId="02F071DA" w:rsidR="00E8708E" w:rsidRDefault="00E8708E" w:rsidP="00E8708E">
      <w:pPr>
        <w:pStyle w:val="ListParagraph"/>
        <w:ind w:left="0"/>
        <w:jc w:val="both"/>
      </w:pPr>
    </w:p>
    <w:p w14:paraId="5D4C75A3" w14:textId="5949C5F5" w:rsidR="00E8708E" w:rsidRDefault="00E8708E" w:rsidP="00E8708E">
      <w:pPr>
        <w:pStyle w:val="ListParagraph"/>
        <w:ind w:left="0"/>
        <w:jc w:val="both"/>
      </w:pPr>
    </w:p>
    <w:p w14:paraId="7E3C2D61" w14:textId="65A5D939" w:rsidR="00E8708E" w:rsidRDefault="00E8708E" w:rsidP="00E8708E">
      <w:pPr>
        <w:pStyle w:val="ListParagraph"/>
        <w:ind w:left="0"/>
        <w:jc w:val="both"/>
      </w:pPr>
    </w:p>
    <w:p w14:paraId="268B4AA2" w14:textId="48BAE40B" w:rsidR="00E8708E" w:rsidRDefault="00E8708E" w:rsidP="00E8708E">
      <w:pPr>
        <w:pStyle w:val="ListParagraph"/>
        <w:ind w:left="0"/>
        <w:jc w:val="both"/>
      </w:pPr>
    </w:p>
    <w:p w14:paraId="44CB66DE" w14:textId="4A362991" w:rsidR="00E8708E" w:rsidRDefault="00E8708E" w:rsidP="00E8708E">
      <w:pPr>
        <w:pStyle w:val="ListParagraph"/>
        <w:ind w:left="0"/>
        <w:jc w:val="both"/>
      </w:pPr>
    </w:p>
    <w:p w14:paraId="1AE56E21" w14:textId="6EBEA248" w:rsidR="00E8708E" w:rsidRDefault="00E8708E" w:rsidP="00E8708E">
      <w:pPr>
        <w:pStyle w:val="ListParagraph"/>
        <w:ind w:left="0"/>
        <w:jc w:val="both"/>
      </w:pPr>
    </w:p>
    <w:p w14:paraId="22648A23" w14:textId="06141C70" w:rsidR="00E8708E" w:rsidRDefault="00E8708E" w:rsidP="00E8708E">
      <w:pPr>
        <w:pStyle w:val="ListParagraph"/>
        <w:ind w:left="0"/>
        <w:jc w:val="both"/>
      </w:pPr>
    </w:p>
    <w:p w14:paraId="4C939F3F" w14:textId="56511452" w:rsidR="00E8708E" w:rsidRDefault="00E8708E" w:rsidP="00E8708E">
      <w:pPr>
        <w:pStyle w:val="ListParagraph"/>
        <w:ind w:left="0"/>
        <w:jc w:val="both"/>
      </w:pPr>
    </w:p>
    <w:p w14:paraId="7F855EDC" w14:textId="49385E62" w:rsidR="00E8708E" w:rsidRPr="00E8708E" w:rsidRDefault="00E8708E" w:rsidP="00E8708E">
      <w:pPr>
        <w:pStyle w:val="ListParagraph"/>
        <w:ind w:left="0"/>
        <w:jc w:val="center"/>
        <w:rPr>
          <w:b/>
          <w:bCs/>
          <w:sz w:val="24"/>
          <w:szCs w:val="24"/>
        </w:rPr>
      </w:pPr>
      <w:r w:rsidRPr="00E8708E">
        <w:rPr>
          <w:b/>
          <w:bCs/>
          <w:sz w:val="24"/>
          <w:szCs w:val="24"/>
        </w:rPr>
        <w:lastRenderedPageBreak/>
        <w:t>Prevalence of macrolide resistance gene in global</w:t>
      </w:r>
    </w:p>
    <w:p w14:paraId="03056228" w14:textId="77777777" w:rsidR="00E8708E" w:rsidRDefault="00E8708E" w:rsidP="00E8708E">
      <w:pPr>
        <w:pStyle w:val="ListParagraph"/>
        <w:ind w:left="0"/>
        <w:jc w:val="both"/>
      </w:pPr>
    </w:p>
    <w:p w14:paraId="001177B0" w14:textId="4E32C7F7" w:rsidR="00AD516B" w:rsidRDefault="00E8708E" w:rsidP="00E8708E">
      <w:pPr>
        <w:jc w:val="center"/>
      </w:pPr>
      <w:r>
        <w:rPr>
          <w:noProof/>
        </w:rPr>
        <w:drawing>
          <wp:inline distT="0" distB="0" distL="0" distR="0" wp14:anchorId="0D2E2D85" wp14:editId="39129F6A">
            <wp:extent cx="5144811" cy="7856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681" cy="7868887"/>
                    </a:xfrm>
                    <a:prstGeom prst="rect">
                      <a:avLst/>
                    </a:prstGeom>
                    <a:noFill/>
                    <a:ln>
                      <a:noFill/>
                    </a:ln>
                  </pic:spPr>
                </pic:pic>
              </a:graphicData>
            </a:graphic>
          </wp:inline>
        </w:drawing>
      </w:r>
    </w:p>
    <w:p w14:paraId="3AFE033C" w14:textId="77777777" w:rsidR="00AD516B" w:rsidRDefault="00AD516B" w:rsidP="00C97C6C">
      <w:pPr>
        <w:jc w:val="both"/>
      </w:pPr>
      <w:bookmarkStart w:id="0" w:name="_GoBack"/>
      <w:bookmarkEnd w:id="0"/>
    </w:p>
    <w:p w14:paraId="69D6257D" w14:textId="5213B973" w:rsidR="00AD516B" w:rsidRDefault="00AD516B" w:rsidP="00C97C6C">
      <w:pPr>
        <w:jc w:val="both"/>
        <w:sectPr w:rsidR="00AD516B">
          <w:pgSz w:w="11906" w:h="16838"/>
          <w:pgMar w:top="1440" w:right="1440" w:bottom="1440" w:left="1440" w:header="708" w:footer="708" w:gutter="0"/>
          <w:cols w:space="708"/>
          <w:docGrid w:linePitch="360"/>
        </w:sectPr>
      </w:pPr>
    </w:p>
    <w:p w14:paraId="57691802" w14:textId="77777777" w:rsidR="00862517" w:rsidRPr="004423C9" w:rsidRDefault="00862517" w:rsidP="009665F5">
      <w:pPr>
        <w:pStyle w:val="PlainText"/>
        <w:numPr>
          <w:ilvl w:val="0"/>
          <w:numId w:val="14"/>
        </w:numPr>
        <w:shd w:val="clear" w:color="auto" w:fill="FFF2CC" w:themeFill="accent4" w:themeFillTint="33"/>
        <w:spacing w:line="360" w:lineRule="auto"/>
        <w:jc w:val="both"/>
        <w:rPr>
          <w:rFonts w:ascii="Times New Roman" w:hAnsi="Times New Roman" w:cs="Times New Roman"/>
          <w:b/>
          <w:bCs/>
        </w:rPr>
      </w:pPr>
      <w:r w:rsidRPr="004423C9">
        <w:rPr>
          <w:rFonts w:ascii="Times New Roman" w:hAnsi="Times New Roman" w:cs="Times New Roman"/>
        </w:rPr>
        <w:lastRenderedPageBreak/>
        <w:t xml:space="preserve">That “long-term term antibiotic macrolide therapy was not associated with increased risk of acquiring macrolide resistance genes”. A major shortcoming is that only macrolide/tetracycline resistance was assessed. Macrolide exposure can co-select for other resistance genes which may be an even greater concern (thinking of MDR plasmids etc.). </w:t>
      </w:r>
    </w:p>
    <w:p w14:paraId="75CAEF46" w14:textId="77777777" w:rsidR="00862517" w:rsidRPr="004423C9" w:rsidRDefault="00862517" w:rsidP="00862517">
      <w:pPr>
        <w:pStyle w:val="PlainText"/>
        <w:spacing w:line="360" w:lineRule="auto"/>
        <w:jc w:val="both"/>
        <w:rPr>
          <w:rFonts w:ascii="Times New Roman" w:hAnsi="Times New Roman" w:cs="Times New Roman"/>
        </w:rPr>
      </w:pPr>
      <w:r w:rsidRPr="004423C9">
        <w:rPr>
          <w:rFonts w:ascii="Times New Roman" w:hAnsi="Times New Roman" w:cs="Times New Roman"/>
        </w:rPr>
        <w:t>Tet genes are found on plasmids</w:t>
      </w:r>
    </w:p>
    <w:p w14:paraId="054A3583" w14:textId="77777777" w:rsidR="00862517" w:rsidRPr="004423C9" w:rsidRDefault="00862517" w:rsidP="00862517">
      <w:pPr>
        <w:pStyle w:val="PlainText"/>
        <w:spacing w:line="360" w:lineRule="auto"/>
        <w:jc w:val="both"/>
        <w:rPr>
          <w:rFonts w:ascii="Times New Roman" w:hAnsi="Times New Roman" w:cs="Times New Roman"/>
        </w:rPr>
      </w:pPr>
      <w:r w:rsidRPr="004423C9">
        <w:rPr>
          <w:rFonts w:ascii="Times New Roman" w:hAnsi="Times New Roman" w:cs="Times New Roman"/>
        </w:rPr>
        <w:t xml:space="preserve">Describe how you identified these genes </w:t>
      </w:r>
    </w:p>
    <w:p w14:paraId="4AD1130F" w14:textId="77777777" w:rsidR="00862517" w:rsidRDefault="00862517" w:rsidP="00C97C6C">
      <w:pPr>
        <w:jc w:val="both"/>
      </w:pPr>
    </w:p>
    <w:p w14:paraId="73D4E46A" w14:textId="77777777" w:rsidR="00862517" w:rsidRDefault="00862517" w:rsidP="00C97C6C">
      <w:pPr>
        <w:jc w:val="both"/>
      </w:pPr>
    </w:p>
    <w:p w14:paraId="118D1596" w14:textId="51D502AF" w:rsidR="00862517" w:rsidRDefault="00862517" w:rsidP="00C97C6C">
      <w:pPr>
        <w:jc w:val="both"/>
        <w:sectPr w:rsidR="00862517">
          <w:pgSz w:w="11906" w:h="16838"/>
          <w:pgMar w:top="1440" w:right="1440" w:bottom="1440" w:left="1440" w:header="708" w:footer="708" w:gutter="0"/>
          <w:cols w:space="708"/>
          <w:docGrid w:linePitch="360"/>
        </w:sectPr>
      </w:pPr>
    </w:p>
    <w:p w14:paraId="457AE805" w14:textId="77777777" w:rsidR="00862517" w:rsidRDefault="00862517" w:rsidP="009665F5">
      <w:pPr>
        <w:pStyle w:val="PlainText"/>
        <w:numPr>
          <w:ilvl w:val="0"/>
          <w:numId w:val="14"/>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lastRenderedPageBreak/>
        <w:t xml:space="preserve">Further, the lung microbiome is relatively stable under antibiotic treatment and the gut is less so. The impact of macrolides on the </w:t>
      </w:r>
      <w:r w:rsidRPr="004423C9">
        <w:rPr>
          <w:rFonts w:ascii="Times New Roman" w:hAnsi="Times New Roman" w:cs="Times New Roman"/>
          <w:highlight w:val="yellow"/>
        </w:rPr>
        <w:t>gut</w:t>
      </w:r>
      <w:r w:rsidRPr="00C2120F">
        <w:rPr>
          <w:rFonts w:ascii="Times New Roman" w:hAnsi="Times New Roman" w:cs="Times New Roman"/>
        </w:rPr>
        <w:t xml:space="preserve"> may be much more relevant </w:t>
      </w:r>
      <w:bookmarkStart w:id="1" w:name="_Hlk88222426"/>
      <w:r w:rsidRPr="00C2120F">
        <w:rPr>
          <w:rFonts w:ascii="Times New Roman" w:hAnsi="Times New Roman" w:cs="Times New Roman"/>
        </w:rPr>
        <w:t>in terms of potential transmission of resistance</w:t>
      </w:r>
      <w:bookmarkEnd w:id="1"/>
      <w:r w:rsidRPr="00C2120F">
        <w:rPr>
          <w:rFonts w:ascii="Times New Roman" w:hAnsi="Times New Roman" w:cs="Times New Roman"/>
        </w:rPr>
        <w:t>. I understand that the focus is on the airway but what happens in the gut seldom stays in the gut, where resistance is concerned.</w:t>
      </w:r>
    </w:p>
    <w:p w14:paraId="1723D479" w14:textId="77777777" w:rsidR="00862517" w:rsidRPr="00C2120F" w:rsidRDefault="00862517" w:rsidP="00862517">
      <w:pPr>
        <w:pStyle w:val="PlainText"/>
        <w:spacing w:line="360"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matergut</w:t>
      </w:r>
      <w:proofErr w:type="spellEnd"/>
    </w:p>
    <w:p w14:paraId="005B8768" w14:textId="77777777" w:rsidR="002B2ED5" w:rsidRDefault="002B2ED5" w:rsidP="00C97C6C">
      <w:pPr>
        <w:jc w:val="both"/>
        <w:sectPr w:rsidR="002B2ED5">
          <w:pgSz w:w="11906" w:h="16838"/>
          <w:pgMar w:top="1440" w:right="1440" w:bottom="1440" w:left="1440" w:header="708" w:footer="708" w:gutter="0"/>
          <w:cols w:space="708"/>
          <w:docGrid w:linePitch="360"/>
        </w:sectPr>
      </w:pPr>
    </w:p>
    <w:p w14:paraId="52666291" w14:textId="77777777" w:rsidR="002B2ED5" w:rsidRPr="00C2120F" w:rsidRDefault="002B2ED5" w:rsidP="002B2ED5">
      <w:pPr>
        <w:pStyle w:val="PlainText"/>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lastRenderedPageBreak/>
        <w:t>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041C4B94" w14:textId="3CE040F3" w:rsidR="00C97C6C" w:rsidRDefault="00C97C6C" w:rsidP="00C97C6C">
      <w:pPr>
        <w:jc w:val="both"/>
      </w:pPr>
    </w:p>
    <w:p w14:paraId="02287E33" w14:textId="27F32E14" w:rsidR="002B2ED5" w:rsidRDefault="002B2ED5" w:rsidP="002B2ED5">
      <w:pPr>
        <w:pStyle w:val="ListParagraph"/>
        <w:ind w:left="0"/>
        <w:jc w:val="both"/>
      </w:pPr>
      <w:r>
        <w:t># Point to the strength of the study</w:t>
      </w:r>
    </w:p>
    <w:p w14:paraId="373B7BD9" w14:textId="65A34078" w:rsidR="002B2ED5" w:rsidRDefault="002B2ED5" w:rsidP="002B2ED5">
      <w:pPr>
        <w:pStyle w:val="ListParagraph"/>
        <w:ind w:left="0"/>
        <w:jc w:val="both"/>
      </w:pPr>
      <w:r>
        <w:t># Cover letter could help</w:t>
      </w:r>
    </w:p>
    <w:p w14:paraId="42ED37AD" w14:textId="217DB9E5" w:rsidR="002B2ED5" w:rsidRDefault="002B2ED5" w:rsidP="002B2ED5">
      <w:pPr>
        <w:pStyle w:val="ListParagraph"/>
        <w:ind w:left="0"/>
        <w:jc w:val="both"/>
      </w:pPr>
    </w:p>
    <w:p w14:paraId="4A02EF06" w14:textId="77777777" w:rsidR="002B2ED5" w:rsidRDefault="002B2ED5" w:rsidP="002B2ED5">
      <w:pPr>
        <w:pStyle w:val="ListParagraph"/>
        <w:ind w:left="0"/>
        <w:jc w:val="both"/>
        <w:sectPr w:rsidR="002B2ED5">
          <w:pgSz w:w="11906" w:h="16838"/>
          <w:pgMar w:top="1440" w:right="1440" w:bottom="1440" w:left="1440" w:header="708" w:footer="708" w:gutter="0"/>
          <w:cols w:space="708"/>
          <w:docGrid w:linePitch="360"/>
        </w:sectPr>
      </w:pPr>
    </w:p>
    <w:p w14:paraId="01C832A7" w14:textId="77777777" w:rsidR="002B2ED5" w:rsidRPr="002B2ED5" w:rsidRDefault="002B2ED5" w:rsidP="002B2ED5">
      <w:pPr>
        <w:spacing w:line="360" w:lineRule="auto"/>
        <w:jc w:val="both"/>
        <w:rPr>
          <w:rFonts w:ascii="Times New Roman" w:hAnsi="Times New Roman" w:cs="Times New Roman"/>
          <w:b/>
          <w:bCs/>
          <w:sz w:val="24"/>
          <w:szCs w:val="24"/>
        </w:rPr>
      </w:pPr>
      <w:r w:rsidRPr="002B2ED5">
        <w:rPr>
          <w:rFonts w:ascii="Times New Roman" w:hAnsi="Times New Roman" w:cs="Times New Roman"/>
          <w:b/>
          <w:bCs/>
          <w:sz w:val="24"/>
          <w:szCs w:val="24"/>
        </w:rPr>
        <w:lastRenderedPageBreak/>
        <w:t xml:space="preserve">Reviewer 3: </w:t>
      </w:r>
    </w:p>
    <w:p w14:paraId="784BD814" w14:textId="77777777" w:rsidR="002B2ED5" w:rsidRDefault="002B2ED5" w:rsidP="002B2ED5">
      <w:pPr>
        <w:pStyle w:val="PlainText"/>
        <w:spacing w:line="360" w:lineRule="auto"/>
        <w:jc w:val="both"/>
        <w:rPr>
          <w:rFonts w:ascii="Times New Roman" w:hAnsi="Times New Roman" w:cs="Times New Roman"/>
        </w:rPr>
      </w:pPr>
      <w:r w:rsidRPr="00436D43">
        <w:rPr>
          <w:rFonts w:ascii="Times New Roman" w:hAnsi="Times New Roman" w:cs="Times New Roman"/>
        </w:rPr>
        <w:t>The authors address the issue of whether long term macrolide therapy increases macrolide resistance and whether macrolide resistance increases in close contacts. There are a number of papers showing increased macrolide resistance and resistance genes with macrolide use, so the novelty lies in the issue of whether this spread.</w:t>
      </w:r>
    </w:p>
    <w:p w14:paraId="6F515C0F" w14:textId="40D7D690" w:rsidR="002B2ED5" w:rsidRDefault="002B2ED5" w:rsidP="002B2ED5">
      <w:pPr>
        <w:pStyle w:val="ListParagraph"/>
        <w:ind w:left="0"/>
        <w:jc w:val="both"/>
      </w:pPr>
    </w:p>
    <w:p w14:paraId="7F9FC2DD" w14:textId="77777777" w:rsidR="002B2ED5"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2F0385FB" w14:textId="77777777" w:rsidR="002B2ED5" w:rsidRDefault="002B2ED5" w:rsidP="002B2ED5">
      <w:pPr>
        <w:pStyle w:val="PlainText"/>
        <w:spacing w:line="360" w:lineRule="auto"/>
        <w:jc w:val="both"/>
        <w:rPr>
          <w:rFonts w:ascii="Times New Roman" w:hAnsi="Times New Roman" w:cs="Times New Roman"/>
          <w:b/>
          <w:bCs/>
        </w:rPr>
      </w:pPr>
    </w:p>
    <w:p w14:paraId="3537C507" w14:textId="77777777" w:rsidR="002B2ED5" w:rsidRPr="004423C9" w:rsidRDefault="002B2ED5" w:rsidP="002B2ED5">
      <w:pPr>
        <w:pStyle w:val="PlainText"/>
        <w:numPr>
          <w:ilvl w:val="0"/>
          <w:numId w:val="10"/>
        </w:numPr>
        <w:spacing w:line="360" w:lineRule="auto"/>
        <w:jc w:val="both"/>
        <w:rPr>
          <w:rFonts w:ascii="Times New Roman" w:hAnsi="Times New Roman" w:cs="Times New Roman"/>
        </w:rPr>
      </w:pPr>
      <w:r w:rsidRPr="004423C9">
        <w:rPr>
          <w:rFonts w:ascii="Times New Roman" w:hAnsi="Times New Roman" w:cs="Times New Roman"/>
        </w:rPr>
        <w:t>We recognise this issue</w:t>
      </w:r>
    </w:p>
    <w:p w14:paraId="378E6507" w14:textId="77777777" w:rsidR="002B2ED5" w:rsidRPr="004423C9" w:rsidRDefault="002B2ED5" w:rsidP="002B2ED5">
      <w:pPr>
        <w:pStyle w:val="PlainText"/>
        <w:numPr>
          <w:ilvl w:val="0"/>
          <w:numId w:val="10"/>
        </w:numPr>
        <w:spacing w:line="360" w:lineRule="auto"/>
        <w:jc w:val="both"/>
        <w:rPr>
          <w:rFonts w:ascii="Times New Roman" w:hAnsi="Times New Roman" w:cs="Times New Roman"/>
        </w:rPr>
      </w:pPr>
      <w:r w:rsidRPr="004423C9">
        <w:rPr>
          <w:rFonts w:ascii="Times New Roman" w:hAnsi="Times New Roman" w:cs="Times New Roman"/>
        </w:rPr>
        <w:t>It is a complex issue where both contribute to our understanding</w:t>
      </w:r>
    </w:p>
    <w:p w14:paraId="6CC67BF5" w14:textId="77777777" w:rsidR="002B2ED5" w:rsidRPr="004423C9" w:rsidRDefault="002B2ED5" w:rsidP="002B2ED5">
      <w:pPr>
        <w:pStyle w:val="PlainText"/>
        <w:numPr>
          <w:ilvl w:val="0"/>
          <w:numId w:val="10"/>
        </w:numPr>
        <w:spacing w:line="360" w:lineRule="auto"/>
        <w:jc w:val="both"/>
        <w:rPr>
          <w:rFonts w:ascii="Times New Roman" w:hAnsi="Times New Roman" w:cs="Times New Roman"/>
        </w:rPr>
      </w:pPr>
      <w:r w:rsidRPr="004423C9">
        <w:rPr>
          <w:rFonts w:ascii="Times New Roman" w:hAnsi="Times New Roman" w:cs="Times New Roman"/>
        </w:rPr>
        <w:t>We define these as … Within the author team, we have discussed this at length</w:t>
      </w:r>
    </w:p>
    <w:p w14:paraId="158E4B9C" w14:textId="77777777" w:rsidR="002B2ED5" w:rsidRPr="004423C9" w:rsidRDefault="002B2ED5" w:rsidP="002B2ED5">
      <w:pPr>
        <w:pStyle w:val="PlainText"/>
        <w:numPr>
          <w:ilvl w:val="0"/>
          <w:numId w:val="10"/>
        </w:numPr>
        <w:spacing w:line="360" w:lineRule="auto"/>
        <w:jc w:val="both"/>
        <w:rPr>
          <w:rFonts w:ascii="Times New Roman" w:hAnsi="Times New Roman" w:cs="Times New Roman"/>
        </w:rPr>
      </w:pPr>
      <w:r w:rsidRPr="004423C9">
        <w:rPr>
          <w:rFonts w:ascii="Times New Roman" w:hAnsi="Times New Roman" w:cs="Times New Roman"/>
        </w:rPr>
        <w:t>In response, we have [included definitions of each term]</w:t>
      </w:r>
    </w:p>
    <w:p w14:paraId="2CCA6AFA" w14:textId="77777777" w:rsidR="002B2ED5" w:rsidRDefault="002B2ED5" w:rsidP="002B2ED5">
      <w:pPr>
        <w:pStyle w:val="ListParagraph"/>
        <w:ind w:left="0"/>
        <w:jc w:val="both"/>
        <w:sectPr w:rsidR="002B2ED5">
          <w:pgSz w:w="11906" w:h="16838"/>
          <w:pgMar w:top="1440" w:right="1440" w:bottom="1440" w:left="1440" w:header="708" w:footer="708" w:gutter="0"/>
          <w:cols w:space="708"/>
          <w:docGrid w:linePitch="360"/>
        </w:sectPr>
      </w:pPr>
    </w:p>
    <w:p w14:paraId="6C76B848" w14:textId="77777777" w:rsidR="002B2ED5"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lastRenderedPageBreak/>
        <w:t xml:space="preserve">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r w:rsidRPr="00436D43">
        <w:rPr>
          <w:rFonts w:ascii="Times New Roman" w:hAnsi="Times New Roman" w:cs="Times New Roman"/>
        </w:rPr>
        <w:t>S.pneumoniae</w:t>
      </w:r>
      <w:proofErr w:type="spellEnd"/>
      <w:r w:rsidRPr="00436D43">
        <w:rPr>
          <w:rFonts w:ascii="Times New Roman" w:hAnsi="Times New Roman" w:cs="Times New Roman"/>
        </w:rPr>
        <w:t xml:space="preserve"> and other common streptococci.</w:t>
      </w:r>
    </w:p>
    <w:p w14:paraId="21889C97" w14:textId="77777777" w:rsidR="002B2ED5" w:rsidRDefault="002B2ED5" w:rsidP="002B2ED5">
      <w:pPr>
        <w:pStyle w:val="PlainText"/>
        <w:spacing w:line="360" w:lineRule="auto"/>
        <w:jc w:val="both"/>
        <w:rPr>
          <w:rFonts w:ascii="Times New Roman" w:hAnsi="Times New Roman" w:cs="Times New Roman"/>
        </w:rPr>
      </w:pPr>
      <w:r>
        <w:rPr>
          <w:rFonts w:ascii="Times New Roman" w:hAnsi="Times New Roman" w:cs="Times New Roman"/>
        </w:rPr>
        <w:t>* For discussion with Rachel and Lucy’s</w:t>
      </w:r>
    </w:p>
    <w:p w14:paraId="10B26030" w14:textId="77777777" w:rsidR="002B2ED5" w:rsidRDefault="002B2ED5" w:rsidP="002B2ED5">
      <w:pPr>
        <w:pStyle w:val="ListParagraph"/>
        <w:ind w:left="0"/>
        <w:jc w:val="both"/>
        <w:sectPr w:rsidR="002B2ED5">
          <w:pgSz w:w="11906" w:h="16838"/>
          <w:pgMar w:top="1440" w:right="1440" w:bottom="1440" w:left="1440" w:header="708" w:footer="708" w:gutter="0"/>
          <w:cols w:space="708"/>
          <w:docGrid w:linePitch="360"/>
        </w:sectPr>
      </w:pPr>
    </w:p>
    <w:p w14:paraId="2620BBB3" w14:textId="77777777" w:rsidR="002B2ED5"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lastRenderedPageBreak/>
        <w:t>There is no comment about whether the close contacts had administration of macrolides within a reasonable period (say 12 months) of sampling.  With not vast numbers, this is a potential confounding variable.</w:t>
      </w:r>
    </w:p>
    <w:p w14:paraId="50CD8696" w14:textId="77777777" w:rsidR="002B2ED5" w:rsidRDefault="002B2ED5" w:rsidP="002B2ED5">
      <w:pPr>
        <w:pStyle w:val="PlainText"/>
        <w:spacing w:line="360" w:lineRule="auto"/>
        <w:jc w:val="both"/>
        <w:rPr>
          <w:rFonts w:ascii="Times New Roman" w:hAnsi="Times New Roman" w:cs="Times New Roman"/>
        </w:rPr>
      </w:pPr>
    </w:p>
    <w:p w14:paraId="77B10A0C" w14:textId="77777777" w:rsidR="002B2ED5" w:rsidRDefault="002B2ED5" w:rsidP="002B2ED5">
      <w:pPr>
        <w:pStyle w:val="PlainText"/>
        <w:spacing w:line="360" w:lineRule="auto"/>
        <w:jc w:val="both"/>
        <w:rPr>
          <w:rFonts w:ascii="Times New Roman" w:hAnsi="Times New Roman" w:cs="Times New Roman"/>
        </w:rPr>
      </w:pPr>
      <w:r>
        <w:rPr>
          <w:rFonts w:ascii="Times New Roman" w:hAnsi="Times New Roman" w:cs="Times New Roman"/>
        </w:rPr>
        <w:t>* we included in online supplement</w:t>
      </w:r>
    </w:p>
    <w:p w14:paraId="5DDB5B3B" w14:textId="77777777" w:rsidR="002B2ED5" w:rsidRDefault="002B2ED5" w:rsidP="002B2ED5">
      <w:pPr>
        <w:pStyle w:val="PlainText"/>
        <w:spacing w:line="360" w:lineRule="auto"/>
        <w:jc w:val="both"/>
        <w:rPr>
          <w:rFonts w:ascii="Times New Roman" w:hAnsi="Times New Roman" w:cs="Times New Roman"/>
        </w:rPr>
      </w:pPr>
      <w:r>
        <w:rPr>
          <w:rFonts w:ascii="Times New Roman" w:hAnsi="Times New Roman" w:cs="Times New Roman"/>
        </w:rPr>
        <w:t>* This is an important feature of the study</w:t>
      </w:r>
    </w:p>
    <w:p w14:paraId="4347BD6D" w14:textId="77777777" w:rsidR="002B2ED5" w:rsidRDefault="002B2ED5" w:rsidP="002B2ED5">
      <w:pPr>
        <w:pStyle w:val="PlainText"/>
        <w:spacing w:line="360" w:lineRule="auto"/>
        <w:jc w:val="both"/>
        <w:rPr>
          <w:rFonts w:ascii="Times New Roman" w:hAnsi="Times New Roman" w:cs="Times New Roman"/>
        </w:rPr>
      </w:pPr>
      <w:r>
        <w:rPr>
          <w:rFonts w:ascii="Times New Roman" w:hAnsi="Times New Roman" w:cs="Times New Roman"/>
        </w:rPr>
        <w:t>* we have now moved this to the main text</w:t>
      </w:r>
    </w:p>
    <w:p w14:paraId="0E626F71" w14:textId="77777777" w:rsidR="002B2ED5" w:rsidRDefault="002B2ED5" w:rsidP="002B2ED5">
      <w:pPr>
        <w:pStyle w:val="ListParagraph"/>
        <w:ind w:left="0"/>
        <w:jc w:val="both"/>
        <w:sectPr w:rsidR="002B2ED5">
          <w:pgSz w:w="11906" w:h="16838"/>
          <w:pgMar w:top="1440" w:right="1440" w:bottom="1440" w:left="1440" w:header="708" w:footer="708" w:gutter="0"/>
          <w:cols w:space="708"/>
          <w:docGrid w:linePitch="360"/>
        </w:sectPr>
      </w:pPr>
    </w:p>
    <w:p w14:paraId="715A0915" w14:textId="77777777" w:rsidR="002B2ED5"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lastRenderedPageBreak/>
        <w:t>With respect to the key issue of "does this resistance transfer to others,  the key issue is whether the sample size is adequate to reach the conclusion of "no it doesn't".  It is not defined what you would have considered sufficient gene transfer of resistance to be clinically or even epidemiologically relevant.</w:t>
      </w:r>
    </w:p>
    <w:p w14:paraId="261B4BF6" w14:textId="77777777" w:rsidR="002B2ED5" w:rsidRDefault="002B2ED5" w:rsidP="002B2ED5">
      <w:pPr>
        <w:pStyle w:val="PlainText"/>
        <w:spacing w:line="360" w:lineRule="auto"/>
        <w:jc w:val="both"/>
        <w:rPr>
          <w:rFonts w:ascii="Times New Roman" w:hAnsi="Times New Roman" w:cs="Times New Roman"/>
        </w:rPr>
      </w:pPr>
      <w:r>
        <w:rPr>
          <w:rFonts w:ascii="Times New Roman" w:hAnsi="Times New Roman" w:cs="Times New Roman"/>
        </w:rPr>
        <w:t>* Incidence where there was evidence of transmission (e.g. 2/53 times).</w:t>
      </w:r>
    </w:p>
    <w:p w14:paraId="003DF46A" w14:textId="77777777" w:rsidR="002B2ED5" w:rsidRDefault="002B2ED5" w:rsidP="002B2ED5">
      <w:pPr>
        <w:pStyle w:val="PlainText"/>
        <w:spacing w:line="360" w:lineRule="auto"/>
        <w:jc w:val="both"/>
        <w:rPr>
          <w:rFonts w:ascii="Times New Roman" w:hAnsi="Times New Roman" w:cs="Times New Roman"/>
        </w:rPr>
      </w:pPr>
      <w:r>
        <w:rPr>
          <w:rFonts w:ascii="Times New Roman" w:hAnsi="Times New Roman" w:cs="Times New Roman"/>
        </w:rPr>
        <w:t>* HOW MANY TIMES DID “TRANMISSION” OCCUR</w:t>
      </w:r>
    </w:p>
    <w:p w14:paraId="04AECB31" w14:textId="77777777" w:rsidR="002B2ED5" w:rsidRDefault="002B2ED5" w:rsidP="002B2ED5">
      <w:pPr>
        <w:pStyle w:val="ListParagraph"/>
        <w:ind w:left="0"/>
        <w:jc w:val="both"/>
        <w:sectPr w:rsidR="002B2ED5">
          <w:pgSz w:w="11906" w:h="16838"/>
          <w:pgMar w:top="1440" w:right="1440" w:bottom="1440" w:left="1440" w:header="708" w:footer="708" w:gutter="0"/>
          <w:cols w:space="708"/>
          <w:docGrid w:linePitch="360"/>
        </w:sectPr>
      </w:pPr>
    </w:p>
    <w:p w14:paraId="40B5CA6D" w14:textId="77777777" w:rsidR="002B2ED5"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lastRenderedPageBreak/>
        <w:t xml:space="preserve">Given you did show erm and </w:t>
      </w:r>
      <w:proofErr w:type="spellStart"/>
      <w:r w:rsidRPr="00436D43">
        <w:rPr>
          <w:rFonts w:ascii="Times New Roman" w:hAnsi="Times New Roman" w:cs="Times New Roman"/>
        </w:rPr>
        <w:t>mef</w:t>
      </w:r>
      <w:proofErr w:type="spellEnd"/>
      <w:r w:rsidRPr="00436D43">
        <w:rPr>
          <w:rFonts w:ascii="Times New Roman" w:hAnsi="Times New Roman" w:cs="Times New Roman"/>
        </w:rPr>
        <w:t xml:space="preserve"> detection was more common in contacts of macrolide users, I am not clear at all how you can justify your conclusion that resistance is not </w:t>
      </w:r>
      <w:proofErr w:type="spellStart"/>
      <w:r w:rsidRPr="00436D43">
        <w:rPr>
          <w:rFonts w:ascii="Times New Roman" w:hAnsi="Times New Roman" w:cs="Times New Roman"/>
        </w:rPr>
        <w:t>trasnmissable</w:t>
      </w:r>
      <w:proofErr w:type="spellEnd"/>
      <w:r w:rsidRPr="00436D43">
        <w:rPr>
          <w:rFonts w:ascii="Times New Roman" w:hAnsi="Times New Roman" w:cs="Times New Roman"/>
        </w:rPr>
        <w:t xml:space="preserve"> into the community - in fact the opposite  finding would appear to be supported by your data - as you acknowledge in your discussion.  </w:t>
      </w:r>
      <w:r w:rsidRPr="00313805">
        <w:rPr>
          <w:rFonts w:ascii="Times New Roman" w:hAnsi="Times New Roman" w:cs="Times New Roman"/>
          <w:highlight w:val="yellow"/>
        </w:rPr>
        <w:t>The last sentence of the abstract is therefore far too strong and not supported by your data.</w:t>
      </w:r>
    </w:p>
    <w:p w14:paraId="19239735" w14:textId="77777777" w:rsidR="002B2ED5" w:rsidRDefault="002B2ED5" w:rsidP="002B2ED5">
      <w:pPr>
        <w:pStyle w:val="PlainText"/>
        <w:numPr>
          <w:ilvl w:val="1"/>
          <w:numId w:val="11"/>
        </w:numPr>
        <w:spacing w:line="360" w:lineRule="auto"/>
        <w:jc w:val="both"/>
        <w:rPr>
          <w:rFonts w:ascii="Times New Roman" w:hAnsi="Times New Roman" w:cs="Times New Roman"/>
        </w:rPr>
      </w:pPr>
      <w:r>
        <w:rPr>
          <w:rFonts w:ascii="Times New Roman" w:hAnsi="Times New Roman" w:cs="Times New Roman"/>
        </w:rPr>
        <w:t>Within group showed ….</w:t>
      </w:r>
    </w:p>
    <w:p w14:paraId="056C9D68" w14:textId="77777777" w:rsidR="002B2ED5" w:rsidRDefault="002B2ED5" w:rsidP="002B2ED5">
      <w:pPr>
        <w:pStyle w:val="PlainText"/>
        <w:numPr>
          <w:ilvl w:val="1"/>
          <w:numId w:val="11"/>
        </w:numPr>
        <w:spacing w:line="360" w:lineRule="auto"/>
        <w:jc w:val="both"/>
        <w:rPr>
          <w:rFonts w:ascii="Times New Roman" w:hAnsi="Times New Roman" w:cs="Times New Roman"/>
        </w:rPr>
      </w:pPr>
      <w:r>
        <w:rPr>
          <w:rFonts w:ascii="Times New Roman" w:hAnsi="Times New Roman" w:cs="Times New Roman"/>
        </w:rPr>
        <w:t>Between group showed …</w:t>
      </w:r>
    </w:p>
    <w:p w14:paraId="32DF4765" w14:textId="77777777" w:rsidR="002B2ED5" w:rsidRDefault="002B2ED5" w:rsidP="002B2ED5">
      <w:pPr>
        <w:pStyle w:val="PlainText"/>
        <w:numPr>
          <w:ilvl w:val="1"/>
          <w:numId w:val="11"/>
        </w:numPr>
        <w:spacing w:line="360" w:lineRule="auto"/>
        <w:jc w:val="both"/>
        <w:rPr>
          <w:rFonts w:ascii="Times New Roman" w:hAnsi="Times New Roman" w:cs="Times New Roman"/>
        </w:rPr>
      </w:pPr>
      <w:r>
        <w:rPr>
          <w:rFonts w:ascii="Times New Roman" w:hAnsi="Times New Roman" w:cs="Times New Roman"/>
        </w:rPr>
        <w:t>We conclude “</w:t>
      </w:r>
      <w:r w:rsidRPr="00313805">
        <w:rPr>
          <w:rFonts w:ascii="Times New Roman" w:hAnsi="Times New Roman" w:cs="Times New Roman"/>
        </w:rPr>
        <w:t>However, macrolide use was not associated with increased macrolide resistance gene detection rate and there was no evidence that long-term macrolide use increases the onward transmission risk to their close contacts.</w:t>
      </w:r>
      <w:r>
        <w:rPr>
          <w:rFonts w:ascii="Times New Roman" w:hAnsi="Times New Roman" w:cs="Times New Roman"/>
        </w:rPr>
        <w:t>”</w:t>
      </w:r>
    </w:p>
    <w:p w14:paraId="3AC2B267" w14:textId="77777777" w:rsidR="002B2ED5" w:rsidRDefault="002B2ED5" w:rsidP="002B2ED5">
      <w:pPr>
        <w:pStyle w:val="PlainText"/>
        <w:numPr>
          <w:ilvl w:val="1"/>
          <w:numId w:val="11"/>
        </w:numPr>
        <w:spacing w:line="360" w:lineRule="auto"/>
        <w:jc w:val="both"/>
        <w:rPr>
          <w:rFonts w:ascii="Times New Roman" w:hAnsi="Times New Roman" w:cs="Times New Roman"/>
        </w:rPr>
      </w:pPr>
      <w:r>
        <w:rPr>
          <w:rFonts w:ascii="Times New Roman" w:hAnsi="Times New Roman" w:cs="Times New Roman"/>
        </w:rPr>
        <w:t>Justify</w:t>
      </w:r>
    </w:p>
    <w:p w14:paraId="24390740" w14:textId="77777777" w:rsidR="002B2ED5" w:rsidRDefault="002B2ED5" w:rsidP="002B2ED5">
      <w:pPr>
        <w:pStyle w:val="ListParagraph"/>
        <w:ind w:left="0"/>
        <w:jc w:val="both"/>
        <w:sectPr w:rsidR="002B2ED5">
          <w:pgSz w:w="11906" w:h="16838"/>
          <w:pgMar w:top="1440" w:right="1440" w:bottom="1440" w:left="1440" w:header="708" w:footer="708" w:gutter="0"/>
          <w:cols w:space="708"/>
          <w:docGrid w:linePitch="360"/>
        </w:sectPr>
      </w:pPr>
    </w:p>
    <w:p w14:paraId="066B4405" w14:textId="5825F9FC" w:rsidR="002B2ED5"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lastRenderedPageBreak/>
        <w:t xml:space="preserve">In the discussion I think you have to note that the community data you have is an Australian context.  Australia has seen much less use of oral macrolides, and especially problematic ones like Azithromycin, than has, for example, the </w:t>
      </w:r>
      <w:r w:rsidRPr="00313805">
        <w:rPr>
          <w:rFonts w:ascii="Times New Roman" w:hAnsi="Times New Roman" w:cs="Times New Roman"/>
          <w:highlight w:val="yellow"/>
        </w:rPr>
        <w:t>US</w:t>
      </w:r>
      <w:r w:rsidRPr="00436D43">
        <w:rPr>
          <w:rFonts w:ascii="Times New Roman" w:hAnsi="Times New Roman" w:cs="Times New Roman"/>
        </w:rPr>
        <w:t xml:space="preserve"> and hence international surveillance data typically shows much less clinical macrolide resistance in your population.</w:t>
      </w:r>
    </w:p>
    <w:p w14:paraId="6D1A9866" w14:textId="77777777" w:rsidR="002B2ED5" w:rsidRDefault="002B2ED5" w:rsidP="002B2ED5">
      <w:pPr>
        <w:pStyle w:val="PlainText"/>
        <w:spacing w:line="360" w:lineRule="auto"/>
        <w:jc w:val="both"/>
        <w:rPr>
          <w:rFonts w:ascii="Times New Roman" w:hAnsi="Times New Roman" w:cs="Times New Roman"/>
          <w:highlight w:val="yellow"/>
        </w:rPr>
      </w:pPr>
    </w:p>
    <w:p w14:paraId="13627B75" w14:textId="77777777" w:rsidR="0002384F" w:rsidRDefault="002B2ED5" w:rsidP="002B2ED5">
      <w:pPr>
        <w:pStyle w:val="PlainText"/>
        <w:spacing w:line="360" w:lineRule="auto"/>
        <w:jc w:val="both"/>
        <w:rPr>
          <w:rFonts w:ascii="Times New Roman" w:hAnsi="Times New Roman" w:cs="Times New Roman"/>
          <w:highlight w:val="yellow"/>
        </w:rPr>
      </w:pPr>
      <w:r>
        <w:rPr>
          <w:rFonts w:ascii="Times New Roman" w:hAnsi="Times New Roman" w:cs="Times New Roman"/>
          <w:highlight w:val="yellow"/>
        </w:rPr>
        <w:t>Get statistics</w:t>
      </w:r>
    </w:p>
    <w:p w14:paraId="241450BA" w14:textId="77777777" w:rsidR="0002384F" w:rsidRDefault="0002384F" w:rsidP="002B2ED5">
      <w:pPr>
        <w:pStyle w:val="PlainText"/>
        <w:spacing w:line="360" w:lineRule="auto"/>
        <w:jc w:val="both"/>
        <w:rPr>
          <w:rFonts w:ascii="Times New Roman" w:hAnsi="Times New Roman" w:cs="Times New Roman"/>
          <w:highlight w:val="yellow"/>
        </w:rPr>
      </w:pPr>
    </w:p>
    <w:p w14:paraId="708E7711" w14:textId="4426EB0E" w:rsidR="0002384F" w:rsidRDefault="0002384F" w:rsidP="002B2ED5">
      <w:pPr>
        <w:pStyle w:val="PlainText"/>
        <w:spacing w:line="360" w:lineRule="auto"/>
        <w:jc w:val="both"/>
        <w:rPr>
          <w:rFonts w:ascii="Times New Roman" w:hAnsi="Times New Roman" w:cs="Times New Roman"/>
          <w:highlight w:val="yellow"/>
        </w:rPr>
        <w:sectPr w:rsidR="0002384F">
          <w:pgSz w:w="11906" w:h="16838"/>
          <w:pgMar w:top="1440" w:right="1440" w:bottom="1440" w:left="1440" w:header="708" w:footer="708" w:gutter="0"/>
          <w:cols w:space="708"/>
          <w:docGrid w:linePitch="360"/>
        </w:sectPr>
      </w:pPr>
    </w:p>
    <w:p w14:paraId="0607AAEA" w14:textId="77777777" w:rsidR="0002384F" w:rsidRDefault="0002384F" w:rsidP="0002384F">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lastRenderedPageBreak/>
        <w:t>Very few of the close contact groups had any significant chronic lung disease.  Do you think this may exert a protective effect on macrolide resistance transfer because they will not have as disordered a microbiome?  We know that CF and bronchiectasis patients can and do transfer multi-resistant organisms to each other, but not to healthy contacts.  This should at least be reflected on in the discussion.</w:t>
      </w:r>
    </w:p>
    <w:p w14:paraId="5C1D2DE2" w14:textId="374BC341" w:rsidR="002B2ED5" w:rsidRDefault="002B2ED5" w:rsidP="0002384F">
      <w:pPr>
        <w:pStyle w:val="PlainText"/>
        <w:spacing w:line="360" w:lineRule="auto"/>
        <w:jc w:val="both"/>
        <w:rPr>
          <w:rFonts w:ascii="Times New Roman" w:hAnsi="Times New Roman" w:cs="Times New Roman"/>
          <w:highlight w:val="yellow"/>
        </w:rPr>
      </w:pPr>
    </w:p>
    <w:p w14:paraId="0A571C46" w14:textId="77777777" w:rsidR="0002384F" w:rsidRDefault="0002384F" w:rsidP="002B2ED5">
      <w:pPr>
        <w:pStyle w:val="ListParagraph"/>
        <w:ind w:left="0"/>
        <w:jc w:val="both"/>
        <w:sectPr w:rsidR="0002384F">
          <w:pgSz w:w="11906" w:h="16838"/>
          <w:pgMar w:top="1440" w:right="1440" w:bottom="1440" w:left="1440" w:header="708" w:footer="708" w:gutter="0"/>
          <w:cols w:space="708"/>
          <w:docGrid w:linePitch="360"/>
        </w:sectPr>
      </w:pPr>
    </w:p>
    <w:p w14:paraId="569CAEF8" w14:textId="77777777" w:rsidR="0002384F" w:rsidRPr="00436D43" w:rsidRDefault="0002384F" w:rsidP="0002384F">
      <w:pPr>
        <w:pStyle w:val="PlainText"/>
        <w:spacing w:line="360" w:lineRule="auto"/>
        <w:jc w:val="both"/>
        <w:rPr>
          <w:rFonts w:ascii="Times New Roman" w:hAnsi="Times New Roman" w:cs="Times New Roman"/>
          <w:b/>
          <w:bCs/>
        </w:rPr>
      </w:pPr>
      <w:r w:rsidRPr="00436D43">
        <w:rPr>
          <w:rFonts w:ascii="Times New Roman" w:hAnsi="Times New Roman" w:cs="Times New Roman"/>
          <w:b/>
          <w:bCs/>
        </w:rPr>
        <w:lastRenderedPageBreak/>
        <w:t>Statistical Review Comments:</w:t>
      </w:r>
    </w:p>
    <w:p w14:paraId="53F14745" w14:textId="77777777" w:rsidR="0002384F" w:rsidRPr="00436D43" w:rsidRDefault="0002384F" w:rsidP="0002384F">
      <w:pPr>
        <w:pStyle w:val="PlainText"/>
        <w:spacing w:line="360" w:lineRule="auto"/>
        <w:jc w:val="both"/>
        <w:rPr>
          <w:rFonts w:ascii="Times New Roman" w:hAnsi="Times New Roman" w:cs="Times New Roman"/>
        </w:rPr>
      </w:pPr>
      <w:r w:rsidRPr="00436D43">
        <w:rPr>
          <w:rFonts w:ascii="Times New Roman" w:hAnsi="Times New Roman" w:cs="Times New Roman"/>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A480079" w14:textId="77777777" w:rsidR="0002384F" w:rsidRDefault="0002384F" w:rsidP="0002384F">
      <w:pPr>
        <w:pStyle w:val="PlainText"/>
        <w:numPr>
          <w:ilvl w:val="0"/>
          <w:numId w:val="17"/>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Seems authors could try logistic GEE model to estimate and compare 4 cohorts (MR, MNR, MRCC, and MNRCC) in one model with respect of resistant genes detection. This would be more efficient than first comparing within treatment pairs then between treatment groups.</w:t>
      </w:r>
    </w:p>
    <w:p w14:paraId="334F2DE0" w14:textId="535681F8" w:rsidR="002B2ED5" w:rsidRDefault="002B2ED5" w:rsidP="002B2ED5">
      <w:pPr>
        <w:pStyle w:val="ListParagraph"/>
        <w:ind w:left="0"/>
        <w:jc w:val="both"/>
      </w:pPr>
    </w:p>
    <w:p w14:paraId="38C4F251" w14:textId="7690E47D" w:rsidR="00900374" w:rsidRDefault="00900374" w:rsidP="002B2ED5">
      <w:pPr>
        <w:pStyle w:val="ListParagraph"/>
        <w:ind w:left="0"/>
        <w:jc w:val="both"/>
      </w:pPr>
    </w:p>
    <w:p w14:paraId="2F9A9229" w14:textId="57E60762" w:rsidR="00900374" w:rsidRDefault="00900374" w:rsidP="002B2ED5">
      <w:pPr>
        <w:pStyle w:val="ListParagraph"/>
        <w:ind w:left="0"/>
        <w:jc w:val="both"/>
      </w:pPr>
    </w:p>
    <w:p w14:paraId="0C14A3A0" w14:textId="77777777" w:rsidR="00900374" w:rsidRDefault="00900374" w:rsidP="002B2ED5">
      <w:pPr>
        <w:pStyle w:val="ListParagraph"/>
        <w:ind w:left="0"/>
        <w:jc w:val="both"/>
        <w:sectPr w:rsidR="00900374">
          <w:pgSz w:w="11906" w:h="16838"/>
          <w:pgMar w:top="1440" w:right="1440" w:bottom="1440" w:left="1440" w:header="708" w:footer="708" w:gutter="0"/>
          <w:cols w:space="708"/>
          <w:docGrid w:linePitch="360"/>
        </w:sectPr>
      </w:pPr>
    </w:p>
    <w:p w14:paraId="2EB6284C" w14:textId="3F66C036" w:rsidR="00900374" w:rsidRDefault="00900374" w:rsidP="002B2ED5">
      <w:pPr>
        <w:pStyle w:val="ListParagraph"/>
        <w:ind w:left="0"/>
        <w:jc w:val="both"/>
      </w:pPr>
      <w:r>
        <w:lastRenderedPageBreak/>
        <w:t>Bin</w:t>
      </w:r>
    </w:p>
    <w:p w14:paraId="63E8BA4C" w14:textId="723FD7EA" w:rsidR="00900374" w:rsidRDefault="00900374" w:rsidP="002B2ED5">
      <w:pPr>
        <w:pStyle w:val="ListParagraph"/>
        <w:ind w:left="0"/>
        <w:jc w:val="both"/>
      </w:pPr>
    </w:p>
    <w:p w14:paraId="58F812E3" w14:textId="77777777" w:rsidR="00900374" w:rsidRDefault="00900374" w:rsidP="00900374">
      <w:pPr>
        <w:pStyle w:val="ListParagraph"/>
        <w:numPr>
          <w:ilvl w:val="0"/>
          <w:numId w:val="14"/>
        </w:numPr>
      </w:pPr>
      <w:proofErr w:type="spellStart"/>
      <w:r w:rsidRPr="009665F5">
        <w:rPr>
          <w:b/>
          <w:bCs/>
        </w:rPr>
        <w:t>Mughini</w:t>
      </w:r>
      <w:proofErr w:type="spellEnd"/>
      <w:r w:rsidRPr="009665F5">
        <w:rPr>
          <w:b/>
          <w:bCs/>
        </w:rPr>
        <w:t>-Gras 2019:</w:t>
      </w:r>
      <w:r>
        <w:t xml:space="preserve"> </w:t>
      </w:r>
      <w:bookmarkStart w:id="2" w:name="_Hlk88811152"/>
      <w:r w:rsidRPr="009665F5">
        <w:t>Humans</w:t>
      </w:r>
      <w:r>
        <w:t xml:space="preserve"> to human transmission</w:t>
      </w:r>
      <w:r w:rsidRPr="009665F5">
        <w:t xml:space="preserve"> are the main source of community</w:t>
      </w:r>
      <w:bookmarkEnd w:id="2"/>
      <w:r w:rsidRPr="009665F5">
        <w:t>-acquired β-lactam-resistant E.coli</w:t>
      </w:r>
    </w:p>
    <w:p w14:paraId="3FF967A1" w14:textId="77777777" w:rsidR="00900374" w:rsidRDefault="00900374" w:rsidP="00900374">
      <w:pPr>
        <w:pStyle w:val="ListParagraph"/>
        <w:numPr>
          <w:ilvl w:val="1"/>
          <w:numId w:val="14"/>
        </w:numPr>
      </w:pPr>
      <w:r w:rsidRPr="009665F5">
        <w:t>Most community-acquired β-lactam</w:t>
      </w:r>
      <w:r>
        <w:t>-resistant E.coli</w:t>
      </w:r>
      <w:r w:rsidRPr="009665F5">
        <w:t xml:space="preserve"> carriage was attributed to human-to-human transmission within or between households in the open community (60·1%, 95% credible interval 40·0–73·5)</w:t>
      </w:r>
    </w:p>
    <w:p w14:paraId="5E096B2C" w14:textId="77777777" w:rsidR="00900374" w:rsidRDefault="00900374" w:rsidP="00900374">
      <w:pPr>
        <w:pStyle w:val="ListParagraph"/>
        <w:ind w:left="360"/>
      </w:pPr>
    </w:p>
    <w:p w14:paraId="2A614F1A" w14:textId="77777777" w:rsidR="00900374" w:rsidRDefault="00900374" w:rsidP="00900374">
      <w:pPr>
        <w:pStyle w:val="ListParagraph"/>
        <w:numPr>
          <w:ilvl w:val="0"/>
          <w:numId w:val="14"/>
        </w:numPr>
      </w:pPr>
      <w:r w:rsidRPr="00462999">
        <w:rPr>
          <w:b/>
          <w:bCs/>
        </w:rPr>
        <w:t>Knox 2015_Trends in microbiology:</w:t>
      </w:r>
      <w:r>
        <w:t xml:space="preserve"> </w:t>
      </w:r>
      <w:r w:rsidRPr="009665F5">
        <w:t>Several studies have highlighted the role of the household as the primary reservoir for S. aureus in the community 24, 25, 41, 43, 44, 45, 46, 47, 48, 49, 50, 51, 52, 53, 54, 55, 56, 57, 58. The events that follow a CA-MRSA infection in a household include an increase in: (</w:t>
      </w:r>
      <w:proofErr w:type="spellStart"/>
      <w:r w:rsidRPr="009665F5">
        <w:t>i</w:t>
      </w:r>
      <w:proofErr w:type="spellEnd"/>
      <w:r w:rsidRPr="009665F5">
        <w:t xml:space="preserve">) the risk of infections among other household members 26, 44, 45, 48, 49, 50, 51; (ii) MRSA colonization among other household members </w:t>
      </w:r>
      <w:r w:rsidRPr="00462999">
        <w:rPr>
          <w:highlight w:val="yellow"/>
        </w:rPr>
        <w:t>46, 47, 52, 53, 54, 55, 56, 57, 59</w:t>
      </w:r>
      <w:r w:rsidRPr="009665F5">
        <w:t>; and (iii) contamination of environmental surfaces 24, 25, 58. These reports have described epidemic clones that ‘ping pong’ among family members 26, 51, resulting in high rates of recurrent infection. Eradicating S. aureus carriage from household members and the environment in an effort to reduce the frequency of these infections has achieved mixed results 60, 61.</w:t>
      </w:r>
    </w:p>
    <w:p w14:paraId="7224634C" w14:textId="77777777" w:rsidR="00900374" w:rsidRDefault="00900374" w:rsidP="00900374">
      <w:pPr>
        <w:pStyle w:val="ListParagraph"/>
        <w:numPr>
          <w:ilvl w:val="0"/>
          <w:numId w:val="14"/>
        </w:numPr>
      </w:pPr>
      <w:r>
        <w:t>Staphylococcus aureus nasopharyngeal carriage rates and antimicrobial susceptibility patterns among health care workers and their household contacts</w:t>
      </w:r>
    </w:p>
    <w:p w14:paraId="7902460E" w14:textId="77777777" w:rsidR="00900374" w:rsidRDefault="00900374" w:rsidP="00900374">
      <w:pPr>
        <w:pStyle w:val="ListParagraph"/>
        <w:numPr>
          <w:ilvl w:val="0"/>
          <w:numId w:val="14"/>
        </w:numPr>
      </w:pPr>
      <w:r w:rsidRPr="00462999">
        <w:t>Transmission of methicillin-resistant Staphylococcus aureus within a household</w:t>
      </w:r>
    </w:p>
    <w:p w14:paraId="67467335" w14:textId="77777777" w:rsidR="00900374" w:rsidRDefault="00900374" w:rsidP="00900374">
      <w:pPr>
        <w:pStyle w:val="ListParagraph"/>
        <w:numPr>
          <w:ilvl w:val="0"/>
          <w:numId w:val="14"/>
        </w:numPr>
      </w:pPr>
      <w:r w:rsidRPr="00462999">
        <w:t>Prevalence of nasal colonization among patients with community-associated methicillin-resistant Staphylococcus aureus infection and their household contacts</w:t>
      </w:r>
    </w:p>
    <w:p w14:paraId="14BE964B" w14:textId="77777777" w:rsidR="00900374" w:rsidRDefault="00900374" w:rsidP="00900374">
      <w:pPr>
        <w:pStyle w:val="ListParagraph"/>
        <w:numPr>
          <w:ilvl w:val="0"/>
          <w:numId w:val="14"/>
        </w:numPr>
      </w:pPr>
      <w:r w:rsidRPr="00462999">
        <w:t xml:space="preserve">Staphylococcus aureus nasal colonization among </w:t>
      </w:r>
      <w:proofErr w:type="spellStart"/>
      <w:r w:rsidRPr="00462999">
        <w:t>pediatric</w:t>
      </w:r>
      <w:proofErr w:type="spellEnd"/>
      <w:r w:rsidRPr="00462999">
        <w:t xml:space="preserve"> cystic fibrosis patients and their household contacts</w:t>
      </w:r>
    </w:p>
    <w:p w14:paraId="6E986D25" w14:textId="77777777" w:rsidR="00900374" w:rsidRDefault="00900374" w:rsidP="00900374">
      <w:pPr>
        <w:pStyle w:val="ListParagraph"/>
        <w:numPr>
          <w:ilvl w:val="0"/>
          <w:numId w:val="14"/>
        </w:numPr>
      </w:pPr>
      <w:r w:rsidRPr="00462999">
        <w:t>Molecular epidemiology and household transmission of community-associated methicillin-resistant Staphylococcus aureus in Hong Kong</w:t>
      </w:r>
    </w:p>
    <w:p w14:paraId="164B11D7" w14:textId="77777777" w:rsidR="00900374" w:rsidRPr="00C97C6C" w:rsidRDefault="00900374" w:rsidP="002B2ED5">
      <w:pPr>
        <w:pStyle w:val="ListParagraph"/>
        <w:ind w:left="0"/>
        <w:jc w:val="both"/>
      </w:pPr>
    </w:p>
    <w:sectPr w:rsidR="00900374" w:rsidRPr="00C97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978"/>
    <w:multiLevelType w:val="hybridMultilevel"/>
    <w:tmpl w:val="26281B08"/>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B206F29"/>
    <w:multiLevelType w:val="hybridMultilevel"/>
    <w:tmpl w:val="0D745ECC"/>
    <w:lvl w:ilvl="0" w:tplc="AECC66EE">
      <w:start w:val="3"/>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043A67"/>
    <w:multiLevelType w:val="hybridMultilevel"/>
    <w:tmpl w:val="023894A0"/>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056A69"/>
    <w:multiLevelType w:val="hybridMultilevel"/>
    <w:tmpl w:val="6800509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1332598"/>
    <w:multiLevelType w:val="hybridMultilevel"/>
    <w:tmpl w:val="3DB8132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67D60F7"/>
    <w:multiLevelType w:val="hybridMultilevel"/>
    <w:tmpl w:val="A272977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DAC078F"/>
    <w:multiLevelType w:val="hybridMultilevel"/>
    <w:tmpl w:val="F9F025E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0B46274"/>
    <w:multiLevelType w:val="hybridMultilevel"/>
    <w:tmpl w:val="2D28D37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80C8FE1E">
      <w:numFmt w:val="bullet"/>
      <w:lvlText w:val=""/>
      <w:lvlJc w:val="left"/>
      <w:pPr>
        <w:ind w:left="1980" w:hanging="360"/>
      </w:pPr>
      <w:rPr>
        <w:rFonts w:ascii="Symbol" w:eastAsiaTheme="minorEastAsia" w:hAnsi="Symbol" w:cs="Times New Roman"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2B07A0D"/>
    <w:multiLevelType w:val="hybridMultilevel"/>
    <w:tmpl w:val="C48A8C6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5B04685F"/>
    <w:multiLevelType w:val="hybridMultilevel"/>
    <w:tmpl w:val="92287282"/>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C3C21CC"/>
    <w:multiLevelType w:val="hybridMultilevel"/>
    <w:tmpl w:val="A010149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D08545A"/>
    <w:multiLevelType w:val="hybridMultilevel"/>
    <w:tmpl w:val="19286A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FA17525"/>
    <w:multiLevelType w:val="hybridMultilevel"/>
    <w:tmpl w:val="25FC90F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5A358A8"/>
    <w:multiLevelType w:val="hybridMultilevel"/>
    <w:tmpl w:val="7FC421F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7C6717B"/>
    <w:multiLevelType w:val="hybridMultilevel"/>
    <w:tmpl w:val="023894A0"/>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C8B6C2E"/>
    <w:multiLevelType w:val="hybridMultilevel"/>
    <w:tmpl w:val="B48CF5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702045CC"/>
    <w:multiLevelType w:val="hybridMultilevel"/>
    <w:tmpl w:val="73784A86"/>
    <w:lvl w:ilvl="0" w:tplc="9FC82456">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69F054B"/>
    <w:multiLevelType w:val="hybridMultilevel"/>
    <w:tmpl w:val="A010149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76D779D3"/>
    <w:multiLevelType w:val="hybridMultilevel"/>
    <w:tmpl w:val="29B2131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C441B9C"/>
    <w:multiLevelType w:val="hybridMultilevel"/>
    <w:tmpl w:val="22DA7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E512DEA"/>
    <w:multiLevelType w:val="hybridMultilevel"/>
    <w:tmpl w:val="D910B5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4"/>
  </w:num>
  <w:num w:numId="2">
    <w:abstractNumId w:val="6"/>
  </w:num>
  <w:num w:numId="3">
    <w:abstractNumId w:val="16"/>
  </w:num>
  <w:num w:numId="4">
    <w:abstractNumId w:val="21"/>
  </w:num>
  <w:num w:numId="5">
    <w:abstractNumId w:val="3"/>
  </w:num>
  <w:num w:numId="6">
    <w:abstractNumId w:val="22"/>
  </w:num>
  <w:num w:numId="7">
    <w:abstractNumId w:val="9"/>
  </w:num>
  <w:num w:numId="8">
    <w:abstractNumId w:val="1"/>
  </w:num>
  <w:num w:numId="9">
    <w:abstractNumId w:val="23"/>
  </w:num>
  <w:num w:numId="10">
    <w:abstractNumId w:val="19"/>
  </w:num>
  <w:num w:numId="11">
    <w:abstractNumId w:val="10"/>
  </w:num>
  <w:num w:numId="12">
    <w:abstractNumId w:val="18"/>
  </w:num>
  <w:num w:numId="13">
    <w:abstractNumId w:val="11"/>
  </w:num>
  <w:num w:numId="14">
    <w:abstractNumId w:val="8"/>
  </w:num>
  <w:num w:numId="15">
    <w:abstractNumId w:val="17"/>
  </w:num>
  <w:num w:numId="16">
    <w:abstractNumId w:val="7"/>
  </w:num>
  <w:num w:numId="17">
    <w:abstractNumId w:val="5"/>
  </w:num>
  <w:num w:numId="18">
    <w:abstractNumId w:val="0"/>
  </w:num>
  <w:num w:numId="19">
    <w:abstractNumId w:val="15"/>
  </w:num>
  <w:num w:numId="20">
    <w:abstractNumId w:val="12"/>
  </w:num>
  <w:num w:numId="21">
    <w:abstractNumId w:val="13"/>
  </w:num>
  <w:num w:numId="22">
    <w:abstractNumId w:val="20"/>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104EE"/>
    <w:rsid w:val="00020792"/>
    <w:rsid w:val="0002384F"/>
    <w:rsid w:val="000547C1"/>
    <w:rsid w:val="001B6692"/>
    <w:rsid w:val="001C38C5"/>
    <w:rsid w:val="002A26F7"/>
    <w:rsid w:val="002B2ED5"/>
    <w:rsid w:val="00343676"/>
    <w:rsid w:val="003C2BD6"/>
    <w:rsid w:val="00403A3A"/>
    <w:rsid w:val="00462999"/>
    <w:rsid w:val="004B6FBD"/>
    <w:rsid w:val="00573BBC"/>
    <w:rsid w:val="005769AC"/>
    <w:rsid w:val="005B686B"/>
    <w:rsid w:val="00606FBE"/>
    <w:rsid w:val="0063469F"/>
    <w:rsid w:val="006C4D31"/>
    <w:rsid w:val="006C5E35"/>
    <w:rsid w:val="006D1C9F"/>
    <w:rsid w:val="006E0FE9"/>
    <w:rsid w:val="006F0D97"/>
    <w:rsid w:val="007121A1"/>
    <w:rsid w:val="0075008A"/>
    <w:rsid w:val="00750CAC"/>
    <w:rsid w:val="00851776"/>
    <w:rsid w:val="00862517"/>
    <w:rsid w:val="008F6999"/>
    <w:rsid w:val="00900374"/>
    <w:rsid w:val="009141CB"/>
    <w:rsid w:val="00945551"/>
    <w:rsid w:val="009665F5"/>
    <w:rsid w:val="009754D9"/>
    <w:rsid w:val="009B0011"/>
    <w:rsid w:val="00A0051C"/>
    <w:rsid w:val="00A64BA8"/>
    <w:rsid w:val="00A86CB5"/>
    <w:rsid w:val="00A87787"/>
    <w:rsid w:val="00AD516B"/>
    <w:rsid w:val="00AE0AED"/>
    <w:rsid w:val="00C05A68"/>
    <w:rsid w:val="00C06E53"/>
    <w:rsid w:val="00C27104"/>
    <w:rsid w:val="00C820C6"/>
    <w:rsid w:val="00C97C6C"/>
    <w:rsid w:val="00CB3A82"/>
    <w:rsid w:val="00D04DA3"/>
    <w:rsid w:val="00D11E9D"/>
    <w:rsid w:val="00D15670"/>
    <w:rsid w:val="00D16ED8"/>
    <w:rsid w:val="00D25264"/>
    <w:rsid w:val="00E22E07"/>
    <w:rsid w:val="00E636FD"/>
    <w:rsid w:val="00E73A8F"/>
    <w:rsid w:val="00E8708E"/>
    <w:rsid w:val="00EC76FF"/>
    <w:rsid w:val="00EE144B"/>
    <w:rsid w:val="00F370D6"/>
    <w:rsid w:val="00F41B69"/>
    <w:rsid w:val="00F5687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C1E2B-AB00-4955-8754-DAEAE59A8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28</Pages>
  <Words>3732</Words>
  <Characters>21276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37</cp:revision>
  <dcterms:created xsi:type="dcterms:W3CDTF">2021-11-22T23:37:00Z</dcterms:created>
  <dcterms:modified xsi:type="dcterms:W3CDTF">2021-11-26T00:01:00Z</dcterms:modified>
</cp:coreProperties>
</file>