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6ACE" w:rsidRPr="00083196" w:rsidRDefault="00C961BD" w:rsidP="00083196">
      <w:pPr>
        <w:jc w:val="both"/>
        <w:rPr>
          <w:rFonts w:cs="Calibri Bold Italic"/>
          <w:b/>
        </w:rPr>
      </w:pPr>
      <w:r>
        <w:rPr>
          <w:rFonts w:cs="Calibri Bold Italic"/>
          <w:b/>
        </w:rPr>
        <w:t xml:space="preserve"> </w:t>
      </w: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pPr>
        <w:jc w:val="center"/>
        <w:rPr>
          <w:b/>
          <w:sz w:val="40"/>
          <w:szCs w:val="40"/>
        </w:rPr>
      </w:pPr>
      <w:r w:rsidRPr="00083196">
        <w:rPr>
          <w:b/>
          <w:sz w:val="40"/>
          <w:szCs w:val="40"/>
        </w:rPr>
        <w:t>CLINICAL STUDY PROTOCOL</w:t>
      </w:r>
    </w:p>
    <w:p w:rsidR="009F6ACE" w:rsidRPr="00083196" w:rsidRDefault="009F6ACE">
      <w:pPr>
        <w:jc w:val="center"/>
        <w:rPr>
          <w:b/>
          <w:sz w:val="26"/>
        </w:rPr>
      </w:pPr>
    </w:p>
    <w:p w:rsidR="009F6ACE" w:rsidRPr="00083196" w:rsidRDefault="009F6ACE">
      <w:pPr>
        <w:jc w:val="center"/>
        <w:rPr>
          <w:b/>
          <w:sz w:val="26"/>
        </w:rPr>
      </w:pPr>
    </w:p>
    <w:p w:rsidR="009F6ACE" w:rsidRPr="00083196" w:rsidRDefault="009F6ACE">
      <w:pPr>
        <w:jc w:val="center"/>
        <w:rPr>
          <w:b/>
          <w:sz w:val="26"/>
        </w:rPr>
      </w:pPr>
    </w:p>
    <w:p w:rsidR="009F6ACE" w:rsidRPr="00083196" w:rsidRDefault="009F6ACE">
      <w:pPr>
        <w:jc w:val="center"/>
        <w:rPr>
          <w:b/>
          <w:sz w:val="26"/>
        </w:rPr>
      </w:pPr>
    </w:p>
    <w:p w:rsidR="009F6ACE" w:rsidRPr="00083196" w:rsidRDefault="009F6ACE">
      <w:pPr>
        <w:jc w:val="center"/>
        <w:rPr>
          <w:b/>
          <w:sz w:val="26"/>
        </w:rPr>
      </w:pPr>
    </w:p>
    <w:p w:rsidR="009F6ACE" w:rsidRPr="00083196" w:rsidRDefault="009F6ACE">
      <w:pPr>
        <w:jc w:val="center"/>
        <w:rPr>
          <w:b/>
          <w:sz w:val="26"/>
        </w:rPr>
      </w:pPr>
    </w:p>
    <w:p w:rsidR="009F6ACE" w:rsidRPr="00083196" w:rsidRDefault="009F6ACE">
      <w:pPr>
        <w:jc w:val="center"/>
        <w:rPr>
          <w:b/>
          <w:sz w:val="26"/>
        </w:rPr>
      </w:pPr>
    </w:p>
    <w:p w:rsidR="009F6ACE" w:rsidRPr="00083196" w:rsidRDefault="009F6ACE">
      <w:pPr>
        <w:jc w:val="center"/>
        <w:rPr>
          <w:rFonts w:cs="Calibri Bold Italic"/>
          <w:sz w:val="28"/>
          <w:szCs w:val="28"/>
        </w:rPr>
      </w:pPr>
      <w:r w:rsidRPr="00083196">
        <w:rPr>
          <w:rFonts w:cs="Calibri Bold Italic"/>
          <w:sz w:val="28"/>
          <w:szCs w:val="28"/>
        </w:rPr>
        <w:t>Macrolide-resistance in the oropharyngeal flora of cohabitants of non-CF bronchiectasis patients treated with long-term erythromycin</w:t>
      </w:r>
      <w:r w:rsidR="00411371" w:rsidRPr="00083196">
        <w:rPr>
          <w:rFonts w:cs="Calibri Bold Italic"/>
          <w:sz w:val="28"/>
          <w:szCs w:val="28"/>
        </w:rPr>
        <w:t xml:space="preserve"> or azithromycin</w:t>
      </w:r>
      <w:r w:rsidRPr="00083196">
        <w:rPr>
          <w:rFonts w:cs="Calibri Bold Italic"/>
          <w:sz w:val="28"/>
          <w:szCs w:val="28"/>
        </w:rPr>
        <w:t>. A cross sectional cohort study.</w:t>
      </w:r>
    </w:p>
    <w:p w:rsidR="009F6ACE" w:rsidRPr="00083196" w:rsidRDefault="009F6ACE">
      <w:pPr>
        <w:jc w:val="center"/>
        <w:rPr>
          <w:sz w:val="26"/>
        </w:rPr>
      </w:pPr>
    </w:p>
    <w:p w:rsidR="009F6ACE" w:rsidRPr="00083196" w:rsidRDefault="009F6ACE">
      <w:pPr>
        <w:jc w:val="center"/>
        <w:rPr>
          <w:b/>
          <w:sz w:val="28"/>
          <w:szCs w:val="28"/>
        </w:rPr>
      </w:pPr>
    </w:p>
    <w:p w:rsidR="009F6ACE" w:rsidRPr="00083196" w:rsidRDefault="009F6ACE">
      <w:pPr>
        <w:jc w:val="center"/>
        <w:rPr>
          <w:b/>
          <w:sz w:val="28"/>
          <w:szCs w:val="28"/>
        </w:rPr>
      </w:pPr>
    </w:p>
    <w:p w:rsidR="009F6ACE" w:rsidRPr="00083196" w:rsidRDefault="009F6ACE">
      <w:pPr>
        <w:jc w:val="center"/>
        <w:rPr>
          <w:b/>
          <w:sz w:val="28"/>
          <w:szCs w:val="28"/>
        </w:rPr>
      </w:pPr>
    </w:p>
    <w:p w:rsidR="009F6ACE" w:rsidRPr="00083196" w:rsidRDefault="009F6ACE">
      <w:pPr>
        <w:jc w:val="center"/>
        <w:rPr>
          <w:b/>
          <w:sz w:val="28"/>
          <w:szCs w:val="28"/>
        </w:rPr>
      </w:pPr>
    </w:p>
    <w:p w:rsidR="009F6ACE" w:rsidRPr="00083196" w:rsidRDefault="009F6ACE">
      <w:pPr>
        <w:jc w:val="center"/>
        <w:rPr>
          <w:b/>
          <w:sz w:val="28"/>
          <w:szCs w:val="28"/>
        </w:rPr>
      </w:pPr>
    </w:p>
    <w:p w:rsidR="009F6ACE" w:rsidRPr="00083196" w:rsidRDefault="009F6ACE">
      <w:pPr>
        <w:jc w:val="center"/>
        <w:rPr>
          <w:b/>
          <w:sz w:val="28"/>
          <w:szCs w:val="28"/>
        </w:rPr>
      </w:pPr>
      <w:r w:rsidRPr="00083196">
        <w:rPr>
          <w:b/>
          <w:sz w:val="28"/>
          <w:szCs w:val="28"/>
        </w:rPr>
        <w:t>- Research Proposal-</w:t>
      </w:r>
    </w:p>
    <w:p w:rsidR="009F6ACE" w:rsidRPr="00083196" w:rsidRDefault="009F6ACE">
      <w:pPr>
        <w:jc w:val="center"/>
        <w:rPr>
          <w:b/>
          <w:sz w:val="26"/>
        </w:rPr>
      </w:pPr>
    </w:p>
    <w:p w:rsidR="009F6ACE" w:rsidRPr="00083196" w:rsidRDefault="00C15785" w:rsidP="00083196">
      <w:pPr>
        <w:jc w:val="center"/>
        <w:rPr>
          <w:rFonts w:cs="Calibri Bold Italic"/>
          <w:b/>
        </w:rPr>
      </w:pPr>
      <w:r w:rsidRPr="00083196">
        <w:rPr>
          <w:rFonts w:cs="Calibri Bold Italic"/>
          <w:b/>
        </w:rPr>
        <w:t xml:space="preserve">Protocol Version </w:t>
      </w:r>
      <w:r w:rsidR="000449DF">
        <w:rPr>
          <w:rFonts w:cs="Calibri Bold Italic"/>
          <w:b/>
        </w:rPr>
        <w:t>2</w:t>
      </w:r>
      <w:r w:rsidRPr="00083196">
        <w:rPr>
          <w:rFonts w:cs="Calibri Bold Italic"/>
          <w:b/>
        </w:rPr>
        <w:t xml:space="preserve">.0 dated </w:t>
      </w:r>
      <w:r w:rsidR="000449DF">
        <w:rPr>
          <w:rFonts w:cs="Calibri Bold Italic"/>
          <w:b/>
        </w:rPr>
        <w:t>19</w:t>
      </w:r>
      <w:r w:rsidR="000449DF" w:rsidRPr="00083196">
        <w:rPr>
          <w:rFonts w:cs="Calibri Bold Italic"/>
          <w:b/>
          <w:vertAlign w:val="superscript"/>
        </w:rPr>
        <w:t>th</w:t>
      </w:r>
      <w:r w:rsidR="000449DF">
        <w:rPr>
          <w:rFonts w:cs="Calibri Bold Italic"/>
          <w:b/>
        </w:rPr>
        <w:t xml:space="preserve"> Sept 2016</w:t>
      </w:r>
    </w:p>
    <w:p w:rsidR="009F6ACE" w:rsidRPr="00083196" w:rsidRDefault="009F6ACE" w:rsidP="00083196">
      <w:pPr>
        <w:jc w:val="center"/>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rPr>
      </w:pP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r w:rsidRPr="00083196">
        <w:rPr>
          <w:rFonts w:cs="Calibri Bold Italic"/>
          <w:b/>
          <w:sz w:val="22"/>
          <w:szCs w:val="22"/>
        </w:rPr>
        <w:t>Contacts</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b/>
          <w:sz w:val="22"/>
          <w:szCs w:val="22"/>
        </w:rPr>
      </w:pPr>
      <w:r w:rsidRPr="00083196">
        <w:rPr>
          <w:rFonts w:cs="Calibri Bold Italic"/>
          <w:b/>
          <w:sz w:val="22"/>
          <w:szCs w:val="22"/>
        </w:rPr>
        <w:t xml:space="preserve">Dr </w:t>
      </w:r>
      <w:r w:rsidR="00411371" w:rsidRPr="00083196">
        <w:rPr>
          <w:rFonts w:cs="Calibri Bold Italic"/>
          <w:b/>
          <w:sz w:val="22"/>
          <w:szCs w:val="22"/>
        </w:rPr>
        <w:t>Lucy Burr</w:t>
      </w:r>
      <w:r w:rsidRPr="00083196">
        <w:rPr>
          <w:rFonts w:cs="Calibri Bold Italic"/>
          <w:b/>
          <w:sz w:val="22"/>
          <w:szCs w:val="22"/>
        </w:rPr>
        <w:t xml:space="preserve"> – Principal Investigator</w:t>
      </w:r>
    </w:p>
    <w:p w:rsidR="009F6ACE" w:rsidRPr="00083196" w:rsidRDefault="00411371" w:rsidP="00083196">
      <w:pPr>
        <w:jc w:val="both"/>
        <w:rPr>
          <w:rFonts w:cs="Calibri Bold Italic"/>
          <w:sz w:val="22"/>
          <w:szCs w:val="22"/>
        </w:rPr>
      </w:pPr>
      <w:r w:rsidRPr="00083196">
        <w:rPr>
          <w:rFonts w:cs="Calibri Bold Italic"/>
          <w:sz w:val="22"/>
          <w:szCs w:val="22"/>
        </w:rPr>
        <w:t>Director of Respiratory Medicine</w:t>
      </w:r>
    </w:p>
    <w:p w:rsidR="009F6ACE" w:rsidRPr="00083196" w:rsidRDefault="009F6ACE" w:rsidP="00083196">
      <w:pPr>
        <w:jc w:val="both"/>
        <w:rPr>
          <w:rFonts w:cs="Calibri Bold Italic"/>
          <w:sz w:val="22"/>
          <w:szCs w:val="22"/>
        </w:rPr>
      </w:pPr>
      <w:r w:rsidRPr="00083196">
        <w:rPr>
          <w:rFonts w:cs="Calibri Bold Italic"/>
          <w:sz w:val="22"/>
          <w:szCs w:val="22"/>
        </w:rPr>
        <w:t>Respiratory Medicine Department</w:t>
      </w:r>
    </w:p>
    <w:p w:rsidR="00411371" w:rsidRPr="00083196" w:rsidRDefault="00411371" w:rsidP="00083196">
      <w:pPr>
        <w:jc w:val="both"/>
        <w:rPr>
          <w:rFonts w:cs="Calibri Bold Italic"/>
          <w:sz w:val="22"/>
          <w:szCs w:val="22"/>
        </w:rPr>
      </w:pPr>
      <w:r w:rsidRPr="00083196">
        <w:rPr>
          <w:rFonts w:cs="Calibri Bold Italic"/>
          <w:sz w:val="22"/>
          <w:szCs w:val="22"/>
        </w:rPr>
        <w:t xml:space="preserve">Mater Health </w:t>
      </w:r>
      <w:proofErr w:type="spellStart"/>
      <w:r w:rsidRPr="00083196">
        <w:rPr>
          <w:rFonts w:cs="Calibri Bold Italic"/>
          <w:sz w:val="22"/>
          <w:szCs w:val="22"/>
        </w:rPr>
        <w:t>Srevices</w:t>
      </w:r>
      <w:proofErr w:type="spellEnd"/>
    </w:p>
    <w:p w:rsidR="009F6ACE" w:rsidRPr="00083196" w:rsidRDefault="009F6ACE" w:rsidP="00083196">
      <w:pPr>
        <w:jc w:val="both"/>
        <w:rPr>
          <w:rFonts w:cs="Calibri Bold Italic"/>
          <w:sz w:val="22"/>
          <w:szCs w:val="22"/>
        </w:rPr>
      </w:pPr>
      <w:r w:rsidRPr="00083196">
        <w:rPr>
          <w:rFonts w:cs="Calibri Bold Italic"/>
          <w:sz w:val="22"/>
          <w:szCs w:val="22"/>
        </w:rPr>
        <w:t>Level 9, Mater Adult Hospital</w:t>
      </w:r>
    </w:p>
    <w:p w:rsidR="009F6ACE" w:rsidRPr="00083196" w:rsidRDefault="009F6ACE" w:rsidP="00083196">
      <w:pPr>
        <w:jc w:val="both"/>
        <w:rPr>
          <w:rFonts w:cs="Calibri Bold Italic"/>
          <w:sz w:val="22"/>
          <w:szCs w:val="22"/>
        </w:rPr>
      </w:pPr>
      <w:r w:rsidRPr="00083196">
        <w:rPr>
          <w:rFonts w:cs="Calibri Bold Italic"/>
          <w:sz w:val="22"/>
          <w:szCs w:val="22"/>
        </w:rPr>
        <w:t>Raymond Terrace, South Brisbane</w:t>
      </w:r>
    </w:p>
    <w:p w:rsidR="009F6ACE" w:rsidRPr="00083196" w:rsidRDefault="009F6ACE" w:rsidP="00083196">
      <w:pPr>
        <w:jc w:val="both"/>
        <w:rPr>
          <w:rFonts w:cs="Calibri Bold Italic"/>
          <w:sz w:val="22"/>
          <w:szCs w:val="22"/>
        </w:rPr>
      </w:pPr>
      <w:r w:rsidRPr="00083196">
        <w:rPr>
          <w:rFonts w:cs="Calibri Bold Italic"/>
          <w:sz w:val="22"/>
          <w:szCs w:val="22"/>
        </w:rPr>
        <w:t>QLD, 4101</w:t>
      </w:r>
    </w:p>
    <w:p w:rsidR="009F6ACE" w:rsidRPr="00083196" w:rsidRDefault="009F6ACE" w:rsidP="00083196">
      <w:pPr>
        <w:jc w:val="both"/>
        <w:rPr>
          <w:rFonts w:cs="Calibri Bold Italic"/>
          <w:sz w:val="22"/>
          <w:szCs w:val="22"/>
        </w:rPr>
      </w:pPr>
      <w:r w:rsidRPr="00083196">
        <w:rPr>
          <w:rFonts w:cs="Calibri Bold Italic"/>
          <w:sz w:val="22"/>
          <w:szCs w:val="22"/>
        </w:rPr>
        <w:t xml:space="preserve">Phone: </w:t>
      </w:r>
      <w:r w:rsidR="00411371" w:rsidRPr="00083196">
        <w:rPr>
          <w:rFonts w:cs="Calibri Bold Italic"/>
          <w:sz w:val="22"/>
          <w:szCs w:val="22"/>
        </w:rPr>
        <w:t>0481 616 516</w:t>
      </w:r>
    </w:p>
    <w:p w:rsidR="009F6ACE" w:rsidRPr="00083196" w:rsidRDefault="009F6ACE" w:rsidP="00083196">
      <w:pPr>
        <w:jc w:val="both"/>
        <w:rPr>
          <w:rFonts w:cs="Calibri Bold Italic"/>
          <w:sz w:val="22"/>
          <w:szCs w:val="22"/>
        </w:rPr>
      </w:pPr>
      <w:r w:rsidRPr="00083196">
        <w:rPr>
          <w:rFonts w:cs="Calibri Bold Italic"/>
          <w:sz w:val="22"/>
          <w:szCs w:val="22"/>
        </w:rPr>
        <w:t>Fax: 07 3163 1632</w:t>
      </w:r>
    </w:p>
    <w:p w:rsidR="009F6ACE" w:rsidRPr="00083196" w:rsidRDefault="009F6ACE" w:rsidP="00083196">
      <w:pPr>
        <w:jc w:val="both"/>
        <w:rPr>
          <w:rFonts w:cs="Calibri Bold Italic"/>
          <w:sz w:val="22"/>
          <w:szCs w:val="22"/>
        </w:rPr>
      </w:pPr>
      <w:r w:rsidRPr="00083196">
        <w:rPr>
          <w:rFonts w:cs="Calibri Bold Italic"/>
          <w:sz w:val="22"/>
          <w:szCs w:val="22"/>
        </w:rPr>
        <w:t xml:space="preserve">Email: </w:t>
      </w:r>
      <w:r w:rsidR="00411371" w:rsidRPr="00083196">
        <w:rPr>
          <w:rFonts w:cs="Calibri Bold Italic"/>
          <w:sz w:val="22"/>
          <w:szCs w:val="22"/>
        </w:rPr>
        <w:t>lucy.burr</w:t>
      </w:r>
      <w:r w:rsidRPr="00083196">
        <w:rPr>
          <w:rFonts w:cs="Calibri Bold Italic"/>
          <w:sz w:val="22"/>
          <w:szCs w:val="22"/>
        </w:rPr>
        <w:t>@mater.org.au</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b/>
          <w:sz w:val="22"/>
          <w:szCs w:val="22"/>
        </w:rPr>
      </w:pPr>
      <w:proofErr w:type="spellStart"/>
      <w:r w:rsidRPr="00083196">
        <w:rPr>
          <w:rFonts w:cs="Calibri Bold Italic"/>
          <w:b/>
          <w:sz w:val="22"/>
          <w:szCs w:val="22"/>
        </w:rPr>
        <w:t>Ms</w:t>
      </w:r>
      <w:proofErr w:type="spellEnd"/>
      <w:r w:rsidRPr="00083196">
        <w:rPr>
          <w:rFonts w:cs="Calibri Bold Italic"/>
          <w:b/>
          <w:sz w:val="22"/>
          <w:szCs w:val="22"/>
        </w:rPr>
        <w:t xml:space="preserve"> Megan Martin – Study Coordinator</w:t>
      </w:r>
    </w:p>
    <w:p w:rsidR="009F6ACE" w:rsidRPr="00083196" w:rsidRDefault="009F6ACE" w:rsidP="00083196">
      <w:pPr>
        <w:jc w:val="both"/>
        <w:rPr>
          <w:rFonts w:cs="Calibri Bold Italic"/>
          <w:sz w:val="22"/>
          <w:szCs w:val="22"/>
        </w:rPr>
      </w:pPr>
      <w:r w:rsidRPr="00083196">
        <w:rPr>
          <w:rFonts w:cs="Calibri Bold Italic"/>
          <w:sz w:val="22"/>
          <w:szCs w:val="22"/>
        </w:rPr>
        <w:t xml:space="preserve">Research </w:t>
      </w:r>
      <w:r w:rsidR="004B1058">
        <w:rPr>
          <w:rFonts w:cs="Calibri Bold Italic"/>
          <w:sz w:val="22"/>
          <w:szCs w:val="22"/>
        </w:rPr>
        <w:t>Manager</w:t>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p>
    <w:p w:rsidR="009F6ACE" w:rsidRPr="00083196" w:rsidRDefault="009F6ACE" w:rsidP="00083196">
      <w:pPr>
        <w:jc w:val="both"/>
        <w:rPr>
          <w:rFonts w:cs="Calibri Bold Italic"/>
          <w:sz w:val="22"/>
          <w:szCs w:val="22"/>
        </w:rPr>
      </w:pPr>
      <w:r w:rsidRPr="00083196">
        <w:rPr>
          <w:rFonts w:cs="Calibri Bold Italic"/>
          <w:sz w:val="22"/>
          <w:szCs w:val="22"/>
        </w:rPr>
        <w:t>Respiratory Medicine Department</w:t>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p>
    <w:p w:rsidR="009F6ACE" w:rsidRPr="00083196" w:rsidRDefault="009F6ACE" w:rsidP="00083196">
      <w:pPr>
        <w:jc w:val="both"/>
        <w:rPr>
          <w:rFonts w:cs="Calibri Bold Italic"/>
          <w:sz w:val="22"/>
          <w:szCs w:val="22"/>
        </w:rPr>
      </w:pPr>
      <w:r w:rsidRPr="00083196">
        <w:rPr>
          <w:rFonts w:cs="Calibri Bold Italic"/>
          <w:sz w:val="22"/>
          <w:szCs w:val="22"/>
        </w:rPr>
        <w:t xml:space="preserve">Level </w:t>
      </w:r>
      <w:r w:rsidR="004B1058">
        <w:rPr>
          <w:rFonts w:cs="Calibri Bold Italic"/>
          <w:sz w:val="22"/>
          <w:szCs w:val="22"/>
        </w:rPr>
        <w:t>3, Aubigny Place</w:t>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p>
    <w:p w:rsidR="009F6ACE" w:rsidRPr="00083196" w:rsidRDefault="009F6ACE" w:rsidP="00083196">
      <w:pPr>
        <w:jc w:val="both"/>
        <w:rPr>
          <w:rFonts w:cs="Calibri Bold Italic"/>
          <w:sz w:val="22"/>
          <w:szCs w:val="22"/>
        </w:rPr>
      </w:pPr>
      <w:r w:rsidRPr="00083196">
        <w:rPr>
          <w:rFonts w:cs="Calibri Bold Italic"/>
          <w:sz w:val="22"/>
          <w:szCs w:val="22"/>
        </w:rPr>
        <w:t>Raymond Terrace, South Brisbane</w:t>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p>
    <w:p w:rsidR="009F6ACE" w:rsidRPr="00083196" w:rsidRDefault="009F6ACE" w:rsidP="00083196">
      <w:pPr>
        <w:jc w:val="both"/>
        <w:rPr>
          <w:rFonts w:cs="Calibri Bold Italic"/>
          <w:sz w:val="22"/>
          <w:szCs w:val="22"/>
        </w:rPr>
      </w:pPr>
      <w:r w:rsidRPr="00083196">
        <w:rPr>
          <w:rFonts w:cs="Calibri Bold Italic"/>
          <w:sz w:val="22"/>
          <w:szCs w:val="22"/>
        </w:rPr>
        <w:t>Qld 4101</w:t>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p>
    <w:p w:rsidR="009F6ACE" w:rsidRPr="00083196" w:rsidRDefault="009F6ACE" w:rsidP="00083196">
      <w:pPr>
        <w:jc w:val="both"/>
        <w:rPr>
          <w:rFonts w:cs="Calibri Bold Italic"/>
          <w:sz w:val="22"/>
          <w:szCs w:val="22"/>
        </w:rPr>
      </w:pPr>
      <w:r w:rsidRPr="00083196">
        <w:rPr>
          <w:rFonts w:cs="Calibri Bold Italic"/>
          <w:sz w:val="22"/>
          <w:szCs w:val="22"/>
        </w:rPr>
        <w:t>Phone:  07 3163 2128</w:t>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p>
    <w:p w:rsidR="009F6ACE" w:rsidRPr="00083196" w:rsidRDefault="009F6ACE" w:rsidP="00083196">
      <w:pPr>
        <w:jc w:val="both"/>
        <w:rPr>
          <w:rFonts w:cs="Calibri Bold Italic"/>
          <w:sz w:val="22"/>
          <w:szCs w:val="22"/>
        </w:rPr>
      </w:pPr>
      <w:r w:rsidRPr="00083196">
        <w:rPr>
          <w:rFonts w:cs="Calibri Bold Italic"/>
          <w:sz w:val="22"/>
          <w:szCs w:val="22"/>
        </w:rPr>
        <w:t>Fax: 07 3163 8519</w:t>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r w:rsidRPr="00083196">
        <w:rPr>
          <w:rFonts w:cs="Calibri Bold Italic"/>
          <w:sz w:val="22"/>
          <w:szCs w:val="22"/>
        </w:rPr>
        <w:tab/>
      </w:r>
    </w:p>
    <w:p w:rsidR="009F6ACE" w:rsidRPr="00083196" w:rsidRDefault="009F6ACE" w:rsidP="00083196">
      <w:pPr>
        <w:jc w:val="both"/>
        <w:rPr>
          <w:rFonts w:cs="Calibri Bold Italic"/>
          <w:sz w:val="22"/>
          <w:szCs w:val="22"/>
        </w:rPr>
      </w:pPr>
      <w:r w:rsidRPr="00083196">
        <w:rPr>
          <w:rFonts w:cs="Calibri Bold Italic"/>
          <w:sz w:val="22"/>
          <w:szCs w:val="22"/>
        </w:rPr>
        <w:t>Email: megan.martin@mater.org.au</w:t>
      </w:r>
      <w:r w:rsidRPr="00083196">
        <w:rPr>
          <w:rFonts w:cs="Calibri Bold Italic"/>
          <w:sz w:val="22"/>
          <w:szCs w:val="22"/>
        </w:rPr>
        <w:tab/>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b/>
          <w:sz w:val="22"/>
          <w:szCs w:val="22"/>
        </w:rPr>
      </w:pPr>
    </w:p>
    <w:p w:rsidR="009F6ACE" w:rsidRPr="00083196" w:rsidRDefault="00411371" w:rsidP="00083196">
      <w:pPr>
        <w:jc w:val="both"/>
        <w:rPr>
          <w:rFonts w:cs="Calibri Bold Italic"/>
          <w:b/>
          <w:sz w:val="22"/>
          <w:szCs w:val="22"/>
        </w:rPr>
      </w:pPr>
      <w:r w:rsidRPr="00083196">
        <w:rPr>
          <w:rFonts w:cs="Calibri Bold Italic"/>
          <w:b/>
          <w:sz w:val="22"/>
          <w:szCs w:val="22"/>
        </w:rPr>
        <w:t>Collaborating sites:</w:t>
      </w:r>
    </w:p>
    <w:p w:rsidR="000449DF" w:rsidRPr="0088604B" w:rsidRDefault="000449DF" w:rsidP="000449DF">
      <w:pPr>
        <w:jc w:val="both"/>
        <w:rPr>
          <w:rFonts w:cs="Calibri Bold Italic"/>
          <w:b/>
          <w:sz w:val="22"/>
          <w:szCs w:val="22"/>
          <w:highlight w:val="yellow"/>
        </w:rPr>
      </w:pPr>
      <w:r w:rsidRPr="0088604B">
        <w:rPr>
          <w:rFonts w:cs="Calibri Bold Italic"/>
          <w:b/>
          <w:sz w:val="22"/>
          <w:szCs w:val="22"/>
          <w:highlight w:val="yellow"/>
        </w:rPr>
        <w:t>A/Prof Rachel Thomson</w:t>
      </w:r>
    </w:p>
    <w:p w:rsidR="000449DF" w:rsidRPr="0088604B" w:rsidRDefault="000449DF" w:rsidP="000449DF">
      <w:pPr>
        <w:pStyle w:val="ListParagraph"/>
        <w:numPr>
          <w:ilvl w:val="0"/>
          <w:numId w:val="9"/>
        </w:numPr>
        <w:jc w:val="both"/>
        <w:rPr>
          <w:rFonts w:cs="Calibri Bold Italic"/>
          <w:sz w:val="22"/>
          <w:szCs w:val="22"/>
          <w:highlight w:val="yellow"/>
        </w:rPr>
      </w:pPr>
      <w:r w:rsidRPr="0088604B">
        <w:rPr>
          <w:rFonts w:cs="Calibri Bold Italic"/>
          <w:sz w:val="22"/>
          <w:szCs w:val="22"/>
          <w:highlight w:val="yellow"/>
        </w:rPr>
        <w:t>Gallipoli</w:t>
      </w:r>
      <w:r>
        <w:rPr>
          <w:rFonts w:cs="Calibri Bold Italic"/>
          <w:sz w:val="22"/>
          <w:szCs w:val="22"/>
          <w:highlight w:val="yellow"/>
        </w:rPr>
        <w:t xml:space="preserve"> Medical</w:t>
      </w:r>
      <w:r w:rsidRPr="0088604B">
        <w:rPr>
          <w:rFonts w:cs="Calibri Bold Italic"/>
          <w:sz w:val="22"/>
          <w:szCs w:val="22"/>
          <w:highlight w:val="yellow"/>
        </w:rPr>
        <w:t xml:space="preserve"> Research </w:t>
      </w:r>
      <w:r>
        <w:rPr>
          <w:rFonts w:cs="Calibri Bold Italic"/>
          <w:sz w:val="22"/>
          <w:szCs w:val="22"/>
          <w:highlight w:val="yellow"/>
        </w:rPr>
        <w:t>Centre, Greenslopes Private Hospital</w:t>
      </w:r>
    </w:p>
    <w:p w:rsidR="000449DF" w:rsidRPr="0088604B" w:rsidRDefault="000449DF" w:rsidP="000449DF">
      <w:pPr>
        <w:jc w:val="both"/>
        <w:rPr>
          <w:rFonts w:cs="Calibri Bold Italic"/>
          <w:b/>
          <w:sz w:val="22"/>
          <w:szCs w:val="22"/>
          <w:highlight w:val="yellow"/>
        </w:rPr>
      </w:pPr>
    </w:p>
    <w:p w:rsidR="000449DF" w:rsidRPr="0088604B" w:rsidRDefault="000449DF" w:rsidP="000449DF">
      <w:pPr>
        <w:jc w:val="both"/>
        <w:rPr>
          <w:rFonts w:cs="Calibri Bold Italic"/>
          <w:b/>
          <w:sz w:val="22"/>
          <w:szCs w:val="22"/>
          <w:highlight w:val="yellow"/>
        </w:rPr>
      </w:pPr>
    </w:p>
    <w:p w:rsidR="000449DF" w:rsidRPr="0088604B" w:rsidRDefault="000449DF" w:rsidP="000449DF">
      <w:pPr>
        <w:jc w:val="both"/>
        <w:rPr>
          <w:rFonts w:cs="Calibri Bold Italic"/>
          <w:b/>
          <w:sz w:val="22"/>
          <w:szCs w:val="22"/>
          <w:highlight w:val="yellow"/>
        </w:rPr>
      </w:pPr>
      <w:r w:rsidRPr="0088604B">
        <w:rPr>
          <w:rFonts w:cs="Calibri Bold Italic"/>
          <w:b/>
          <w:sz w:val="22"/>
          <w:szCs w:val="22"/>
          <w:highlight w:val="yellow"/>
        </w:rPr>
        <w:t>A/Prof Lucy Morgan</w:t>
      </w:r>
    </w:p>
    <w:p w:rsidR="000449DF" w:rsidRPr="0088604B" w:rsidRDefault="000449DF" w:rsidP="000449DF">
      <w:pPr>
        <w:pStyle w:val="ListParagraph"/>
        <w:numPr>
          <w:ilvl w:val="0"/>
          <w:numId w:val="9"/>
        </w:numPr>
        <w:jc w:val="both"/>
        <w:rPr>
          <w:rFonts w:cs="Calibri Bold Italic"/>
          <w:sz w:val="22"/>
          <w:szCs w:val="22"/>
          <w:highlight w:val="yellow"/>
        </w:rPr>
      </w:pPr>
      <w:r w:rsidRPr="0088604B">
        <w:rPr>
          <w:rFonts w:cs="Calibri Bold Italic"/>
          <w:sz w:val="22"/>
          <w:szCs w:val="22"/>
          <w:highlight w:val="yellow"/>
        </w:rPr>
        <w:t>Concord Hospital</w:t>
      </w:r>
      <w:r>
        <w:rPr>
          <w:rFonts w:cs="Calibri Bold Italic"/>
          <w:sz w:val="22"/>
          <w:szCs w:val="22"/>
          <w:highlight w:val="yellow"/>
        </w:rPr>
        <w:t>, Sydney</w:t>
      </w:r>
    </w:p>
    <w:p w:rsidR="000449DF" w:rsidRPr="0088604B" w:rsidRDefault="000449DF" w:rsidP="000449DF">
      <w:pPr>
        <w:jc w:val="both"/>
        <w:rPr>
          <w:rFonts w:cs="Calibri Bold Italic"/>
          <w:b/>
          <w:sz w:val="22"/>
          <w:szCs w:val="22"/>
          <w:highlight w:val="yellow"/>
        </w:rPr>
      </w:pPr>
    </w:p>
    <w:p w:rsidR="000449DF" w:rsidRPr="0088604B" w:rsidRDefault="000449DF" w:rsidP="000449DF">
      <w:pPr>
        <w:jc w:val="both"/>
        <w:rPr>
          <w:rFonts w:cs="Calibri Bold Italic"/>
          <w:b/>
          <w:sz w:val="22"/>
          <w:szCs w:val="22"/>
          <w:highlight w:val="yellow"/>
        </w:rPr>
      </w:pPr>
    </w:p>
    <w:p w:rsidR="000449DF" w:rsidRPr="0088604B" w:rsidRDefault="000449DF" w:rsidP="000449DF">
      <w:pPr>
        <w:jc w:val="both"/>
        <w:rPr>
          <w:rFonts w:cs="Calibri Bold Italic"/>
          <w:b/>
          <w:sz w:val="22"/>
          <w:szCs w:val="22"/>
          <w:highlight w:val="yellow"/>
        </w:rPr>
      </w:pPr>
    </w:p>
    <w:p w:rsidR="000449DF" w:rsidRPr="0088604B" w:rsidRDefault="000449DF" w:rsidP="000449DF">
      <w:pPr>
        <w:jc w:val="both"/>
        <w:rPr>
          <w:rFonts w:cs="Calibri Bold Italic"/>
          <w:b/>
          <w:sz w:val="22"/>
          <w:szCs w:val="22"/>
        </w:rPr>
      </w:pPr>
      <w:r w:rsidRPr="0088604B">
        <w:rPr>
          <w:rFonts w:cs="Calibri Bold Italic"/>
          <w:b/>
          <w:sz w:val="22"/>
          <w:szCs w:val="22"/>
          <w:highlight w:val="yellow"/>
        </w:rPr>
        <w:t>A/Prof Geraint Rogers</w:t>
      </w:r>
    </w:p>
    <w:p w:rsidR="000449DF" w:rsidRPr="0088604B" w:rsidRDefault="000449DF" w:rsidP="000449DF">
      <w:pPr>
        <w:pStyle w:val="ListParagraph"/>
        <w:numPr>
          <w:ilvl w:val="0"/>
          <w:numId w:val="9"/>
        </w:numPr>
        <w:jc w:val="both"/>
        <w:rPr>
          <w:rFonts w:cs="Calibri Bold Italic"/>
          <w:sz w:val="22"/>
          <w:szCs w:val="22"/>
          <w:highlight w:val="yellow"/>
        </w:rPr>
      </w:pPr>
      <w:r w:rsidRPr="0088604B">
        <w:rPr>
          <w:rFonts w:cs="Calibri Bold Italic"/>
          <w:sz w:val="22"/>
          <w:szCs w:val="22"/>
          <w:highlight w:val="yellow"/>
        </w:rPr>
        <w:t>SAHMRI</w:t>
      </w: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p>
    <w:p w:rsidR="00411371" w:rsidRPr="00083196" w:rsidRDefault="00411371" w:rsidP="00083196">
      <w:pPr>
        <w:spacing w:after="200" w:line="276" w:lineRule="auto"/>
        <w:jc w:val="both"/>
        <w:rPr>
          <w:rFonts w:cs="Calibri Bold Italic"/>
          <w:b/>
          <w:sz w:val="22"/>
          <w:szCs w:val="22"/>
        </w:rPr>
      </w:pPr>
      <w:r w:rsidRPr="00083196">
        <w:rPr>
          <w:rFonts w:cs="Calibri Bold Italic"/>
          <w:b/>
          <w:sz w:val="22"/>
          <w:szCs w:val="22"/>
        </w:rPr>
        <w:br w:type="page"/>
      </w: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u w:val="single"/>
        </w:rPr>
      </w:pPr>
    </w:p>
    <w:p w:rsidR="009F6ACE" w:rsidRPr="00083196" w:rsidRDefault="009F6ACE" w:rsidP="00083196">
      <w:pPr>
        <w:jc w:val="both"/>
        <w:rPr>
          <w:rFonts w:cs="Calibri Bold Italic"/>
          <w:b/>
          <w:sz w:val="22"/>
          <w:szCs w:val="22"/>
          <w:u w:val="single"/>
        </w:rPr>
      </w:pPr>
      <w:r w:rsidRPr="00083196">
        <w:rPr>
          <w:rFonts w:cs="Calibri Bold Italic"/>
          <w:b/>
          <w:sz w:val="22"/>
          <w:szCs w:val="22"/>
          <w:u w:val="single"/>
        </w:rPr>
        <w:t>Ethics Submission</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r w:rsidRPr="00083196">
        <w:rPr>
          <w:rFonts w:cs="Calibri Bold Italic"/>
          <w:b/>
          <w:sz w:val="22"/>
          <w:szCs w:val="22"/>
        </w:rPr>
        <w:t>Title</w:t>
      </w:r>
    </w:p>
    <w:p w:rsidR="009F6ACE" w:rsidRPr="00083196" w:rsidRDefault="009F6ACE" w:rsidP="00083196">
      <w:pPr>
        <w:jc w:val="both"/>
        <w:rPr>
          <w:rFonts w:cs="Calibri Bold Italic"/>
          <w:sz w:val="22"/>
          <w:szCs w:val="22"/>
        </w:rPr>
      </w:pPr>
      <w:r w:rsidRPr="00083196">
        <w:rPr>
          <w:rFonts w:cs="Calibri Bold Italic"/>
          <w:sz w:val="22"/>
          <w:szCs w:val="22"/>
        </w:rPr>
        <w:t>Macrolide-resistance in the oropharyngeal flora of cohabitants of non-CF bronchiectasis patients treated with long-term erythromycin</w:t>
      </w:r>
      <w:r w:rsidR="00411371" w:rsidRPr="00083196">
        <w:rPr>
          <w:rFonts w:cs="Calibri Bold Italic"/>
          <w:sz w:val="22"/>
          <w:szCs w:val="22"/>
        </w:rPr>
        <w:t xml:space="preserve"> or azithromycin</w:t>
      </w:r>
      <w:r w:rsidRPr="00083196">
        <w:rPr>
          <w:rFonts w:cs="Calibri Bold Italic"/>
          <w:sz w:val="22"/>
          <w:szCs w:val="22"/>
        </w:rPr>
        <w:t>. A cross sectional cohort study.</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r w:rsidRPr="00083196">
        <w:rPr>
          <w:rFonts w:cs="Calibri Bold Italic"/>
          <w:b/>
          <w:sz w:val="22"/>
          <w:szCs w:val="22"/>
        </w:rPr>
        <w:t>Background</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vertAlign w:val="superscript"/>
        </w:rPr>
      </w:pPr>
      <w:r w:rsidRPr="00083196">
        <w:rPr>
          <w:rFonts w:cs="Calibri Bold Italic"/>
          <w:sz w:val="22"/>
          <w:szCs w:val="22"/>
        </w:rPr>
        <w:t xml:space="preserve">Non-CF bronchiectasis is responsible for significant morbidity and mortality and represents a significant clinical burden to both patients and healthcare systems as a whole. </w:t>
      </w:r>
      <w:proofErr w:type="spellStart"/>
      <w:r w:rsidRPr="00083196">
        <w:rPr>
          <w:rFonts w:cs="Calibri Bold Italic"/>
          <w:sz w:val="22"/>
          <w:szCs w:val="22"/>
        </w:rPr>
        <w:t>Hospitilizations</w:t>
      </w:r>
      <w:proofErr w:type="spellEnd"/>
      <w:r w:rsidRPr="00083196">
        <w:rPr>
          <w:rFonts w:cs="Calibri Bold Italic"/>
          <w:sz w:val="22"/>
          <w:szCs w:val="22"/>
        </w:rPr>
        <w:t xml:space="preserve"> and deaths attributed to bronchiectasis in developed countries including Australia have steadily increased in recent years.</w:t>
      </w:r>
      <w:r w:rsidRPr="00083196">
        <w:rPr>
          <w:rFonts w:cs="Calibri Bold Italic"/>
          <w:sz w:val="22"/>
          <w:szCs w:val="22"/>
          <w:vertAlign w:val="superscript"/>
        </w:rPr>
        <w:t>1,2.</w:t>
      </w:r>
      <w:r w:rsidRPr="00083196">
        <w:rPr>
          <w:rFonts w:cs="Calibri Bold Italic"/>
          <w:sz w:val="22"/>
          <w:szCs w:val="22"/>
        </w:rPr>
        <w:t xml:space="preserve"> Bronchiectasis is also responsible for longer hospital admissions, more frequent outpatient visits, and greater treatment burden than matched controls with other chronic conditions.</w:t>
      </w:r>
      <w:r w:rsidRPr="00083196">
        <w:rPr>
          <w:rFonts w:cs="Calibri Bold Italic"/>
          <w:sz w:val="22"/>
          <w:szCs w:val="22"/>
          <w:vertAlign w:val="superscript"/>
        </w:rPr>
        <w:t>3.</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 xml:space="preserve">Traditionally, outpatient pharmacological management of non-CF bronchiectasis has been limited. Fortunately, multiple recent prospective randomized controlled trials and a </w:t>
      </w:r>
      <w:proofErr w:type="spellStart"/>
      <w:r w:rsidRPr="00083196">
        <w:rPr>
          <w:rFonts w:cs="Calibri Bold Italic"/>
          <w:sz w:val="22"/>
          <w:szCs w:val="22"/>
        </w:rPr>
        <w:t>maeta</w:t>
      </w:r>
      <w:proofErr w:type="spellEnd"/>
      <w:r w:rsidRPr="00083196">
        <w:rPr>
          <w:rFonts w:cs="Calibri Bold Italic"/>
          <w:sz w:val="22"/>
          <w:szCs w:val="22"/>
        </w:rPr>
        <w:t>-analysis have demonstrated a role for long term macrolide antibiotic therapy in a selected subgroup of patients.</w:t>
      </w:r>
      <w:r w:rsidRPr="00083196">
        <w:rPr>
          <w:rFonts w:cs="Calibri Bold Italic"/>
          <w:sz w:val="22"/>
          <w:szCs w:val="22"/>
          <w:vertAlign w:val="superscript"/>
        </w:rPr>
        <w:t>4,5,6.</w:t>
      </w:r>
      <w:r w:rsidRPr="00083196">
        <w:rPr>
          <w:rFonts w:cs="Calibri Bold Italic"/>
          <w:sz w:val="22"/>
          <w:szCs w:val="22"/>
        </w:rPr>
        <w:t xml:space="preserve"> Benefits include a reduction in exacerbation frequency, improved quality of life, improved symptoms, and improved lung function. Despite these encouraging results, the predominant concern for long-term macrolide therapy is an increased development of macrolide resistance in pneumococcal isolates which was repeatedly demonstrated in the above trials. The choice of macrolide is also significant with evidence to suggest that the longer acting azithromycin use may confer high rates of macrolide resistance than erythromycin</w:t>
      </w:r>
      <w:r w:rsidR="00A52460">
        <w:rPr>
          <w:rFonts w:cs="Calibri Bold Italic"/>
          <w:sz w:val="22"/>
          <w:szCs w:val="22"/>
          <w:vertAlign w:val="superscript"/>
        </w:rPr>
        <w:t>7</w:t>
      </w:r>
      <w:r w:rsidRPr="00083196">
        <w:rPr>
          <w:rFonts w:cs="Calibri Bold Italic"/>
          <w:sz w:val="22"/>
          <w:szCs w:val="22"/>
        </w:rPr>
        <w:t xml:space="preserve">. </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 xml:space="preserve">While direct induction of antimicrobial resistance in patients prescribed long term macrolide therapy is a legitimate concern, of potentially greater concern is the potential impact such therapy has on population resistance rates. Background rates of macrolide resistance in </w:t>
      </w:r>
      <w:r w:rsidRPr="00083196">
        <w:rPr>
          <w:rFonts w:cs="Calibri Bold Italic"/>
          <w:i/>
          <w:sz w:val="22"/>
          <w:szCs w:val="22"/>
        </w:rPr>
        <w:t>Streptococcus pneumoniae</w:t>
      </w:r>
      <w:r w:rsidRPr="00083196">
        <w:rPr>
          <w:rFonts w:cs="Calibri Bold Italic"/>
          <w:sz w:val="22"/>
          <w:szCs w:val="22"/>
        </w:rPr>
        <w:t xml:space="preserve"> isolates vary significantly between populations however most countries report rates of at least 10%, rising to almost 100% in some regions</w:t>
      </w:r>
      <w:r w:rsidRPr="00083196">
        <w:rPr>
          <w:rFonts w:cs="Calibri Bold Italic"/>
          <w:sz w:val="22"/>
          <w:szCs w:val="22"/>
          <w:vertAlign w:val="superscript"/>
        </w:rPr>
        <w:t>7</w:t>
      </w:r>
      <w:r w:rsidRPr="00083196">
        <w:rPr>
          <w:rFonts w:cs="Calibri Bold Italic"/>
          <w:sz w:val="22"/>
          <w:szCs w:val="22"/>
        </w:rPr>
        <w:t xml:space="preserve">. A meta-analysis in 2005 including over 400 studies reported pooled macrolide resistance rates of approximately 30% in </w:t>
      </w:r>
      <w:r w:rsidRPr="00083196">
        <w:rPr>
          <w:rFonts w:cs="Calibri Bold Italic"/>
          <w:i/>
          <w:sz w:val="22"/>
          <w:szCs w:val="22"/>
        </w:rPr>
        <w:t>Streptococcus species</w:t>
      </w:r>
      <w:r w:rsidRPr="00083196">
        <w:rPr>
          <w:rFonts w:cs="Calibri Bold Italic"/>
          <w:i/>
          <w:sz w:val="22"/>
          <w:szCs w:val="22"/>
          <w:vertAlign w:val="superscript"/>
        </w:rPr>
        <w:t>8</w:t>
      </w:r>
      <w:r w:rsidRPr="00083196">
        <w:rPr>
          <w:rFonts w:cs="Calibri Bold Italic"/>
          <w:sz w:val="22"/>
          <w:szCs w:val="22"/>
        </w:rPr>
        <w:t xml:space="preserve">. </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Macrolide resistance has been shown to occur in tandem with the development of penicillin resistance. In addition macrolide resistance can occur independently of this and in some parts of the world macrolide resistance rates exceed those of penicillin resistance</w:t>
      </w:r>
      <w:r w:rsidRPr="00083196">
        <w:rPr>
          <w:rFonts w:cs="Calibri Bold Italic"/>
          <w:sz w:val="22"/>
          <w:szCs w:val="22"/>
          <w:vertAlign w:val="superscript"/>
        </w:rPr>
        <w:t>9</w:t>
      </w:r>
      <w:r w:rsidRPr="00083196">
        <w:rPr>
          <w:rFonts w:cs="Calibri Bold Italic"/>
          <w:sz w:val="22"/>
          <w:szCs w:val="22"/>
        </w:rPr>
        <w:t>. Multiple population studies have demonstrated an association between macrolide exposure and resistance rates with increased macrolide use leading to an increase in population resistance</w:t>
      </w:r>
      <w:r w:rsidRPr="00083196">
        <w:rPr>
          <w:rFonts w:cs="Calibri Bold Italic"/>
          <w:sz w:val="22"/>
          <w:szCs w:val="22"/>
          <w:vertAlign w:val="superscript"/>
        </w:rPr>
        <w:t>7</w:t>
      </w:r>
      <w:r w:rsidRPr="00083196">
        <w:rPr>
          <w:rFonts w:cs="Calibri Bold Italic"/>
          <w:sz w:val="22"/>
          <w:szCs w:val="22"/>
        </w:rPr>
        <w:t xml:space="preserve">. </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An important mechanism for the development of population resistance is clonal spread with nasopharyngeal carriage responsible for dissemination of resistant strains from carriers to close contacts</w:t>
      </w:r>
      <w:r w:rsidRPr="00083196">
        <w:rPr>
          <w:rFonts w:cs="Calibri Bold Italic"/>
          <w:sz w:val="22"/>
          <w:szCs w:val="22"/>
          <w:vertAlign w:val="superscript"/>
        </w:rPr>
        <w:t>10</w:t>
      </w:r>
      <w:r w:rsidRPr="00083196">
        <w:rPr>
          <w:rFonts w:cs="Calibri Bold Italic"/>
          <w:sz w:val="22"/>
          <w:szCs w:val="22"/>
        </w:rPr>
        <w:t xml:space="preserve">. Clonal spread of resistant strains may be facilitated by hospitals, chronic health care facilities, and day care </w:t>
      </w:r>
      <w:proofErr w:type="spellStart"/>
      <w:r w:rsidRPr="00083196">
        <w:rPr>
          <w:rFonts w:cs="Calibri Bold Italic"/>
          <w:sz w:val="22"/>
          <w:szCs w:val="22"/>
        </w:rPr>
        <w:t>centres</w:t>
      </w:r>
      <w:proofErr w:type="spellEnd"/>
      <w:r w:rsidRPr="00083196">
        <w:rPr>
          <w:rFonts w:cs="Calibri Bold Italic"/>
          <w:sz w:val="22"/>
          <w:szCs w:val="22"/>
        </w:rPr>
        <w:t xml:space="preserve">. Transmission is also accelerated via selection </w:t>
      </w:r>
      <w:r w:rsidRPr="00083196">
        <w:rPr>
          <w:rFonts w:cs="Calibri Bold Italic"/>
          <w:sz w:val="22"/>
          <w:szCs w:val="22"/>
        </w:rPr>
        <w:lastRenderedPageBreak/>
        <w:t xml:space="preserve">pressure from antibiotic use with recent antibiotic use associated with higher rates of nasopharyngeal carriage of macrolide resistant </w:t>
      </w:r>
      <w:r w:rsidRPr="00083196">
        <w:rPr>
          <w:rFonts w:cs="Calibri Bold Italic"/>
          <w:i/>
          <w:sz w:val="22"/>
          <w:szCs w:val="22"/>
        </w:rPr>
        <w:t>S. pneumoniae</w:t>
      </w:r>
      <w:r w:rsidRPr="00083196">
        <w:rPr>
          <w:rFonts w:cs="Calibri Bold Italic"/>
          <w:sz w:val="22"/>
          <w:szCs w:val="22"/>
        </w:rPr>
        <w:t xml:space="preserve"> isolates</w:t>
      </w:r>
      <w:r w:rsidRPr="00083196">
        <w:rPr>
          <w:rFonts w:cs="Calibri Bold Italic"/>
          <w:sz w:val="22"/>
          <w:szCs w:val="22"/>
          <w:vertAlign w:val="superscript"/>
        </w:rPr>
        <w:t>11</w:t>
      </w:r>
      <w:r w:rsidRPr="00083196">
        <w:rPr>
          <w:rFonts w:cs="Calibri Bold Italic"/>
          <w:sz w:val="22"/>
          <w:szCs w:val="22"/>
        </w:rPr>
        <w:t>.</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Macrolides therapy now serves a vital role in the long-term management of multiple chronic lung diseases including CF bronchiectasis, non-CF bronchiectasis and chronic obstructive pulmonary disease (COPD). Concerns over the development of population resistance are valid given the association between the magnitude of macrolide use and resistance rates. Although clonal spread of resistance via nasopharyngeal carriage is thought to be a mechanism for the spread of resistance, the exact rates of clonal transmission have not been fully explored, particularly in non-CF bronchiectasis. Our study will attempt to provide an answer to this question.  The results of this study will add to the literature to guide informed and rationale prescription of long-term macrolide therapy in non-CF bronchiectasis.</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p>
    <w:p w:rsidR="009F6ACE" w:rsidRPr="00D729B0" w:rsidRDefault="009F6ACE" w:rsidP="00083196">
      <w:pPr>
        <w:jc w:val="both"/>
        <w:rPr>
          <w:rFonts w:cs="Calibri Bold Italic"/>
          <w:b/>
          <w:sz w:val="22"/>
          <w:szCs w:val="22"/>
          <w:highlight w:val="yellow"/>
        </w:rPr>
      </w:pPr>
      <w:r w:rsidRPr="00D729B0">
        <w:rPr>
          <w:rFonts w:cs="Calibri Bold Italic"/>
          <w:b/>
          <w:sz w:val="22"/>
          <w:szCs w:val="22"/>
          <w:highlight w:val="yellow"/>
        </w:rPr>
        <w:t>Aim</w:t>
      </w:r>
    </w:p>
    <w:p w:rsidR="009F6ACE" w:rsidRPr="00D729B0" w:rsidRDefault="009F6ACE" w:rsidP="00083196">
      <w:pPr>
        <w:jc w:val="both"/>
        <w:rPr>
          <w:rFonts w:cs="Calibri Bold Italic"/>
          <w:sz w:val="22"/>
          <w:szCs w:val="22"/>
          <w:highlight w:val="yellow"/>
        </w:rPr>
      </w:pPr>
      <w:r w:rsidRPr="00D729B0">
        <w:rPr>
          <w:rFonts w:cs="Calibri Bold Italic"/>
          <w:sz w:val="22"/>
          <w:szCs w:val="22"/>
          <w:highlight w:val="yellow"/>
        </w:rPr>
        <w:t>To quantify macrolide resistance in oropharyngeal streptococcal species in the cohabitants of patients prescribed long-term erythromycin</w:t>
      </w:r>
      <w:r w:rsidR="00411371" w:rsidRPr="00D729B0">
        <w:rPr>
          <w:rFonts w:cs="Calibri Bold Italic"/>
          <w:sz w:val="22"/>
          <w:szCs w:val="22"/>
          <w:highlight w:val="yellow"/>
        </w:rPr>
        <w:t xml:space="preserve"> or azithromycin</w:t>
      </w:r>
      <w:r w:rsidRPr="00D729B0">
        <w:rPr>
          <w:rFonts w:cs="Calibri Bold Italic"/>
          <w:sz w:val="22"/>
          <w:szCs w:val="22"/>
          <w:highlight w:val="yellow"/>
        </w:rPr>
        <w:t xml:space="preserve"> for non-CF bronchiectasis, compared with matched, macrolide-naïve controls.</w:t>
      </w:r>
    </w:p>
    <w:p w:rsidR="009F6ACE" w:rsidRPr="00D729B0" w:rsidRDefault="009F6ACE" w:rsidP="00083196">
      <w:pPr>
        <w:jc w:val="both"/>
        <w:rPr>
          <w:rFonts w:cs="Calibri Bold Italic"/>
          <w:sz w:val="22"/>
          <w:szCs w:val="22"/>
          <w:highlight w:val="yellow"/>
        </w:rPr>
      </w:pPr>
    </w:p>
    <w:p w:rsidR="009F6ACE" w:rsidRPr="00D729B0" w:rsidRDefault="009F6ACE" w:rsidP="00083196">
      <w:pPr>
        <w:jc w:val="both"/>
        <w:rPr>
          <w:rFonts w:cs="Calibri Bold Italic"/>
          <w:sz w:val="22"/>
          <w:szCs w:val="22"/>
          <w:highlight w:val="yellow"/>
        </w:rPr>
      </w:pPr>
    </w:p>
    <w:p w:rsidR="009F6ACE" w:rsidRPr="00D729B0" w:rsidRDefault="009F6ACE" w:rsidP="00083196">
      <w:pPr>
        <w:jc w:val="both"/>
        <w:rPr>
          <w:rFonts w:cs="Calibri Bold Italic"/>
          <w:b/>
          <w:sz w:val="22"/>
          <w:szCs w:val="22"/>
          <w:highlight w:val="yellow"/>
        </w:rPr>
      </w:pPr>
      <w:r w:rsidRPr="00D729B0">
        <w:rPr>
          <w:rFonts w:cs="Calibri Bold Italic"/>
          <w:b/>
          <w:sz w:val="22"/>
          <w:szCs w:val="22"/>
          <w:highlight w:val="yellow"/>
        </w:rPr>
        <w:t>Objectives</w:t>
      </w:r>
    </w:p>
    <w:p w:rsidR="009F6ACE" w:rsidRPr="00D729B0" w:rsidRDefault="009F6ACE" w:rsidP="00083196">
      <w:pPr>
        <w:pStyle w:val="ListParagraph"/>
        <w:numPr>
          <w:ilvl w:val="0"/>
          <w:numId w:val="2"/>
        </w:numPr>
        <w:jc w:val="both"/>
        <w:rPr>
          <w:rFonts w:cs="Calibri Bold Italic"/>
          <w:sz w:val="22"/>
          <w:szCs w:val="22"/>
          <w:highlight w:val="yellow"/>
        </w:rPr>
      </w:pPr>
      <w:r w:rsidRPr="00D729B0">
        <w:rPr>
          <w:rFonts w:cs="Calibri Bold Italic"/>
          <w:sz w:val="22"/>
          <w:szCs w:val="22"/>
          <w:highlight w:val="yellow"/>
        </w:rPr>
        <w:t>To determine if the cohabitants of subjects taking maintenance erythromycin</w:t>
      </w:r>
      <w:r w:rsidR="00411371" w:rsidRPr="00D729B0">
        <w:rPr>
          <w:rFonts w:cs="Calibri Bold Italic"/>
          <w:sz w:val="22"/>
          <w:szCs w:val="22"/>
          <w:highlight w:val="yellow"/>
        </w:rPr>
        <w:t xml:space="preserve"> or azithromycin</w:t>
      </w:r>
      <w:r w:rsidRPr="00D729B0">
        <w:rPr>
          <w:rFonts w:cs="Calibri Bold Italic"/>
          <w:sz w:val="22"/>
          <w:szCs w:val="22"/>
          <w:highlight w:val="yellow"/>
        </w:rPr>
        <w:t xml:space="preserve"> therapy will harbor macrolide resistant oropharyngeal flora in greater proportions than close contacts of control subjects not taking macrolide antibiotics</w:t>
      </w:r>
    </w:p>
    <w:p w:rsidR="009F6ACE" w:rsidRPr="00D729B0" w:rsidRDefault="009F6ACE" w:rsidP="00083196">
      <w:pPr>
        <w:pStyle w:val="ListParagraph"/>
        <w:numPr>
          <w:ilvl w:val="0"/>
          <w:numId w:val="2"/>
        </w:numPr>
        <w:jc w:val="both"/>
        <w:rPr>
          <w:rFonts w:cs="Calibri Bold Italic"/>
          <w:sz w:val="22"/>
          <w:szCs w:val="22"/>
          <w:highlight w:val="yellow"/>
        </w:rPr>
      </w:pPr>
      <w:r w:rsidRPr="00D729B0">
        <w:rPr>
          <w:rFonts w:cs="Calibri Bold Italic"/>
          <w:sz w:val="22"/>
          <w:szCs w:val="22"/>
          <w:highlight w:val="yellow"/>
        </w:rPr>
        <w:t xml:space="preserve">To </w:t>
      </w:r>
      <w:proofErr w:type="spellStart"/>
      <w:r w:rsidRPr="00D729B0">
        <w:rPr>
          <w:rFonts w:cs="Calibri Bold Italic"/>
          <w:sz w:val="22"/>
          <w:szCs w:val="22"/>
          <w:highlight w:val="yellow"/>
        </w:rPr>
        <w:t>characterise</w:t>
      </w:r>
      <w:proofErr w:type="spellEnd"/>
      <w:r w:rsidRPr="00D729B0">
        <w:rPr>
          <w:rFonts w:cs="Calibri Bold Italic"/>
          <w:sz w:val="22"/>
          <w:szCs w:val="22"/>
          <w:highlight w:val="yellow"/>
        </w:rPr>
        <w:t xml:space="preserve"> oropharyngeal microbiota composition of non-CF bronchiectasis subjects taking maintenance erythromycin</w:t>
      </w:r>
      <w:r w:rsidR="00411371" w:rsidRPr="00D729B0">
        <w:rPr>
          <w:rFonts w:cs="Calibri Bold Italic"/>
          <w:sz w:val="22"/>
          <w:szCs w:val="22"/>
          <w:highlight w:val="yellow"/>
        </w:rPr>
        <w:t xml:space="preserve"> or azithromycin</w:t>
      </w:r>
      <w:r w:rsidRPr="00D729B0">
        <w:rPr>
          <w:rFonts w:cs="Calibri Bold Italic"/>
          <w:sz w:val="22"/>
          <w:szCs w:val="22"/>
          <w:highlight w:val="yellow"/>
        </w:rPr>
        <w:t xml:space="preserve"> therapy, their cohabitants, and matched subjects not prescribed macrolides </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b/>
          <w:sz w:val="22"/>
          <w:szCs w:val="22"/>
        </w:rPr>
      </w:pPr>
      <w:r w:rsidRPr="00083196">
        <w:rPr>
          <w:rFonts w:cs="Calibri Bold Italic"/>
          <w:b/>
          <w:sz w:val="22"/>
          <w:szCs w:val="22"/>
        </w:rPr>
        <w:t>Hypothesis</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Cohabitants of non-CF bronchiectasis subjects who have received long-term maintenance erythromycin</w:t>
      </w:r>
      <w:r w:rsidR="00411371" w:rsidRPr="00083196">
        <w:rPr>
          <w:rFonts w:cs="Calibri Bold Italic"/>
          <w:sz w:val="22"/>
          <w:szCs w:val="22"/>
        </w:rPr>
        <w:t xml:space="preserve"> or azithromycin</w:t>
      </w:r>
      <w:r w:rsidRPr="00083196">
        <w:rPr>
          <w:rFonts w:cs="Calibri Bold Italic"/>
          <w:sz w:val="22"/>
          <w:szCs w:val="22"/>
        </w:rPr>
        <w:t xml:space="preserve"> will harbor macrolide-resistant oropharyngeal streptococci in higher proportions than the cohabitants of matched control subjects not exposed to macrolide therapy.</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b/>
          <w:sz w:val="22"/>
          <w:szCs w:val="22"/>
        </w:rPr>
      </w:pPr>
      <w:r w:rsidRPr="00083196">
        <w:rPr>
          <w:rFonts w:cs="Calibri Bold Italic"/>
          <w:b/>
          <w:sz w:val="22"/>
          <w:szCs w:val="22"/>
        </w:rPr>
        <w:t>Design</w:t>
      </w: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The study will be a prospective, cross sectional case controlled cohort study.</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b/>
          <w:sz w:val="22"/>
          <w:szCs w:val="22"/>
        </w:rPr>
      </w:pPr>
      <w:r w:rsidRPr="00083196">
        <w:rPr>
          <w:rFonts w:cs="Calibri Bold Italic"/>
          <w:b/>
          <w:sz w:val="22"/>
          <w:szCs w:val="22"/>
        </w:rPr>
        <w:t>Setting/Location</w:t>
      </w:r>
    </w:p>
    <w:p w:rsidR="009F6ACE" w:rsidRPr="00083196" w:rsidRDefault="009F6ACE" w:rsidP="00083196">
      <w:pPr>
        <w:jc w:val="both"/>
        <w:rPr>
          <w:rFonts w:cs="Calibri Bold Italic"/>
          <w:b/>
          <w:sz w:val="22"/>
          <w:szCs w:val="22"/>
        </w:rPr>
      </w:pPr>
    </w:p>
    <w:p w:rsidR="00411371" w:rsidRPr="00083196" w:rsidRDefault="009F6ACE" w:rsidP="00083196">
      <w:pPr>
        <w:jc w:val="both"/>
        <w:rPr>
          <w:rFonts w:cs="Calibri Bold Italic"/>
          <w:sz w:val="22"/>
          <w:szCs w:val="22"/>
        </w:rPr>
      </w:pPr>
      <w:r w:rsidRPr="00083196">
        <w:rPr>
          <w:rFonts w:cs="Calibri Bold Italic"/>
          <w:sz w:val="22"/>
          <w:szCs w:val="22"/>
        </w:rPr>
        <w:t xml:space="preserve">This will be a </w:t>
      </w:r>
      <w:r w:rsidR="00411371" w:rsidRPr="00083196">
        <w:rPr>
          <w:rFonts w:cs="Calibri Bold Italic"/>
          <w:sz w:val="22"/>
          <w:szCs w:val="22"/>
        </w:rPr>
        <w:t>multi-</w:t>
      </w:r>
      <w:proofErr w:type="spellStart"/>
      <w:r w:rsidRPr="00083196">
        <w:rPr>
          <w:rFonts w:cs="Calibri Bold Italic"/>
          <w:sz w:val="22"/>
          <w:szCs w:val="22"/>
        </w:rPr>
        <w:t>centre</w:t>
      </w:r>
      <w:proofErr w:type="spellEnd"/>
      <w:r w:rsidRPr="00083196">
        <w:rPr>
          <w:rFonts w:cs="Calibri Bold Italic"/>
          <w:sz w:val="22"/>
          <w:szCs w:val="22"/>
        </w:rPr>
        <w:t xml:space="preserve"> study carried out in the</w:t>
      </w:r>
      <w:r w:rsidR="00411371" w:rsidRPr="00083196">
        <w:rPr>
          <w:rFonts w:cs="Calibri Bold Italic"/>
          <w:sz w:val="22"/>
          <w:szCs w:val="22"/>
        </w:rPr>
        <w:t xml:space="preserve"> sites listed below:</w:t>
      </w:r>
    </w:p>
    <w:p w:rsidR="00411371" w:rsidRPr="00083196" w:rsidRDefault="00411371" w:rsidP="00083196">
      <w:pPr>
        <w:jc w:val="both"/>
        <w:rPr>
          <w:rFonts w:cs="Calibri Bold Italic"/>
          <w:sz w:val="22"/>
          <w:szCs w:val="22"/>
        </w:rPr>
      </w:pPr>
    </w:p>
    <w:p w:rsidR="009F6ACE" w:rsidRPr="00083196" w:rsidRDefault="009F6ACE" w:rsidP="00083196">
      <w:pPr>
        <w:pStyle w:val="ListParagraph"/>
        <w:numPr>
          <w:ilvl w:val="0"/>
          <w:numId w:val="9"/>
        </w:numPr>
        <w:jc w:val="both"/>
        <w:rPr>
          <w:rFonts w:cs="Calibri Bold Italic"/>
          <w:sz w:val="22"/>
          <w:szCs w:val="22"/>
        </w:rPr>
      </w:pPr>
      <w:r w:rsidRPr="00083196">
        <w:rPr>
          <w:rFonts w:cs="Calibri Bold Italic"/>
          <w:sz w:val="22"/>
          <w:szCs w:val="22"/>
        </w:rPr>
        <w:t xml:space="preserve">Department of Respiratory Medicine, Mater </w:t>
      </w:r>
      <w:r w:rsidR="00E73F62" w:rsidRPr="00083196">
        <w:rPr>
          <w:rFonts w:cs="Calibri Bold Italic"/>
          <w:sz w:val="22"/>
          <w:szCs w:val="22"/>
        </w:rPr>
        <w:t>Health Services, South</w:t>
      </w:r>
      <w:r w:rsidRPr="00083196">
        <w:rPr>
          <w:rFonts w:cs="Calibri Bold Italic"/>
          <w:sz w:val="22"/>
          <w:szCs w:val="22"/>
        </w:rPr>
        <w:t xml:space="preserve"> Brisbane, QLD, Australia.</w:t>
      </w:r>
    </w:p>
    <w:p w:rsidR="00411371" w:rsidRPr="00083196" w:rsidRDefault="00411371" w:rsidP="00083196">
      <w:pPr>
        <w:pStyle w:val="ListParagraph"/>
        <w:numPr>
          <w:ilvl w:val="0"/>
          <w:numId w:val="9"/>
        </w:numPr>
        <w:jc w:val="both"/>
        <w:rPr>
          <w:rFonts w:cs="Calibri Bold Italic"/>
          <w:sz w:val="22"/>
          <w:szCs w:val="22"/>
          <w:highlight w:val="yellow"/>
        </w:rPr>
      </w:pPr>
      <w:r w:rsidRPr="00083196">
        <w:rPr>
          <w:rFonts w:cs="Calibri Bold Italic"/>
          <w:sz w:val="22"/>
          <w:szCs w:val="22"/>
          <w:highlight w:val="yellow"/>
        </w:rPr>
        <w:t>Gallipoli</w:t>
      </w:r>
      <w:r w:rsidR="00A52460">
        <w:rPr>
          <w:rFonts w:cs="Calibri Bold Italic"/>
          <w:sz w:val="22"/>
          <w:szCs w:val="22"/>
          <w:highlight w:val="yellow"/>
        </w:rPr>
        <w:t xml:space="preserve"> Medical</w:t>
      </w:r>
      <w:r w:rsidRPr="00083196">
        <w:rPr>
          <w:rFonts w:cs="Calibri Bold Italic"/>
          <w:sz w:val="22"/>
          <w:szCs w:val="22"/>
          <w:highlight w:val="yellow"/>
        </w:rPr>
        <w:t xml:space="preserve"> Research </w:t>
      </w:r>
      <w:r w:rsidR="00A52460">
        <w:rPr>
          <w:rFonts w:cs="Calibri Bold Italic"/>
          <w:sz w:val="22"/>
          <w:szCs w:val="22"/>
          <w:highlight w:val="yellow"/>
        </w:rPr>
        <w:t>Centre, Greenslopes Private Hospital</w:t>
      </w:r>
    </w:p>
    <w:p w:rsidR="00411371" w:rsidRPr="00083196" w:rsidRDefault="00411371" w:rsidP="00083196">
      <w:pPr>
        <w:pStyle w:val="ListParagraph"/>
        <w:numPr>
          <w:ilvl w:val="0"/>
          <w:numId w:val="9"/>
        </w:numPr>
        <w:jc w:val="both"/>
        <w:rPr>
          <w:rFonts w:cs="Calibri Bold Italic"/>
          <w:sz w:val="22"/>
          <w:szCs w:val="22"/>
          <w:highlight w:val="yellow"/>
        </w:rPr>
      </w:pPr>
      <w:r w:rsidRPr="00083196">
        <w:rPr>
          <w:rFonts w:cs="Calibri Bold Italic"/>
          <w:sz w:val="22"/>
          <w:szCs w:val="22"/>
          <w:highlight w:val="yellow"/>
        </w:rPr>
        <w:t>Concord Hospital</w:t>
      </w:r>
    </w:p>
    <w:p w:rsidR="00411371" w:rsidRPr="00083196" w:rsidRDefault="00411371" w:rsidP="00083196">
      <w:pPr>
        <w:pStyle w:val="ListParagraph"/>
        <w:numPr>
          <w:ilvl w:val="0"/>
          <w:numId w:val="9"/>
        </w:numPr>
        <w:jc w:val="both"/>
        <w:rPr>
          <w:rFonts w:cs="Calibri Bold Italic"/>
          <w:sz w:val="22"/>
          <w:szCs w:val="22"/>
          <w:highlight w:val="yellow"/>
        </w:rPr>
      </w:pPr>
      <w:r w:rsidRPr="00083196">
        <w:rPr>
          <w:rFonts w:cs="Calibri Bold Italic"/>
          <w:sz w:val="22"/>
          <w:szCs w:val="22"/>
          <w:highlight w:val="yellow"/>
        </w:rPr>
        <w:t>SAHMRI</w:t>
      </w:r>
    </w:p>
    <w:p w:rsidR="009F6ACE" w:rsidRPr="00083196" w:rsidRDefault="009F6ACE" w:rsidP="00083196">
      <w:pPr>
        <w:jc w:val="both"/>
        <w:rPr>
          <w:rFonts w:cs="Calibri Bold Italic"/>
          <w:b/>
          <w:sz w:val="22"/>
          <w:szCs w:val="22"/>
        </w:rPr>
      </w:pPr>
      <w:r w:rsidRPr="00083196">
        <w:rPr>
          <w:rFonts w:cs="Calibri Bold Italic"/>
          <w:b/>
          <w:sz w:val="22"/>
          <w:szCs w:val="22"/>
        </w:rPr>
        <w:lastRenderedPageBreak/>
        <w:t>Study Population</w:t>
      </w:r>
    </w:p>
    <w:p w:rsidR="009F6ACE" w:rsidRPr="00083196" w:rsidRDefault="009F6ACE" w:rsidP="00083196">
      <w:pPr>
        <w:jc w:val="both"/>
        <w:rPr>
          <w:rFonts w:cs="Calibri Bold Italic"/>
          <w:b/>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Patients to</w:t>
      </w:r>
      <w:r w:rsidR="005B5B60" w:rsidRPr="00083196">
        <w:rPr>
          <w:rFonts w:cs="Calibri Bold Italic"/>
          <w:sz w:val="22"/>
          <w:szCs w:val="22"/>
        </w:rPr>
        <w:t xml:space="preserve"> be</w:t>
      </w:r>
      <w:r w:rsidRPr="00083196">
        <w:rPr>
          <w:rFonts w:cs="Calibri Bold Italic"/>
          <w:sz w:val="22"/>
          <w:szCs w:val="22"/>
        </w:rPr>
        <w:t xml:space="preserve"> include</w:t>
      </w:r>
      <w:r w:rsidR="005B5B60" w:rsidRPr="00083196">
        <w:rPr>
          <w:rFonts w:cs="Calibri Bold Italic"/>
          <w:sz w:val="22"/>
          <w:szCs w:val="22"/>
        </w:rPr>
        <w:t>d</w:t>
      </w:r>
      <w:r w:rsidRPr="00083196">
        <w:rPr>
          <w:rFonts w:cs="Calibri Bold Italic"/>
          <w:sz w:val="22"/>
          <w:szCs w:val="22"/>
        </w:rPr>
        <w:t xml:space="preserve"> in the study will be screened from:</w:t>
      </w:r>
    </w:p>
    <w:p w:rsidR="009F6ACE" w:rsidRPr="00083196" w:rsidRDefault="009F6ACE" w:rsidP="00083196">
      <w:pPr>
        <w:pStyle w:val="ListParagraph"/>
        <w:numPr>
          <w:ilvl w:val="0"/>
          <w:numId w:val="4"/>
        </w:numPr>
        <w:jc w:val="both"/>
        <w:rPr>
          <w:rFonts w:cs="Calibri Bold Italic"/>
          <w:sz w:val="22"/>
          <w:szCs w:val="22"/>
        </w:rPr>
      </w:pPr>
      <w:r w:rsidRPr="00083196">
        <w:rPr>
          <w:rFonts w:cs="Calibri Bold Italic"/>
          <w:sz w:val="22"/>
          <w:szCs w:val="22"/>
        </w:rPr>
        <w:t>Patients attending Respiratory Medicine outpatient clinics</w:t>
      </w:r>
      <w:r w:rsidR="00A52460">
        <w:rPr>
          <w:rFonts w:cs="Calibri Bold Italic"/>
          <w:sz w:val="22"/>
          <w:szCs w:val="22"/>
        </w:rPr>
        <w:t xml:space="preserve"> and private consulting rooms</w:t>
      </w:r>
      <w:r w:rsidRPr="00083196">
        <w:rPr>
          <w:rFonts w:cs="Calibri Bold Italic"/>
          <w:sz w:val="22"/>
          <w:szCs w:val="22"/>
        </w:rPr>
        <w:t>.</w:t>
      </w:r>
    </w:p>
    <w:p w:rsidR="009F6ACE" w:rsidRPr="00083196" w:rsidRDefault="009F6ACE" w:rsidP="00083196">
      <w:pPr>
        <w:pStyle w:val="ListParagraph"/>
        <w:numPr>
          <w:ilvl w:val="0"/>
          <w:numId w:val="4"/>
        </w:numPr>
        <w:jc w:val="both"/>
        <w:rPr>
          <w:rFonts w:cs="Calibri Bold Italic"/>
          <w:sz w:val="22"/>
          <w:szCs w:val="22"/>
        </w:rPr>
      </w:pPr>
      <w:r w:rsidRPr="00083196">
        <w:rPr>
          <w:rFonts w:cs="Calibri Bold Italic"/>
          <w:sz w:val="22"/>
          <w:szCs w:val="22"/>
        </w:rPr>
        <w:t>Pre-existing clinical and research databases</w:t>
      </w:r>
      <w:r w:rsidR="00411371" w:rsidRPr="00083196">
        <w:rPr>
          <w:rFonts w:cs="Calibri Bold Italic"/>
          <w:sz w:val="22"/>
          <w:szCs w:val="22"/>
        </w:rPr>
        <w:t>.</w:t>
      </w:r>
      <w:r w:rsidRPr="00083196">
        <w:rPr>
          <w:rFonts w:cs="Calibri Bold Italic"/>
          <w:sz w:val="22"/>
          <w:szCs w:val="22"/>
        </w:rPr>
        <w:t xml:space="preserve"> </w:t>
      </w:r>
    </w:p>
    <w:p w:rsidR="005B5B60" w:rsidRDefault="005B5B60" w:rsidP="00083196">
      <w:pPr>
        <w:jc w:val="both"/>
        <w:rPr>
          <w:rFonts w:cs="Calibri Bold Italic"/>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Patients screened will need to meet the below inclusion and exclusion criteria.</w:t>
      </w:r>
    </w:p>
    <w:p w:rsidR="009F6ACE" w:rsidRPr="00083196" w:rsidRDefault="009F6ACE" w:rsidP="00083196">
      <w:pPr>
        <w:jc w:val="both"/>
        <w:rPr>
          <w:rFonts w:cs="Calibri Bold Italic"/>
          <w:sz w:val="22"/>
          <w:szCs w:val="22"/>
        </w:rPr>
      </w:pPr>
    </w:p>
    <w:p w:rsidR="009F6ACE" w:rsidRDefault="009F6ACE" w:rsidP="00083196">
      <w:pPr>
        <w:jc w:val="both"/>
        <w:rPr>
          <w:rFonts w:cs="Calibri Bold Italic"/>
          <w:sz w:val="22"/>
          <w:szCs w:val="22"/>
        </w:rPr>
      </w:pPr>
      <w:r w:rsidRPr="00083196">
        <w:rPr>
          <w:rFonts w:cs="Calibri Bold Italic"/>
          <w:sz w:val="22"/>
          <w:szCs w:val="22"/>
        </w:rPr>
        <w:t>The following medications will be permitted (in both cases and control cases, but not cohabitants), provided they represent a regular maintenance therapy that has been continuous for at least the preceding 3 months:</w:t>
      </w:r>
    </w:p>
    <w:p w:rsidR="005B5B60" w:rsidRPr="00083196" w:rsidRDefault="005B5B60" w:rsidP="00083196">
      <w:pPr>
        <w:jc w:val="both"/>
        <w:rPr>
          <w:rFonts w:cs="Calibri Bold Italic"/>
          <w:sz w:val="22"/>
          <w:szCs w:val="22"/>
        </w:rPr>
      </w:pPr>
    </w:p>
    <w:p w:rsidR="009F6ACE" w:rsidRPr="00083196" w:rsidRDefault="009F6ACE" w:rsidP="00083196">
      <w:pPr>
        <w:pStyle w:val="ListParagraph"/>
        <w:numPr>
          <w:ilvl w:val="0"/>
          <w:numId w:val="6"/>
        </w:numPr>
        <w:jc w:val="both"/>
        <w:rPr>
          <w:rFonts w:cs="Calibri Bold Italic"/>
          <w:sz w:val="22"/>
          <w:szCs w:val="22"/>
        </w:rPr>
      </w:pPr>
      <w:r w:rsidRPr="00083196">
        <w:rPr>
          <w:rFonts w:cs="Calibri Bold Italic"/>
          <w:sz w:val="22"/>
          <w:szCs w:val="22"/>
        </w:rPr>
        <w:t>Inhaled/ nebulized antibiotics in stable daily dose</w:t>
      </w:r>
    </w:p>
    <w:p w:rsidR="009F6ACE" w:rsidRPr="00083196" w:rsidRDefault="009F6ACE" w:rsidP="00083196">
      <w:pPr>
        <w:pStyle w:val="ListParagraph"/>
        <w:numPr>
          <w:ilvl w:val="0"/>
          <w:numId w:val="6"/>
        </w:numPr>
        <w:jc w:val="both"/>
        <w:rPr>
          <w:rFonts w:cs="Calibri Bold Italic"/>
          <w:sz w:val="22"/>
          <w:szCs w:val="22"/>
        </w:rPr>
      </w:pPr>
      <w:r w:rsidRPr="00083196">
        <w:rPr>
          <w:rFonts w:cs="Calibri Bold Italic"/>
          <w:sz w:val="22"/>
          <w:szCs w:val="22"/>
        </w:rPr>
        <w:t>Inhaled corticosteroids in stable, daily dose</w:t>
      </w:r>
    </w:p>
    <w:p w:rsidR="009F6ACE" w:rsidRPr="00083196" w:rsidRDefault="009F6ACE" w:rsidP="00083196">
      <w:pPr>
        <w:pStyle w:val="ListParagraph"/>
        <w:numPr>
          <w:ilvl w:val="0"/>
          <w:numId w:val="6"/>
        </w:numPr>
        <w:jc w:val="both"/>
        <w:rPr>
          <w:rFonts w:cs="Calibri Bold Italic"/>
          <w:sz w:val="22"/>
          <w:szCs w:val="22"/>
        </w:rPr>
      </w:pPr>
      <w:r w:rsidRPr="00083196">
        <w:rPr>
          <w:rFonts w:cs="Calibri Bold Italic"/>
          <w:sz w:val="22"/>
          <w:szCs w:val="22"/>
        </w:rPr>
        <w:t>Inhaled hypertonic saline or mannitol in stable daily dose</w:t>
      </w:r>
    </w:p>
    <w:p w:rsidR="009F6ACE" w:rsidRPr="00083196" w:rsidRDefault="009F6ACE" w:rsidP="00083196">
      <w:pPr>
        <w:pStyle w:val="ListParagraph"/>
        <w:numPr>
          <w:ilvl w:val="0"/>
          <w:numId w:val="6"/>
        </w:numPr>
        <w:jc w:val="both"/>
        <w:rPr>
          <w:rFonts w:cs="Calibri Bold Italic"/>
          <w:sz w:val="22"/>
          <w:szCs w:val="22"/>
        </w:rPr>
      </w:pPr>
      <w:r w:rsidRPr="00083196">
        <w:rPr>
          <w:rFonts w:cs="Calibri Bold Italic"/>
          <w:sz w:val="22"/>
          <w:szCs w:val="22"/>
        </w:rPr>
        <w:t>Inhaled bronchodilators of any class, in stable daily dose</w:t>
      </w:r>
    </w:p>
    <w:p w:rsidR="009F6ACE" w:rsidRPr="00083196" w:rsidRDefault="009F6ACE" w:rsidP="00083196">
      <w:pPr>
        <w:jc w:val="both"/>
        <w:rPr>
          <w:rFonts w:cs="Calibri Bold Italic"/>
          <w:sz w:val="22"/>
          <w:szCs w:val="22"/>
        </w:rPr>
      </w:pPr>
    </w:p>
    <w:p w:rsidR="009F6ACE" w:rsidRPr="00083196" w:rsidRDefault="009F6ACE" w:rsidP="00083196">
      <w:pPr>
        <w:jc w:val="both"/>
        <w:rPr>
          <w:rFonts w:cs="Calibri Bold Italic"/>
          <w:sz w:val="22"/>
          <w:szCs w:val="22"/>
        </w:rPr>
      </w:pPr>
    </w:p>
    <w:p w:rsidR="009F6ACE" w:rsidRPr="00083196" w:rsidRDefault="009F6ACE" w:rsidP="00083196">
      <w:pPr>
        <w:pStyle w:val="ListParagraph"/>
        <w:numPr>
          <w:ilvl w:val="0"/>
          <w:numId w:val="5"/>
        </w:numPr>
        <w:jc w:val="both"/>
        <w:rPr>
          <w:rFonts w:cs="Calibri Bold Italic"/>
          <w:b/>
          <w:sz w:val="22"/>
          <w:szCs w:val="22"/>
        </w:rPr>
      </w:pPr>
      <w:r w:rsidRPr="00083196">
        <w:rPr>
          <w:rFonts w:cs="Calibri Bold Italic"/>
          <w:b/>
          <w:sz w:val="22"/>
          <w:szCs w:val="22"/>
        </w:rPr>
        <w:t>Index cases (patients prescribed erythromycin</w:t>
      </w:r>
      <w:r w:rsidR="00A52460">
        <w:rPr>
          <w:rFonts w:cs="Calibri Bold Italic"/>
          <w:b/>
          <w:sz w:val="22"/>
          <w:szCs w:val="22"/>
        </w:rPr>
        <w:t xml:space="preserve"> or azithromycin</w:t>
      </w:r>
      <w:r w:rsidRPr="00083196">
        <w:rPr>
          <w:rFonts w:cs="Calibri Bold Italic"/>
          <w:b/>
          <w:sz w:val="22"/>
          <w:szCs w:val="22"/>
        </w:rPr>
        <w:t>)</w:t>
      </w:r>
    </w:p>
    <w:p w:rsidR="005B5B60" w:rsidRDefault="005B5B60" w:rsidP="00083196">
      <w:pPr>
        <w:jc w:val="both"/>
        <w:rPr>
          <w:rFonts w:cs="Calibri Bold Italic"/>
          <w:sz w:val="22"/>
          <w:szCs w:val="22"/>
        </w:rPr>
      </w:pPr>
    </w:p>
    <w:p w:rsidR="009F6ACE" w:rsidRPr="00083196" w:rsidRDefault="009F6ACE" w:rsidP="00083196">
      <w:pPr>
        <w:jc w:val="both"/>
        <w:rPr>
          <w:rFonts w:cs="Calibri Bold Italic"/>
          <w:sz w:val="22"/>
          <w:szCs w:val="22"/>
        </w:rPr>
      </w:pPr>
      <w:r w:rsidRPr="00083196">
        <w:rPr>
          <w:rFonts w:cs="Calibri Bold Italic"/>
          <w:sz w:val="22"/>
          <w:szCs w:val="22"/>
        </w:rPr>
        <w:t xml:space="preserve">Inclusion criteria </w:t>
      </w:r>
    </w:p>
    <w:p w:rsidR="009F6ACE" w:rsidRPr="00083196" w:rsidRDefault="009F6ACE" w:rsidP="00083196">
      <w:pPr>
        <w:pStyle w:val="ListParagraph"/>
        <w:numPr>
          <w:ilvl w:val="0"/>
          <w:numId w:val="1"/>
        </w:numPr>
        <w:jc w:val="both"/>
        <w:rPr>
          <w:rFonts w:cs="Calibri Bold Italic"/>
          <w:sz w:val="22"/>
          <w:szCs w:val="22"/>
        </w:rPr>
      </w:pPr>
      <w:r w:rsidRPr="00083196">
        <w:rPr>
          <w:rFonts w:cs="Calibri Bold Italic"/>
          <w:sz w:val="22"/>
          <w:szCs w:val="22"/>
        </w:rPr>
        <w:t>Able to give informed consent</w:t>
      </w:r>
    </w:p>
    <w:p w:rsidR="009F6ACE" w:rsidRPr="00083196" w:rsidRDefault="009F6ACE" w:rsidP="00083196">
      <w:pPr>
        <w:pStyle w:val="ListParagraph"/>
        <w:numPr>
          <w:ilvl w:val="0"/>
          <w:numId w:val="1"/>
        </w:numPr>
        <w:jc w:val="both"/>
        <w:rPr>
          <w:sz w:val="22"/>
          <w:szCs w:val="22"/>
        </w:rPr>
      </w:pPr>
      <w:r w:rsidRPr="00083196">
        <w:rPr>
          <w:sz w:val="22"/>
          <w:szCs w:val="22"/>
        </w:rPr>
        <w:t>Age 18 and above</w:t>
      </w:r>
    </w:p>
    <w:p w:rsidR="009F6ACE" w:rsidRPr="00083196" w:rsidRDefault="009F6ACE" w:rsidP="00083196">
      <w:pPr>
        <w:pStyle w:val="ListParagraph"/>
        <w:numPr>
          <w:ilvl w:val="0"/>
          <w:numId w:val="1"/>
        </w:numPr>
        <w:jc w:val="both"/>
        <w:rPr>
          <w:sz w:val="22"/>
          <w:szCs w:val="22"/>
        </w:rPr>
      </w:pPr>
      <w:r w:rsidRPr="00083196">
        <w:rPr>
          <w:sz w:val="22"/>
          <w:szCs w:val="22"/>
        </w:rPr>
        <w:t>Established diagnosis of non-CF bronchiectasis according to standard criteria</w:t>
      </w:r>
    </w:p>
    <w:p w:rsidR="009F6ACE" w:rsidRPr="00083196" w:rsidRDefault="009F6ACE" w:rsidP="00083196">
      <w:pPr>
        <w:pStyle w:val="ListParagraph"/>
        <w:numPr>
          <w:ilvl w:val="0"/>
          <w:numId w:val="1"/>
        </w:numPr>
        <w:jc w:val="both"/>
        <w:rPr>
          <w:sz w:val="22"/>
          <w:szCs w:val="22"/>
        </w:rPr>
      </w:pPr>
      <w:r w:rsidRPr="00083196">
        <w:rPr>
          <w:sz w:val="22"/>
          <w:szCs w:val="22"/>
        </w:rPr>
        <w:t>Prescribed erythromycin</w:t>
      </w:r>
      <w:r w:rsidR="00411371" w:rsidRPr="00083196">
        <w:rPr>
          <w:sz w:val="22"/>
          <w:szCs w:val="22"/>
        </w:rPr>
        <w:t xml:space="preserve"> or azithromycin</w:t>
      </w:r>
      <w:r w:rsidRPr="00083196">
        <w:rPr>
          <w:sz w:val="22"/>
          <w:szCs w:val="22"/>
        </w:rPr>
        <w:t xml:space="preserve"> daily for at least the preceding 6 months, with assurance of past compliance from patient.</w:t>
      </w:r>
    </w:p>
    <w:p w:rsidR="009F6ACE" w:rsidRPr="00083196" w:rsidRDefault="009F6ACE" w:rsidP="00083196">
      <w:pPr>
        <w:pStyle w:val="ListParagraph"/>
        <w:numPr>
          <w:ilvl w:val="0"/>
          <w:numId w:val="1"/>
        </w:numPr>
        <w:jc w:val="both"/>
        <w:rPr>
          <w:sz w:val="22"/>
          <w:szCs w:val="22"/>
        </w:rPr>
      </w:pPr>
      <w:r w:rsidRPr="00083196">
        <w:rPr>
          <w:sz w:val="22"/>
          <w:szCs w:val="22"/>
        </w:rPr>
        <w:t>Has lived with at least 1 other person for the preceding 6 months.</w:t>
      </w:r>
    </w:p>
    <w:p w:rsidR="009F6ACE" w:rsidRPr="00083196" w:rsidRDefault="009F6ACE" w:rsidP="00083196">
      <w:pPr>
        <w:pStyle w:val="ListParagraph"/>
        <w:numPr>
          <w:ilvl w:val="0"/>
          <w:numId w:val="1"/>
        </w:numPr>
        <w:jc w:val="both"/>
        <w:rPr>
          <w:sz w:val="22"/>
          <w:szCs w:val="22"/>
        </w:rPr>
      </w:pPr>
      <w:r w:rsidRPr="00083196">
        <w:rPr>
          <w:sz w:val="22"/>
          <w:szCs w:val="22"/>
        </w:rPr>
        <w:t xml:space="preserve">Clinically stable for preceding 4 weeks. </w:t>
      </w:r>
    </w:p>
    <w:p w:rsidR="009F6ACE" w:rsidRPr="00083196" w:rsidRDefault="009F6ACE" w:rsidP="00083196">
      <w:pPr>
        <w:pStyle w:val="ListParagraph"/>
        <w:numPr>
          <w:ilvl w:val="0"/>
          <w:numId w:val="1"/>
        </w:numPr>
        <w:jc w:val="both"/>
        <w:rPr>
          <w:sz w:val="22"/>
          <w:szCs w:val="22"/>
        </w:rPr>
      </w:pPr>
      <w:r w:rsidRPr="00083196">
        <w:rPr>
          <w:sz w:val="22"/>
          <w:szCs w:val="22"/>
        </w:rPr>
        <w:t>(Cohabitants must meet separate inclusion/exclusion criteria outlined below).</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 xml:space="preserve">Exclusion criteria </w:t>
      </w:r>
    </w:p>
    <w:p w:rsidR="009F6ACE" w:rsidRPr="00083196" w:rsidRDefault="009F6ACE" w:rsidP="00083196">
      <w:pPr>
        <w:pStyle w:val="ListParagraph"/>
        <w:numPr>
          <w:ilvl w:val="0"/>
          <w:numId w:val="1"/>
        </w:numPr>
        <w:jc w:val="both"/>
        <w:rPr>
          <w:sz w:val="22"/>
          <w:szCs w:val="22"/>
        </w:rPr>
      </w:pPr>
      <w:r w:rsidRPr="00083196">
        <w:rPr>
          <w:sz w:val="22"/>
          <w:szCs w:val="22"/>
        </w:rPr>
        <w:t>Cystic fibrosis</w:t>
      </w:r>
    </w:p>
    <w:p w:rsidR="009F6ACE" w:rsidRPr="00083196" w:rsidRDefault="009F6ACE" w:rsidP="00083196">
      <w:pPr>
        <w:pStyle w:val="ListParagraph"/>
        <w:numPr>
          <w:ilvl w:val="0"/>
          <w:numId w:val="1"/>
        </w:numPr>
        <w:jc w:val="both"/>
        <w:rPr>
          <w:sz w:val="22"/>
          <w:szCs w:val="22"/>
        </w:rPr>
      </w:pPr>
      <w:r w:rsidRPr="00083196">
        <w:rPr>
          <w:sz w:val="22"/>
          <w:szCs w:val="22"/>
        </w:rPr>
        <w:t>Use of supplemental oral or parenteral antibiotics (of any antibiotic class) in the preceding 4 weeks (other than maintenance erythromycin</w:t>
      </w:r>
      <w:r w:rsidR="00411371" w:rsidRPr="00083196">
        <w:rPr>
          <w:sz w:val="22"/>
          <w:szCs w:val="22"/>
        </w:rPr>
        <w:t xml:space="preserve"> or azithromycin</w:t>
      </w:r>
      <w:r w:rsidRPr="00083196">
        <w:rPr>
          <w:sz w:val="22"/>
          <w:szCs w:val="22"/>
        </w:rPr>
        <w:t>).</w:t>
      </w:r>
    </w:p>
    <w:p w:rsidR="009F6ACE" w:rsidRPr="00083196" w:rsidRDefault="009F6ACE" w:rsidP="00083196">
      <w:pPr>
        <w:pStyle w:val="ListParagraph"/>
        <w:numPr>
          <w:ilvl w:val="0"/>
          <w:numId w:val="1"/>
        </w:numPr>
        <w:jc w:val="both"/>
        <w:rPr>
          <w:sz w:val="22"/>
          <w:szCs w:val="22"/>
        </w:rPr>
      </w:pPr>
      <w:r w:rsidRPr="00083196">
        <w:rPr>
          <w:sz w:val="22"/>
          <w:szCs w:val="22"/>
        </w:rPr>
        <w:t>Hospital admission in previous 4 weeks.</w:t>
      </w:r>
    </w:p>
    <w:p w:rsidR="009F6ACE" w:rsidRPr="00083196" w:rsidRDefault="009F6ACE" w:rsidP="00083196">
      <w:pPr>
        <w:pStyle w:val="ListParagraph"/>
        <w:numPr>
          <w:ilvl w:val="0"/>
          <w:numId w:val="1"/>
        </w:numPr>
        <w:jc w:val="both"/>
        <w:rPr>
          <w:sz w:val="22"/>
          <w:szCs w:val="22"/>
        </w:rPr>
      </w:pPr>
      <w:r w:rsidRPr="00083196">
        <w:rPr>
          <w:sz w:val="22"/>
          <w:szCs w:val="22"/>
        </w:rPr>
        <w:t>Living alone with no close contacts/cohabitants</w:t>
      </w:r>
    </w:p>
    <w:p w:rsidR="009F6ACE" w:rsidRPr="00083196" w:rsidRDefault="009F6ACE" w:rsidP="00083196">
      <w:pPr>
        <w:pStyle w:val="ListParagraph"/>
        <w:numPr>
          <w:ilvl w:val="0"/>
          <w:numId w:val="1"/>
        </w:numPr>
        <w:jc w:val="both"/>
        <w:rPr>
          <w:sz w:val="22"/>
          <w:szCs w:val="22"/>
        </w:rPr>
      </w:pPr>
      <w:r w:rsidRPr="00083196">
        <w:rPr>
          <w:sz w:val="22"/>
          <w:szCs w:val="22"/>
        </w:rPr>
        <w:t>Current smokers</w:t>
      </w: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9F6ACE" w:rsidRPr="00083196" w:rsidRDefault="009F6ACE" w:rsidP="00083196">
      <w:pPr>
        <w:pStyle w:val="ListParagraph"/>
        <w:numPr>
          <w:ilvl w:val="0"/>
          <w:numId w:val="5"/>
        </w:numPr>
        <w:jc w:val="both"/>
        <w:rPr>
          <w:b/>
          <w:sz w:val="22"/>
          <w:szCs w:val="22"/>
        </w:rPr>
      </w:pPr>
      <w:r w:rsidRPr="00083196">
        <w:rPr>
          <w:b/>
          <w:sz w:val="22"/>
          <w:szCs w:val="22"/>
        </w:rPr>
        <w:t>Control cases (subjects not taking maintenance erythromycin</w:t>
      </w:r>
      <w:r w:rsidR="00411371" w:rsidRPr="00083196">
        <w:rPr>
          <w:b/>
          <w:sz w:val="22"/>
          <w:szCs w:val="22"/>
        </w:rPr>
        <w:t xml:space="preserve"> or azithromycin</w:t>
      </w:r>
      <w:r w:rsidRPr="00083196">
        <w:rPr>
          <w:b/>
          <w:sz w:val="22"/>
          <w:szCs w:val="22"/>
        </w:rPr>
        <w:t>)</w:t>
      </w:r>
    </w:p>
    <w:p w:rsidR="005B5B60" w:rsidRDefault="005B5B60" w:rsidP="00083196">
      <w:pPr>
        <w:jc w:val="both"/>
        <w:rPr>
          <w:sz w:val="22"/>
          <w:szCs w:val="22"/>
        </w:rPr>
      </w:pPr>
    </w:p>
    <w:p w:rsidR="009F6ACE" w:rsidRPr="00083196" w:rsidRDefault="009F6ACE" w:rsidP="00083196">
      <w:pPr>
        <w:jc w:val="both"/>
        <w:rPr>
          <w:sz w:val="22"/>
          <w:szCs w:val="22"/>
        </w:rPr>
      </w:pPr>
      <w:r w:rsidRPr="00083196">
        <w:rPr>
          <w:sz w:val="22"/>
          <w:szCs w:val="22"/>
        </w:rPr>
        <w:t>Inclusion criteria</w:t>
      </w:r>
    </w:p>
    <w:p w:rsidR="009F6ACE" w:rsidRPr="00083196" w:rsidRDefault="009F6ACE" w:rsidP="00083196">
      <w:pPr>
        <w:pStyle w:val="ListParagraph"/>
        <w:numPr>
          <w:ilvl w:val="0"/>
          <w:numId w:val="1"/>
        </w:numPr>
        <w:jc w:val="both"/>
        <w:rPr>
          <w:sz w:val="22"/>
          <w:szCs w:val="22"/>
        </w:rPr>
      </w:pPr>
      <w:r w:rsidRPr="00083196">
        <w:rPr>
          <w:sz w:val="22"/>
          <w:szCs w:val="22"/>
        </w:rPr>
        <w:t>Able to give informed consent</w:t>
      </w:r>
    </w:p>
    <w:p w:rsidR="009F6ACE" w:rsidRPr="00083196" w:rsidRDefault="009F6ACE" w:rsidP="00083196">
      <w:pPr>
        <w:pStyle w:val="ListParagraph"/>
        <w:numPr>
          <w:ilvl w:val="0"/>
          <w:numId w:val="1"/>
        </w:numPr>
        <w:jc w:val="both"/>
        <w:rPr>
          <w:sz w:val="22"/>
          <w:szCs w:val="22"/>
        </w:rPr>
      </w:pPr>
      <w:r w:rsidRPr="00083196">
        <w:rPr>
          <w:sz w:val="22"/>
          <w:szCs w:val="22"/>
        </w:rPr>
        <w:t>Age 18 and above</w:t>
      </w:r>
    </w:p>
    <w:p w:rsidR="009F6ACE" w:rsidRPr="00083196" w:rsidRDefault="009F6ACE" w:rsidP="00083196">
      <w:pPr>
        <w:pStyle w:val="ListParagraph"/>
        <w:numPr>
          <w:ilvl w:val="0"/>
          <w:numId w:val="1"/>
        </w:numPr>
        <w:jc w:val="both"/>
        <w:rPr>
          <w:sz w:val="22"/>
          <w:szCs w:val="22"/>
        </w:rPr>
      </w:pPr>
      <w:r w:rsidRPr="00083196">
        <w:rPr>
          <w:sz w:val="22"/>
          <w:szCs w:val="22"/>
        </w:rPr>
        <w:t>Established diagnosis of non-CF bronchiectasis according to standard criteria</w:t>
      </w:r>
    </w:p>
    <w:p w:rsidR="009F6ACE" w:rsidRPr="00083196" w:rsidRDefault="009F6ACE" w:rsidP="00083196">
      <w:pPr>
        <w:pStyle w:val="ListParagraph"/>
        <w:numPr>
          <w:ilvl w:val="0"/>
          <w:numId w:val="1"/>
        </w:numPr>
        <w:jc w:val="both"/>
        <w:rPr>
          <w:sz w:val="22"/>
          <w:szCs w:val="22"/>
        </w:rPr>
      </w:pPr>
      <w:r w:rsidRPr="00083196">
        <w:rPr>
          <w:sz w:val="22"/>
          <w:szCs w:val="22"/>
        </w:rPr>
        <w:t>No macrolide antibiotic use in the prior 6 months, and must not have received any azithromycin in the prior 12 months</w:t>
      </w:r>
    </w:p>
    <w:p w:rsidR="009F6ACE" w:rsidRPr="00083196" w:rsidRDefault="009F6ACE" w:rsidP="00083196">
      <w:pPr>
        <w:pStyle w:val="ListParagraph"/>
        <w:numPr>
          <w:ilvl w:val="0"/>
          <w:numId w:val="1"/>
        </w:numPr>
        <w:jc w:val="both"/>
        <w:rPr>
          <w:sz w:val="22"/>
          <w:szCs w:val="22"/>
        </w:rPr>
      </w:pPr>
      <w:r w:rsidRPr="00083196">
        <w:rPr>
          <w:sz w:val="22"/>
          <w:szCs w:val="22"/>
        </w:rPr>
        <w:t>Has lived with at least 1 other person for the preceding 6 months.</w:t>
      </w:r>
    </w:p>
    <w:p w:rsidR="009F6ACE" w:rsidRPr="00083196" w:rsidRDefault="009F6ACE" w:rsidP="00083196">
      <w:pPr>
        <w:pStyle w:val="ListParagraph"/>
        <w:numPr>
          <w:ilvl w:val="0"/>
          <w:numId w:val="1"/>
        </w:numPr>
        <w:jc w:val="both"/>
        <w:rPr>
          <w:sz w:val="22"/>
          <w:szCs w:val="22"/>
        </w:rPr>
      </w:pPr>
      <w:r w:rsidRPr="00083196">
        <w:rPr>
          <w:sz w:val="22"/>
          <w:szCs w:val="22"/>
        </w:rPr>
        <w:t xml:space="preserve">Clinically stable for preceding 4 weeks. </w:t>
      </w:r>
    </w:p>
    <w:p w:rsidR="009F6ACE" w:rsidRPr="00083196" w:rsidRDefault="009F6ACE" w:rsidP="00083196">
      <w:pPr>
        <w:pStyle w:val="ListParagraph"/>
        <w:numPr>
          <w:ilvl w:val="0"/>
          <w:numId w:val="1"/>
        </w:numPr>
        <w:jc w:val="both"/>
        <w:rPr>
          <w:sz w:val="22"/>
          <w:szCs w:val="22"/>
        </w:rPr>
      </w:pPr>
      <w:r w:rsidRPr="00083196">
        <w:rPr>
          <w:sz w:val="22"/>
          <w:szCs w:val="22"/>
        </w:rPr>
        <w:t>(Cohabitants must meet separate inclusion/exclusion criteria outlined below).</w:t>
      </w: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 xml:space="preserve">Exclusion criteria </w:t>
      </w:r>
    </w:p>
    <w:p w:rsidR="009F6ACE" w:rsidRPr="00083196" w:rsidRDefault="009F6ACE" w:rsidP="00083196">
      <w:pPr>
        <w:pStyle w:val="ListParagraph"/>
        <w:numPr>
          <w:ilvl w:val="0"/>
          <w:numId w:val="1"/>
        </w:numPr>
        <w:jc w:val="both"/>
        <w:rPr>
          <w:sz w:val="22"/>
          <w:szCs w:val="22"/>
        </w:rPr>
      </w:pPr>
      <w:r w:rsidRPr="00083196">
        <w:rPr>
          <w:sz w:val="22"/>
          <w:szCs w:val="22"/>
        </w:rPr>
        <w:t>Cystic fibrosis</w:t>
      </w:r>
    </w:p>
    <w:p w:rsidR="009F6ACE" w:rsidRPr="00083196" w:rsidRDefault="009F6ACE" w:rsidP="00083196">
      <w:pPr>
        <w:pStyle w:val="ListParagraph"/>
        <w:numPr>
          <w:ilvl w:val="0"/>
          <w:numId w:val="1"/>
        </w:numPr>
        <w:jc w:val="both"/>
        <w:rPr>
          <w:sz w:val="22"/>
          <w:szCs w:val="22"/>
        </w:rPr>
      </w:pPr>
      <w:r w:rsidRPr="00083196">
        <w:rPr>
          <w:sz w:val="22"/>
          <w:szCs w:val="22"/>
        </w:rPr>
        <w:t>Use of any macrolide in the prior 6 months, or of azithromycin in the prior 12 months</w:t>
      </w:r>
    </w:p>
    <w:p w:rsidR="009F6ACE" w:rsidRPr="00083196" w:rsidRDefault="009F6ACE" w:rsidP="00083196">
      <w:pPr>
        <w:pStyle w:val="ListParagraph"/>
        <w:numPr>
          <w:ilvl w:val="0"/>
          <w:numId w:val="1"/>
        </w:numPr>
        <w:jc w:val="both"/>
        <w:rPr>
          <w:sz w:val="22"/>
          <w:szCs w:val="22"/>
        </w:rPr>
      </w:pPr>
      <w:r w:rsidRPr="00083196">
        <w:rPr>
          <w:sz w:val="22"/>
          <w:szCs w:val="22"/>
        </w:rPr>
        <w:t>Use of supplemental non-macrolide oral or parenteral antibiotics in the preceding 4 weeks</w:t>
      </w:r>
    </w:p>
    <w:p w:rsidR="009F6ACE" w:rsidRPr="00083196" w:rsidRDefault="009F6ACE" w:rsidP="00083196">
      <w:pPr>
        <w:pStyle w:val="ListParagraph"/>
        <w:numPr>
          <w:ilvl w:val="0"/>
          <w:numId w:val="1"/>
        </w:numPr>
        <w:jc w:val="both"/>
        <w:rPr>
          <w:sz w:val="22"/>
          <w:szCs w:val="22"/>
        </w:rPr>
      </w:pPr>
      <w:r w:rsidRPr="00083196">
        <w:rPr>
          <w:sz w:val="22"/>
          <w:szCs w:val="22"/>
        </w:rPr>
        <w:t>Hospital admission in previous 4 weeks</w:t>
      </w:r>
    </w:p>
    <w:p w:rsidR="009F6ACE" w:rsidRPr="00083196" w:rsidRDefault="009F6ACE" w:rsidP="00083196">
      <w:pPr>
        <w:pStyle w:val="ListParagraph"/>
        <w:numPr>
          <w:ilvl w:val="0"/>
          <w:numId w:val="1"/>
        </w:numPr>
        <w:jc w:val="both"/>
        <w:rPr>
          <w:sz w:val="22"/>
          <w:szCs w:val="22"/>
        </w:rPr>
      </w:pPr>
      <w:r w:rsidRPr="00083196">
        <w:rPr>
          <w:sz w:val="22"/>
          <w:szCs w:val="22"/>
        </w:rPr>
        <w:t>Living alone with no close contacts/cohabitants</w:t>
      </w:r>
    </w:p>
    <w:p w:rsidR="009F6ACE" w:rsidRPr="00083196" w:rsidRDefault="009F6ACE" w:rsidP="00083196">
      <w:pPr>
        <w:pStyle w:val="ListParagraph"/>
        <w:numPr>
          <w:ilvl w:val="0"/>
          <w:numId w:val="1"/>
        </w:numPr>
        <w:jc w:val="both"/>
        <w:rPr>
          <w:sz w:val="22"/>
          <w:szCs w:val="22"/>
        </w:rPr>
      </w:pPr>
      <w:r w:rsidRPr="00083196">
        <w:rPr>
          <w:sz w:val="22"/>
          <w:szCs w:val="22"/>
        </w:rPr>
        <w:t>Current smokers</w:t>
      </w:r>
    </w:p>
    <w:p w:rsidR="009F6ACE" w:rsidRPr="00083196" w:rsidRDefault="009F6ACE" w:rsidP="00083196">
      <w:pPr>
        <w:jc w:val="both"/>
        <w:rPr>
          <w:sz w:val="22"/>
          <w:szCs w:val="22"/>
        </w:rPr>
      </w:pPr>
    </w:p>
    <w:p w:rsidR="009F6ACE" w:rsidRPr="00083196" w:rsidRDefault="009F6ACE" w:rsidP="00083196">
      <w:pPr>
        <w:pStyle w:val="ListParagraph"/>
        <w:numPr>
          <w:ilvl w:val="0"/>
          <w:numId w:val="5"/>
        </w:numPr>
        <w:jc w:val="both"/>
        <w:rPr>
          <w:b/>
          <w:sz w:val="22"/>
          <w:szCs w:val="22"/>
        </w:rPr>
      </w:pPr>
      <w:r w:rsidRPr="00083196">
        <w:rPr>
          <w:b/>
          <w:sz w:val="22"/>
          <w:szCs w:val="22"/>
        </w:rPr>
        <w:t>Cohabitants (of either index or control cases)</w:t>
      </w:r>
    </w:p>
    <w:p w:rsidR="009F6ACE" w:rsidRPr="00083196" w:rsidRDefault="009F6ACE" w:rsidP="00083196">
      <w:pPr>
        <w:jc w:val="both"/>
        <w:rPr>
          <w:sz w:val="22"/>
          <w:szCs w:val="22"/>
        </w:rPr>
      </w:pPr>
      <w:r w:rsidRPr="00083196">
        <w:rPr>
          <w:sz w:val="22"/>
          <w:szCs w:val="22"/>
        </w:rPr>
        <w:t>Inclusion criteria</w:t>
      </w:r>
    </w:p>
    <w:p w:rsidR="009F6ACE" w:rsidRPr="00083196" w:rsidRDefault="009F6ACE" w:rsidP="00083196">
      <w:pPr>
        <w:pStyle w:val="ListParagraph"/>
        <w:numPr>
          <w:ilvl w:val="0"/>
          <w:numId w:val="1"/>
        </w:numPr>
        <w:jc w:val="both"/>
        <w:rPr>
          <w:sz w:val="22"/>
          <w:szCs w:val="22"/>
        </w:rPr>
      </w:pPr>
      <w:r w:rsidRPr="00083196">
        <w:rPr>
          <w:sz w:val="22"/>
          <w:szCs w:val="22"/>
        </w:rPr>
        <w:t>Domiciled in the same residence as the case or control case, for at least the prior 6 months</w:t>
      </w:r>
    </w:p>
    <w:p w:rsidR="009F6ACE" w:rsidRPr="00083196" w:rsidRDefault="009F6ACE" w:rsidP="00083196">
      <w:pPr>
        <w:pStyle w:val="ListParagraph"/>
        <w:numPr>
          <w:ilvl w:val="0"/>
          <w:numId w:val="1"/>
        </w:numPr>
        <w:jc w:val="both"/>
        <w:rPr>
          <w:sz w:val="22"/>
          <w:szCs w:val="22"/>
        </w:rPr>
      </w:pPr>
      <w:r w:rsidRPr="00083196">
        <w:rPr>
          <w:sz w:val="22"/>
          <w:szCs w:val="22"/>
        </w:rPr>
        <w:t xml:space="preserve">Considered to be a ‘close’ contact or cohabitant. This would include spouse or </w:t>
      </w:r>
      <w:proofErr w:type="spellStart"/>
      <w:r w:rsidRPr="00083196">
        <w:rPr>
          <w:sz w:val="22"/>
          <w:szCs w:val="22"/>
        </w:rPr>
        <w:t>defacto</w:t>
      </w:r>
      <w:proofErr w:type="spellEnd"/>
      <w:r w:rsidRPr="00083196">
        <w:rPr>
          <w:sz w:val="22"/>
          <w:szCs w:val="22"/>
        </w:rPr>
        <w:t>, or family members</w:t>
      </w:r>
      <w:r w:rsidR="00C961BD">
        <w:rPr>
          <w:sz w:val="22"/>
          <w:szCs w:val="22"/>
        </w:rPr>
        <w:t>. If more than one cohabitant, then the one with t</w:t>
      </w:r>
      <w:r w:rsidR="00A52460">
        <w:rPr>
          <w:sz w:val="22"/>
          <w:szCs w:val="22"/>
        </w:rPr>
        <w:t>he closest contact (</w:t>
      </w:r>
      <w:proofErr w:type="spellStart"/>
      <w:r w:rsidR="00A52460">
        <w:rPr>
          <w:sz w:val="22"/>
          <w:szCs w:val="22"/>
        </w:rPr>
        <w:t>ie</w:t>
      </w:r>
      <w:proofErr w:type="spellEnd"/>
      <w:r w:rsidR="00A52460">
        <w:rPr>
          <w:sz w:val="22"/>
          <w:szCs w:val="22"/>
        </w:rPr>
        <w:t xml:space="preserve"> mouth to</w:t>
      </w:r>
      <w:r w:rsidR="00C961BD">
        <w:rPr>
          <w:sz w:val="22"/>
          <w:szCs w:val="22"/>
        </w:rPr>
        <w:t xml:space="preserve"> mouth contact – kissing), will be selected.</w:t>
      </w:r>
    </w:p>
    <w:p w:rsidR="009F6ACE" w:rsidRPr="00083196" w:rsidRDefault="009F6ACE" w:rsidP="00083196">
      <w:pPr>
        <w:pStyle w:val="ListParagraph"/>
        <w:numPr>
          <w:ilvl w:val="0"/>
          <w:numId w:val="1"/>
        </w:numPr>
        <w:jc w:val="both"/>
        <w:rPr>
          <w:sz w:val="22"/>
          <w:szCs w:val="22"/>
        </w:rPr>
      </w:pPr>
      <w:r w:rsidRPr="00083196">
        <w:rPr>
          <w:sz w:val="22"/>
          <w:szCs w:val="22"/>
        </w:rPr>
        <w:t>No chronic respiratory disease, excepting well-controlled asthma (such subjects may be prescribed inhaled bronchodilators of any class, and/ or inhaled corticosteroids provided it is in low-dose, no more than 500 mcg/ day beclomethasone dose-equivalent)</w:t>
      </w:r>
    </w:p>
    <w:p w:rsidR="009F6ACE" w:rsidRPr="00083196" w:rsidRDefault="009F6ACE" w:rsidP="00083196">
      <w:pPr>
        <w:pStyle w:val="ListParagraph"/>
        <w:numPr>
          <w:ilvl w:val="0"/>
          <w:numId w:val="1"/>
        </w:numPr>
        <w:jc w:val="both"/>
        <w:rPr>
          <w:sz w:val="22"/>
          <w:szCs w:val="22"/>
        </w:rPr>
      </w:pPr>
      <w:r w:rsidRPr="00083196">
        <w:rPr>
          <w:sz w:val="22"/>
          <w:szCs w:val="22"/>
        </w:rPr>
        <w:t>No antibiotic use (any class) in the prior 3 months</w:t>
      </w:r>
    </w:p>
    <w:p w:rsidR="009F6ACE" w:rsidRPr="00083196" w:rsidRDefault="009F6ACE" w:rsidP="00083196">
      <w:pPr>
        <w:pStyle w:val="ListParagraph"/>
        <w:numPr>
          <w:ilvl w:val="0"/>
          <w:numId w:val="1"/>
        </w:numPr>
        <w:jc w:val="both"/>
        <w:rPr>
          <w:sz w:val="22"/>
          <w:szCs w:val="22"/>
        </w:rPr>
      </w:pPr>
      <w:r w:rsidRPr="00083196">
        <w:rPr>
          <w:sz w:val="22"/>
          <w:szCs w:val="22"/>
        </w:rPr>
        <w:t>No hospital admission in preceding 6 months</w:t>
      </w:r>
    </w:p>
    <w:p w:rsidR="009F6ACE" w:rsidRPr="00083196" w:rsidRDefault="009F6ACE" w:rsidP="00083196">
      <w:pPr>
        <w:pStyle w:val="ListParagraph"/>
        <w:numPr>
          <w:ilvl w:val="0"/>
          <w:numId w:val="1"/>
        </w:numPr>
        <w:jc w:val="both"/>
        <w:rPr>
          <w:sz w:val="22"/>
          <w:szCs w:val="22"/>
        </w:rPr>
      </w:pPr>
      <w:r w:rsidRPr="00083196">
        <w:rPr>
          <w:sz w:val="22"/>
          <w:szCs w:val="22"/>
        </w:rPr>
        <w:t>No macrolide use in the prior 6 months, and no azithromycin use in the prior 12 months</w:t>
      </w:r>
    </w:p>
    <w:p w:rsidR="009F6ACE" w:rsidRPr="00083196" w:rsidRDefault="009F6ACE" w:rsidP="00083196">
      <w:pPr>
        <w:pStyle w:val="ListParagraph"/>
        <w:jc w:val="both"/>
        <w:rPr>
          <w:sz w:val="22"/>
          <w:szCs w:val="22"/>
        </w:rPr>
      </w:pPr>
    </w:p>
    <w:p w:rsidR="009F6ACE" w:rsidRPr="00083196" w:rsidRDefault="009F6ACE" w:rsidP="00083196">
      <w:pPr>
        <w:jc w:val="both"/>
        <w:rPr>
          <w:sz w:val="22"/>
          <w:szCs w:val="22"/>
        </w:rPr>
      </w:pPr>
      <w:r w:rsidRPr="00083196">
        <w:rPr>
          <w:sz w:val="22"/>
          <w:szCs w:val="22"/>
        </w:rPr>
        <w:t>Exclusion criteria</w:t>
      </w:r>
    </w:p>
    <w:p w:rsidR="009F6ACE" w:rsidRPr="00083196" w:rsidRDefault="009F6ACE" w:rsidP="00083196">
      <w:pPr>
        <w:pStyle w:val="ListParagraph"/>
        <w:numPr>
          <w:ilvl w:val="0"/>
          <w:numId w:val="1"/>
        </w:numPr>
        <w:jc w:val="both"/>
        <w:rPr>
          <w:sz w:val="22"/>
          <w:szCs w:val="22"/>
        </w:rPr>
      </w:pPr>
      <w:r w:rsidRPr="00083196">
        <w:rPr>
          <w:sz w:val="22"/>
          <w:szCs w:val="22"/>
        </w:rPr>
        <w:t xml:space="preserve">A cohabitant who does not have close contact with the case; </w:t>
      </w:r>
      <w:proofErr w:type="spellStart"/>
      <w:r w:rsidRPr="00083196">
        <w:rPr>
          <w:sz w:val="22"/>
          <w:szCs w:val="22"/>
        </w:rPr>
        <w:t>eg</w:t>
      </w:r>
      <w:proofErr w:type="spellEnd"/>
      <w:r w:rsidRPr="00083196">
        <w:rPr>
          <w:sz w:val="22"/>
          <w:szCs w:val="22"/>
        </w:rPr>
        <w:t xml:space="preserve"> boarders or lodgers would not be suitable.</w:t>
      </w:r>
    </w:p>
    <w:p w:rsidR="009F6ACE" w:rsidRPr="00083196" w:rsidRDefault="009F6ACE" w:rsidP="00083196">
      <w:pPr>
        <w:pStyle w:val="ListParagraph"/>
        <w:numPr>
          <w:ilvl w:val="0"/>
          <w:numId w:val="1"/>
        </w:numPr>
        <w:jc w:val="both"/>
        <w:rPr>
          <w:sz w:val="22"/>
          <w:szCs w:val="22"/>
        </w:rPr>
      </w:pPr>
      <w:r w:rsidRPr="00083196">
        <w:rPr>
          <w:sz w:val="22"/>
          <w:szCs w:val="22"/>
        </w:rPr>
        <w:t>A chronic respiratory disease other than well-controlled asthma</w:t>
      </w:r>
    </w:p>
    <w:p w:rsidR="009F6ACE" w:rsidRPr="00083196" w:rsidRDefault="009F6ACE" w:rsidP="00083196">
      <w:pPr>
        <w:pStyle w:val="ListParagraph"/>
        <w:numPr>
          <w:ilvl w:val="0"/>
          <w:numId w:val="1"/>
        </w:numPr>
        <w:jc w:val="both"/>
        <w:rPr>
          <w:sz w:val="22"/>
          <w:szCs w:val="22"/>
        </w:rPr>
      </w:pPr>
      <w:r w:rsidRPr="00083196">
        <w:rPr>
          <w:sz w:val="22"/>
          <w:szCs w:val="22"/>
        </w:rPr>
        <w:t>Consumption of any antibiotic in the prior 3 months, any macrolide in the prior 6 months, azithromycin in the prior 12 months</w:t>
      </w:r>
    </w:p>
    <w:p w:rsidR="009F6ACE" w:rsidRPr="00083196" w:rsidRDefault="009F6ACE" w:rsidP="00083196">
      <w:pPr>
        <w:jc w:val="both"/>
        <w:rPr>
          <w:sz w:val="22"/>
          <w:szCs w:val="22"/>
        </w:rPr>
      </w:pPr>
    </w:p>
    <w:p w:rsidR="009F6ACE" w:rsidRPr="00083196" w:rsidRDefault="009F6ACE" w:rsidP="00083196">
      <w:pPr>
        <w:jc w:val="both"/>
        <w:rPr>
          <w:b/>
          <w:sz w:val="22"/>
          <w:szCs w:val="22"/>
        </w:rPr>
      </w:pPr>
      <w:r w:rsidRPr="00083196">
        <w:rPr>
          <w:b/>
          <w:sz w:val="22"/>
          <w:szCs w:val="22"/>
        </w:rPr>
        <w:t>Study Procedure</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In those subjects meeting the above criteria the following will be carried out:</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Subjects will be provided with information sheets at the time of recruitment and will need to give written consent to be involved prior to collection of swabs. A standardized consent form will be used.</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Oropharyngeal swabs will be taken either during outpatient clinic appointments or on an appointment basis at a time suitable for those involved.</w:t>
      </w:r>
    </w:p>
    <w:p w:rsidR="009F6ACE" w:rsidRPr="00083196" w:rsidRDefault="009F6ACE" w:rsidP="00083196">
      <w:pPr>
        <w:pStyle w:val="ListParagraph"/>
        <w:jc w:val="both"/>
        <w:rPr>
          <w:sz w:val="22"/>
          <w:szCs w:val="22"/>
        </w:rPr>
      </w:pPr>
    </w:p>
    <w:p w:rsidR="009F6ACE" w:rsidRPr="00083196" w:rsidRDefault="009F6ACE" w:rsidP="00083196">
      <w:pPr>
        <w:jc w:val="both"/>
        <w:rPr>
          <w:sz w:val="22"/>
          <w:szCs w:val="22"/>
        </w:rPr>
      </w:pPr>
      <w:r w:rsidRPr="00083196">
        <w:rPr>
          <w:sz w:val="22"/>
          <w:szCs w:val="22"/>
        </w:rPr>
        <w:t>The swab process will consist of:</w:t>
      </w:r>
    </w:p>
    <w:p w:rsidR="009F6ACE" w:rsidRDefault="00C961BD" w:rsidP="00083196">
      <w:pPr>
        <w:pStyle w:val="ListParagraph"/>
        <w:numPr>
          <w:ilvl w:val="0"/>
          <w:numId w:val="1"/>
        </w:numPr>
        <w:jc w:val="both"/>
        <w:rPr>
          <w:sz w:val="22"/>
          <w:szCs w:val="22"/>
        </w:rPr>
      </w:pPr>
      <w:r>
        <w:rPr>
          <w:sz w:val="22"/>
          <w:szCs w:val="22"/>
        </w:rPr>
        <w:t>Two</w:t>
      </w:r>
      <w:r w:rsidRPr="00083196">
        <w:rPr>
          <w:sz w:val="22"/>
          <w:szCs w:val="22"/>
        </w:rPr>
        <w:t xml:space="preserve"> </w:t>
      </w:r>
      <w:r w:rsidR="009F6ACE" w:rsidRPr="00083196">
        <w:rPr>
          <w:sz w:val="22"/>
          <w:szCs w:val="22"/>
        </w:rPr>
        <w:t>oropharyngeal swab</w:t>
      </w:r>
      <w:r>
        <w:rPr>
          <w:sz w:val="22"/>
          <w:szCs w:val="22"/>
        </w:rPr>
        <w:t>s</w:t>
      </w:r>
      <w:r w:rsidR="009F6ACE" w:rsidRPr="00083196">
        <w:rPr>
          <w:sz w:val="22"/>
          <w:szCs w:val="22"/>
        </w:rPr>
        <w:t xml:space="preserve"> of each patient and their cohabitant in the study group</w:t>
      </w:r>
    </w:p>
    <w:p w:rsidR="00C961BD" w:rsidRDefault="00C961BD" w:rsidP="00083196">
      <w:pPr>
        <w:pStyle w:val="ListParagraph"/>
        <w:numPr>
          <w:ilvl w:val="1"/>
          <w:numId w:val="1"/>
        </w:numPr>
        <w:jc w:val="both"/>
        <w:rPr>
          <w:sz w:val="22"/>
          <w:szCs w:val="22"/>
        </w:rPr>
      </w:pPr>
      <w:r>
        <w:rPr>
          <w:sz w:val="22"/>
          <w:szCs w:val="22"/>
        </w:rPr>
        <w:t xml:space="preserve">One </w:t>
      </w:r>
      <w:proofErr w:type="spellStart"/>
      <w:r>
        <w:rPr>
          <w:sz w:val="22"/>
          <w:szCs w:val="22"/>
        </w:rPr>
        <w:t>F</w:t>
      </w:r>
      <w:r w:rsidR="00961A48">
        <w:rPr>
          <w:sz w:val="22"/>
          <w:szCs w:val="22"/>
        </w:rPr>
        <w:t>LOQ</w:t>
      </w:r>
      <w:r>
        <w:rPr>
          <w:sz w:val="22"/>
          <w:szCs w:val="22"/>
        </w:rPr>
        <w:t>Swab</w:t>
      </w:r>
      <w:proofErr w:type="spellEnd"/>
      <w:r>
        <w:rPr>
          <w:sz w:val="22"/>
          <w:szCs w:val="22"/>
        </w:rPr>
        <w:t xml:space="preserve"> (dry swab)</w:t>
      </w:r>
    </w:p>
    <w:p w:rsidR="00C961BD" w:rsidRPr="00083196" w:rsidRDefault="00C961BD" w:rsidP="00083196">
      <w:pPr>
        <w:pStyle w:val="ListParagraph"/>
        <w:numPr>
          <w:ilvl w:val="1"/>
          <w:numId w:val="1"/>
        </w:numPr>
        <w:jc w:val="both"/>
        <w:rPr>
          <w:sz w:val="22"/>
          <w:szCs w:val="22"/>
        </w:rPr>
      </w:pPr>
      <w:r>
        <w:rPr>
          <w:sz w:val="22"/>
          <w:szCs w:val="22"/>
        </w:rPr>
        <w:t xml:space="preserve">One </w:t>
      </w:r>
      <w:r w:rsidR="000B0DA3">
        <w:rPr>
          <w:sz w:val="22"/>
          <w:szCs w:val="22"/>
        </w:rPr>
        <w:t>Aerobic Culture Swab</w:t>
      </w:r>
    </w:p>
    <w:p w:rsidR="009F6ACE" w:rsidRPr="00083196" w:rsidRDefault="00C961BD" w:rsidP="00083196">
      <w:pPr>
        <w:pStyle w:val="ListParagraph"/>
        <w:numPr>
          <w:ilvl w:val="0"/>
          <w:numId w:val="1"/>
        </w:numPr>
        <w:jc w:val="both"/>
        <w:rPr>
          <w:sz w:val="22"/>
          <w:szCs w:val="22"/>
        </w:rPr>
      </w:pPr>
      <w:r>
        <w:rPr>
          <w:sz w:val="22"/>
          <w:szCs w:val="22"/>
        </w:rPr>
        <w:lastRenderedPageBreak/>
        <w:t>Two</w:t>
      </w:r>
      <w:r w:rsidR="009F6ACE" w:rsidRPr="00083196">
        <w:rPr>
          <w:sz w:val="22"/>
          <w:szCs w:val="22"/>
        </w:rPr>
        <w:t xml:space="preserve"> oropharyngeal swab</w:t>
      </w:r>
      <w:r>
        <w:rPr>
          <w:sz w:val="22"/>
          <w:szCs w:val="22"/>
        </w:rPr>
        <w:t>s</w:t>
      </w:r>
      <w:r w:rsidR="00961A48">
        <w:rPr>
          <w:sz w:val="22"/>
          <w:szCs w:val="22"/>
        </w:rPr>
        <w:t xml:space="preserve"> </w:t>
      </w:r>
      <w:r w:rsidR="000B0DA3">
        <w:rPr>
          <w:sz w:val="22"/>
          <w:szCs w:val="22"/>
        </w:rPr>
        <w:t>(as above)</w:t>
      </w:r>
      <w:r w:rsidR="009F6ACE" w:rsidRPr="00083196">
        <w:rPr>
          <w:sz w:val="22"/>
          <w:szCs w:val="22"/>
        </w:rPr>
        <w:t xml:space="preserve"> of each patient and their cohabitant in the control group.</w:t>
      </w:r>
    </w:p>
    <w:p w:rsidR="009F6ACE" w:rsidRPr="00083196" w:rsidRDefault="009F6ACE" w:rsidP="00083196">
      <w:pPr>
        <w:pStyle w:val="ListParagraph"/>
        <w:ind w:left="1440"/>
        <w:jc w:val="both"/>
        <w:rPr>
          <w:sz w:val="22"/>
          <w:szCs w:val="22"/>
        </w:rPr>
      </w:pPr>
    </w:p>
    <w:p w:rsidR="005B5B60" w:rsidRPr="00C81C19" w:rsidRDefault="005B5B60" w:rsidP="005B5B60">
      <w:pPr>
        <w:jc w:val="both"/>
        <w:rPr>
          <w:sz w:val="22"/>
          <w:szCs w:val="22"/>
        </w:rPr>
      </w:pPr>
      <w:r w:rsidRPr="00C81C19">
        <w:rPr>
          <w:sz w:val="22"/>
          <w:szCs w:val="22"/>
        </w:rPr>
        <w:t xml:space="preserve">Swab technique: Samples of oropharyngeal flora </w:t>
      </w:r>
      <w:r w:rsidR="00A52460">
        <w:rPr>
          <w:sz w:val="22"/>
          <w:szCs w:val="22"/>
        </w:rPr>
        <w:t xml:space="preserve">will be </w:t>
      </w:r>
      <w:r w:rsidRPr="00C81C19">
        <w:rPr>
          <w:sz w:val="22"/>
          <w:szCs w:val="22"/>
        </w:rPr>
        <w:t>obtained by means of swab pressed over the tonsils and posterior pharyngeal wall, avoiding the jaws teeth and gingiva on withdrawal</w:t>
      </w:r>
      <w:r w:rsidRPr="00C81C19">
        <w:rPr>
          <w:sz w:val="22"/>
          <w:szCs w:val="22"/>
          <w:vertAlign w:val="superscript"/>
        </w:rPr>
        <w:t>12</w:t>
      </w:r>
      <w:r w:rsidRPr="00C81C19">
        <w:rPr>
          <w:sz w:val="22"/>
          <w:szCs w:val="22"/>
        </w:rPr>
        <w:t>.</w:t>
      </w:r>
    </w:p>
    <w:p w:rsidR="005B5B60" w:rsidRDefault="005B5B60" w:rsidP="00083196">
      <w:pPr>
        <w:jc w:val="both"/>
        <w:rPr>
          <w:sz w:val="22"/>
          <w:szCs w:val="22"/>
        </w:rPr>
      </w:pPr>
    </w:p>
    <w:p w:rsidR="009F6ACE" w:rsidRPr="00083196" w:rsidRDefault="009F6ACE" w:rsidP="00083196">
      <w:pPr>
        <w:jc w:val="both"/>
        <w:rPr>
          <w:sz w:val="22"/>
          <w:szCs w:val="22"/>
        </w:rPr>
      </w:pPr>
      <w:r w:rsidRPr="00083196">
        <w:rPr>
          <w:sz w:val="22"/>
          <w:szCs w:val="22"/>
        </w:rPr>
        <w:t>An effort will be made to take swabs from patients and their cohabitants at the same time point if possible but may occur at different time points.</w:t>
      </w:r>
    </w:p>
    <w:p w:rsidR="005B5B60" w:rsidRDefault="005B5B60" w:rsidP="00083196">
      <w:pPr>
        <w:jc w:val="both"/>
        <w:rPr>
          <w:sz w:val="22"/>
          <w:szCs w:val="22"/>
        </w:rPr>
      </w:pPr>
    </w:p>
    <w:p w:rsidR="009F6ACE" w:rsidRPr="00083196" w:rsidRDefault="009F6ACE" w:rsidP="00083196">
      <w:pPr>
        <w:jc w:val="both"/>
        <w:rPr>
          <w:sz w:val="22"/>
          <w:szCs w:val="22"/>
        </w:rPr>
      </w:pPr>
      <w:r w:rsidRPr="00083196">
        <w:rPr>
          <w:sz w:val="22"/>
          <w:szCs w:val="22"/>
        </w:rPr>
        <w:t xml:space="preserve">Swabs will be taken by staff members involved in the study. </w:t>
      </w:r>
    </w:p>
    <w:p w:rsidR="005B5B60" w:rsidRDefault="005B5B60" w:rsidP="00083196">
      <w:pPr>
        <w:jc w:val="both"/>
        <w:rPr>
          <w:sz w:val="22"/>
          <w:szCs w:val="22"/>
        </w:rPr>
      </w:pPr>
    </w:p>
    <w:p w:rsidR="009F6ACE" w:rsidRDefault="009F6ACE" w:rsidP="00083196">
      <w:pPr>
        <w:jc w:val="both"/>
        <w:rPr>
          <w:sz w:val="22"/>
          <w:szCs w:val="22"/>
        </w:rPr>
      </w:pPr>
      <w:r w:rsidRPr="00083196">
        <w:rPr>
          <w:sz w:val="22"/>
          <w:szCs w:val="22"/>
        </w:rPr>
        <w:t>A record of subject involvement will be taken with a standardized data collection tool and stored electronically, and will include the following</w:t>
      </w:r>
    </w:p>
    <w:p w:rsidR="005B5B60" w:rsidRPr="00083196" w:rsidRDefault="005B5B60" w:rsidP="00083196">
      <w:pPr>
        <w:jc w:val="both"/>
        <w:rPr>
          <w:sz w:val="22"/>
          <w:szCs w:val="22"/>
        </w:rPr>
      </w:pPr>
    </w:p>
    <w:p w:rsidR="009F6ACE" w:rsidRPr="00083196" w:rsidRDefault="009F6ACE" w:rsidP="00083196">
      <w:pPr>
        <w:pStyle w:val="ListParagraph"/>
        <w:numPr>
          <w:ilvl w:val="0"/>
          <w:numId w:val="1"/>
        </w:numPr>
        <w:jc w:val="both"/>
        <w:rPr>
          <w:sz w:val="22"/>
          <w:szCs w:val="22"/>
        </w:rPr>
      </w:pPr>
      <w:r w:rsidRPr="00083196">
        <w:rPr>
          <w:sz w:val="22"/>
          <w:szCs w:val="22"/>
        </w:rPr>
        <w:t>Age</w:t>
      </w:r>
    </w:p>
    <w:p w:rsidR="009F6ACE" w:rsidRPr="00083196" w:rsidRDefault="009F6ACE" w:rsidP="00083196">
      <w:pPr>
        <w:pStyle w:val="ListParagraph"/>
        <w:numPr>
          <w:ilvl w:val="0"/>
          <w:numId w:val="1"/>
        </w:numPr>
        <w:jc w:val="both"/>
        <w:rPr>
          <w:sz w:val="22"/>
          <w:szCs w:val="22"/>
        </w:rPr>
      </w:pPr>
      <w:r w:rsidRPr="00083196">
        <w:rPr>
          <w:sz w:val="22"/>
          <w:szCs w:val="22"/>
        </w:rPr>
        <w:t>Gender</w:t>
      </w:r>
    </w:p>
    <w:p w:rsidR="009F6ACE" w:rsidRPr="00083196" w:rsidRDefault="009F6ACE" w:rsidP="00083196">
      <w:pPr>
        <w:pStyle w:val="ListParagraph"/>
        <w:numPr>
          <w:ilvl w:val="0"/>
          <w:numId w:val="1"/>
        </w:numPr>
        <w:jc w:val="both"/>
        <w:rPr>
          <w:sz w:val="22"/>
          <w:szCs w:val="22"/>
        </w:rPr>
      </w:pPr>
      <w:r w:rsidRPr="00083196">
        <w:rPr>
          <w:sz w:val="22"/>
          <w:szCs w:val="22"/>
        </w:rPr>
        <w:t>Medical Conditions</w:t>
      </w:r>
    </w:p>
    <w:p w:rsidR="009F6ACE" w:rsidRPr="00083196" w:rsidRDefault="009F6ACE" w:rsidP="00083196">
      <w:pPr>
        <w:pStyle w:val="ListParagraph"/>
        <w:numPr>
          <w:ilvl w:val="0"/>
          <w:numId w:val="1"/>
        </w:numPr>
        <w:jc w:val="both"/>
        <w:rPr>
          <w:sz w:val="22"/>
          <w:szCs w:val="22"/>
        </w:rPr>
      </w:pPr>
      <w:r w:rsidRPr="00083196">
        <w:rPr>
          <w:sz w:val="22"/>
          <w:szCs w:val="22"/>
        </w:rPr>
        <w:t>Medication history including; antibiotic exposure</w:t>
      </w:r>
      <w:r w:rsidR="00A52460">
        <w:rPr>
          <w:sz w:val="22"/>
          <w:szCs w:val="22"/>
        </w:rPr>
        <w:t xml:space="preserve"> in the last 12 months</w:t>
      </w:r>
      <w:r w:rsidRPr="00083196">
        <w:rPr>
          <w:sz w:val="22"/>
          <w:szCs w:val="22"/>
        </w:rPr>
        <w:t xml:space="preserve">, use of inhaled corticosteroids, use of </w:t>
      </w:r>
      <w:proofErr w:type="spellStart"/>
      <w:r w:rsidRPr="00083196">
        <w:rPr>
          <w:sz w:val="22"/>
          <w:szCs w:val="22"/>
        </w:rPr>
        <w:t>nebulised</w:t>
      </w:r>
      <w:proofErr w:type="spellEnd"/>
      <w:r w:rsidRPr="00083196">
        <w:rPr>
          <w:sz w:val="22"/>
          <w:szCs w:val="22"/>
        </w:rPr>
        <w:t xml:space="preserve"> antibiotics; any </w:t>
      </w:r>
      <w:proofErr w:type="spellStart"/>
      <w:r w:rsidRPr="00083196">
        <w:rPr>
          <w:sz w:val="22"/>
          <w:szCs w:val="22"/>
        </w:rPr>
        <w:t>nebulised</w:t>
      </w:r>
      <w:proofErr w:type="spellEnd"/>
      <w:r w:rsidRPr="00083196">
        <w:rPr>
          <w:sz w:val="22"/>
          <w:szCs w:val="22"/>
        </w:rPr>
        <w:t>/inhaled therapies</w:t>
      </w:r>
    </w:p>
    <w:p w:rsidR="009F6ACE" w:rsidRPr="00083196" w:rsidRDefault="009F6ACE" w:rsidP="00083196">
      <w:pPr>
        <w:pStyle w:val="ListParagraph"/>
        <w:numPr>
          <w:ilvl w:val="0"/>
          <w:numId w:val="1"/>
        </w:numPr>
        <w:jc w:val="both"/>
        <w:rPr>
          <w:sz w:val="22"/>
          <w:szCs w:val="22"/>
        </w:rPr>
      </w:pPr>
      <w:r w:rsidRPr="00083196">
        <w:rPr>
          <w:sz w:val="22"/>
          <w:szCs w:val="22"/>
        </w:rPr>
        <w:t>Recent hospitalizations</w:t>
      </w:r>
    </w:p>
    <w:p w:rsidR="009F6ACE" w:rsidRPr="00083196" w:rsidRDefault="000B0DA3" w:rsidP="00083196">
      <w:pPr>
        <w:pStyle w:val="ListParagraph"/>
        <w:numPr>
          <w:ilvl w:val="0"/>
          <w:numId w:val="1"/>
        </w:numPr>
        <w:jc w:val="both"/>
        <w:rPr>
          <w:sz w:val="22"/>
          <w:szCs w:val="22"/>
        </w:rPr>
      </w:pPr>
      <w:r>
        <w:rPr>
          <w:sz w:val="22"/>
          <w:szCs w:val="22"/>
        </w:rPr>
        <w:t>Degree of</w:t>
      </w:r>
      <w:r w:rsidR="009F6ACE" w:rsidRPr="00083196">
        <w:rPr>
          <w:sz w:val="22"/>
          <w:szCs w:val="22"/>
        </w:rPr>
        <w:t xml:space="preserve"> contact between close contacts and </w:t>
      </w:r>
      <w:proofErr w:type="gramStart"/>
      <w:r w:rsidR="009F6ACE" w:rsidRPr="00083196">
        <w:rPr>
          <w:sz w:val="22"/>
          <w:szCs w:val="22"/>
        </w:rPr>
        <w:t>subjects</w:t>
      </w:r>
      <w:r>
        <w:rPr>
          <w:sz w:val="22"/>
          <w:szCs w:val="22"/>
        </w:rPr>
        <w:t>(</w:t>
      </w:r>
      <w:proofErr w:type="spellStart"/>
      <w:proofErr w:type="gramEnd"/>
      <w:r>
        <w:rPr>
          <w:sz w:val="22"/>
          <w:szCs w:val="22"/>
        </w:rPr>
        <w:t>ie</w:t>
      </w:r>
      <w:proofErr w:type="spellEnd"/>
      <w:r>
        <w:rPr>
          <w:sz w:val="22"/>
          <w:szCs w:val="22"/>
        </w:rPr>
        <w:t xml:space="preserve"> whether the contact is a spouse, sibling or child </w:t>
      </w:r>
      <w:proofErr w:type="spellStart"/>
      <w:r>
        <w:rPr>
          <w:sz w:val="22"/>
          <w:szCs w:val="22"/>
        </w:rPr>
        <w:t>etc</w:t>
      </w:r>
      <w:proofErr w:type="spellEnd"/>
      <w:r>
        <w:rPr>
          <w:sz w:val="22"/>
          <w:szCs w:val="22"/>
        </w:rPr>
        <w:t xml:space="preserve">) </w:t>
      </w:r>
      <w:r w:rsidR="009F6ACE" w:rsidRPr="00083196">
        <w:rPr>
          <w:sz w:val="22"/>
          <w:szCs w:val="22"/>
        </w:rPr>
        <w:t xml:space="preserve"> and the time period in which </w:t>
      </w:r>
      <w:r w:rsidR="00D05F61">
        <w:rPr>
          <w:sz w:val="22"/>
          <w:szCs w:val="22"/>
        </w:rPr>
        <w:t xml:space="preserve">the contact </w:t>
      </w:r>
      <w:r w:rsidR="009F6ACE" w:rsidRPr="00083196">
        <w:rPr>
          <w:sz w:val="22"/>
          <w:szCs w:val="22"/>
        </w:rPr>
        <w:t xml:space="preserve">occurred </w:t>
      </w:r>
      <w:r w:rsidR="00D05F61">
        <w:rPr>
          <w:sz w:val="22"/>
          <w:szCs w:val="22"/>
        </w:rPr>
        <w:t>will be documented.</w:t>
      </w:r>
    </w:p>
    <w:p w:rsidR="009F6ACE" w:rsidRPr="00083196" w:rsidRDefault="009F6ACE" w:rsidP="00083196">
      <w:pPr>
        <w:pStyle w:val="ListParagraph"/>
        <w:numPr>
          <w:ilvl w:val="0"/>
          <w:numId w:val="1"/>
        </w:numPr>
        <w:jc w:val="both"/>
        <w:rPr>
          <w:sz w:val="22"/>
          <w:szCs w:val="22"/>
        </w:rPr>
      </w:pPr>
      <w:r w:rsidRPr="00083196">
        <w:rPr>
          <w:sz w:val="22"/>
          <w:szCs w:val="22"/>
        </w:rPr>
        <w:t xml:space="preserve">Vaccination history </w:t>
      </w:r>
    </w:p>
    <w:p w:rsidR="009F6ACE" w:rsidRPr="00083196" w:rsidRDefault="009F6ACE" w:rsidP="00083196">
      <w:pPr>
        <w:pStyle w:val="ListParagraph"/>
        <w:numPr>
          <w:ilvl w:val="0"/>
          <w:numId w:val="1"/>
        </w:numPr>
        <w:jc w:val="both"/>
        <w:rPr>
          <w:sz w:val="22"/>
          <w:szCs w:val="22"/>
        </w:rPr>
      </w:pPr>
      <w:r w:rsidRPr="00083196">
        <w:rPr>
          <w:sz w:val="22"/>
          <w:szCs w:val="22"/>
        </w:rPr>
        <w:t>Smoking History</w:t>
      </w:r>
    </w:p>
    <w:p w:rsidR="009F6ACE" w:rsidRPr="00083196" w:rsidRDefault="009F6ACE" w:rsidP="00083196">
      <w:pPr>
        <w:pStyle w:val="ListParagraph"/>
        <w:jc w:val="both"/>
        <w:rPr>
          <w:sz w:val="22"/>
          <w:szCs w:val="22"/>
        </w:rPr>
      </w:pPr>
    </w:p>
    <w:p w:rsidR="009F6ACE" w:rsidRPr="00083196" w:rsidRDefault="009F6ACE" w:rsidP="00083196">
      <w:pPr>
        <w:jc w:val="both"/>
        <w:rPr>
          <w:sz w:val="22"/>
          <w:szCs w:val="22"/>
        </w:rPr>
      </w:pPr>
    </w:p>
    <w:p w:rsidR="009F6ACE" w:rsidRPr="00083196" w:rsidRDefault="009F6ACE" w:rsidP="00083196">
      <w:pPr>
        <w:jc w:val="both"/>
        <w:rPr>
          <w:i/>
          <w:sz w:val="22"/>
          <w:szCs w:val="22"/>
        </w:rPr>
      </w:pPr>
      <w:r w:rsidRPr="00083196">
        <w:rPr>
          <w:i/>
          <w:sz w:val="22"/>
          <w:szCs w:val="22"/>
        </w:rPr>
        <w:t>Oropharyngeal swab processing and data analyses</w:t>
      </w:r>
    </w:p>
    <w:p w:rsidR="009F6ACE" w:rsidRPr="00083196" w:rsidRDefault="009F6ACE" w:rsidP="00083196">
      <w:pPr>
        <w:jc w:val="both"/>
        <w:rPr>
          <w:sz w:val="22"/>
          <w:szCs w:val="22"/>
        </w:rPr>
      </w:pPr>
      <w:r w:rsidRPr="00083196">
        <w:rPr>
          <w:sz w:val="22"/>
          <w:szCs w:val="22"/>
        </w:rPr>
        <w:tab/>
      </w:r>
    </w:p>
    <w:p w:rsidR="009F6ACE" w:rsidRPr="00083196" w:rsidRDefault="000B0DA3" w:rsidP="00083196">
      <w:pPr>
        <w:jc w:val="both"/>
        <w:rPr>
          <w:sz w:val="22"/>
          <w:szCs w:val="22"/>
        </w:rPr>
      </w:pPr>
      <w:r>
        <w:rPr>
          <w:sz w:val="22"/>
          <w:szCs w:val="22"/>
        </w:rPr>
        <w:t>Aerobic culture oropharyngeal</w:t>
      </w:r>
      <w:r w:rsidRPr="00083196">
        <w:rPr>
          <w:sz w:val="22"/>
          <w:szCs w:val="22"/>
        </w:rPr>
        <w:t xml:space="preserve"> </w:t>
      </w:r>
      <w:r w:rsidR="009F6ACE" w:rsidRPr="00083196">
        <w:rPr>
          <w:sz w:val="22"/>
          <w:szCs w:val="22"/>
        </w:rPr>
        <w:t xml:space="preserve">swabs will be placed in an aerobic medium containing skimmed milk, glucose and glycerol adapted from Gibson and Khoury and stored at -80 degrees </w:t>
      </w:r>
      <w:proofErr w:type="spellStart"/>
      <w:r w:rsidR="009F6ACE" w:rsidRPr="00083196">
        <w:rPr>
          <w:sz w:val="22"/>
          <w:szCs w:val="22"/>
        </w:rPr>
        <w:t>celsius</w:t>
      </w:r>
      <w:proofErr w:type="spellEnd"/>
      <w:r w:rsidR="009F6ACE" w:rsidRPr="00083196">
        <w:rPr>
          <w:sz w:val="22"/>
          <w:szCs w:val="22"/>
        </w:rPr>
        <w:t xml:space="preserve"> until further analysis</w:t>
      </w:r>
      <w:r w:rsidR="009F6ACE" w:rsidRPr="00083196">
        <w:rPr>
          <w:sz w:val="22"/>
          <w:szCs w:val="22"/>
          <w:vertAlign w:val="superscript"/>
        </w:rPr>
        <w:t>12</w:t>
      </w:r>
      <w:r w:rsidR="009F6ACE" w:rsidRPr="00083196">
        <w:rPr>
          <w:sz w:val="22"/>
          <w:szCs w:val="22"/>
        </w:rPr>
        <w:t>.</w:t>
      </w:r>
      <w:r>
        <w:rPr>
          <w:sz w:val="22"/>
          <w:szCs w:val="22"/>
        </w:rPr>
        <w:t>FLOQSwabs will be stored directly at -80</w:t>
      </w:r>
      <w:r w:rsidRPr="00083196">
        <w:rPr>
          <w:sz w:val="22"/>
          <w:szCs w:val="22"/>
          <w:vertAlign w:val="superscript"/>
        </w:rPr>
        <w:t>o</w:t>
      </w:r>
      <w:r>
        <w:rPr>
          <w:sz w:val="22"/>
          <w:szCs w:val="22"/>
        </w:rPr>
        <w:t>C.</w:t>
      </w:r>
      <w:r w:rsidR="009F6ACE" w:rsidRPr="00083196">
        <w:rPr>
          <w:sz w:val="22"/>
          <w:szCs w:val="22"/>
        </w:rPr>
        <w:t xml:space="preserve"> Samples will be stored in the </w:t>
      </w:r>
      <w:r w:rsidR="00C15785" w:rsidRPr="00083196">
        <w:rPr>
          <w:sz w:val="22"/>
          <w:szCs w:val="22"/>
        </w:rPr>
        <w:t>respective departments and batch sent for further processing.</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All subsequent sample processing will be performed at the South Australian Health and Medical Research Institute, Adelaide (under the supervision of A/ Prof Geraint Rogers).</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Oropharyngeal swabs will subsequently be processed for each of the following outcome measures:</w:t>
      </w:r>
    </w:p>
    <w:p w:rsidR="00C15785" w:rsidRPr="00083196" w:rsidRDefault="00C15785" w:rsidP="00083196">
      <w:pPr>
        <w:jc w:val="both"/>
        <w:rPr>
          <w:sz w:val="22"/>
          <w:szCs w:val="22"/>
        </w:rPr>
      </w:pPr>
    </w:p>
    <w:p w:rsidR="009F6ACE" w:rsidRPr="00083196" w:rsidRDefault="009F6ACE" w:rsidP="00083196">
      <w:pPr>
        <w:jc w:val="both"/>
        <w:rPr>
          <w:i/>
          <w:sz w:val="22"/>
          <w:szCs w:val="22"/>
        </w:rPr>
      </w:pPr>
      <w:r w:rsidRPr="00083196">
        <w:rPr>
          <w:i/>
          <w:sz w:val="22"/>
          <w:szCs w:val="22"/>
        </w:rPr>
        <w:t>Oropharyngeal streptococcal culture and sensitivity testing according to</w:t>
      </w:r>
      <w:r w:rsidR="00C15785" w:rsidRPr="00083196">
        <w:rPr>
          <w:i/>
          <w:sz w:val="22"/>
          <w:szCs w:val="22"/>
        </w:rPr>
        <w:t xml:space="preserve"> </w:t>
      </w:r>
      <w:r w:rsidRPr="00083196">
        <w:rPr>
          <w:i/>
          <w:sz w:val="22"/>
          <w:szCs w:val="22"/>
        </w:rPr>
        <w:t>methods previously described</w:t>
      </w:r>
      <w:r w:rsidRPr="00083196">
        <w:rPr>
          <w:i/>
          <w:sz w:val="22"/>
          <w:szCs w:val="22"/>
          <w:vertAlign w:val="superscript"/>
        </w:rPr>
        <w:t>12</w:t>
      </w:r>
      <w:r w:rsidRPr="00083196">
        <w:rPr>
          <w:i/>
          <w:sz w:val="22"/>
          <w:szCs w:val="22"/>
        </w:rPr>
        <w:t>:</w:t>
      </w:r>
    </w:p>
    <w:p w:rsidR="009F6ACE" w:rsidRPr="00083196" w:rsidRDefault="009F6ACE" w:rsidP="00083196">
      <w:pPr>
        <w:ind w:left="284"/>
        <w:jc w:val="both"/>
        <w:rPr>
          <w:sz w:val="22"/>
          <w:szCs w:val="22"/>
        </w:rPr>
      </w:pPr>
      <w:r w:rsidRPr="00083196">
        <w:rPr>
          <w:sz w:val="22"/>
          <w:szCs w:val="22"/>
        </w:rPr>
        <w:t xml:space="preserve">The samples will be thawed and, vortexed and inoculated on Columbia CAN agar (Beckton Dickinson) with or without erythromycin (2micrograms/ml) using a sterile spreader. Plates will be incubated at 37 degrees </w:t>
      </w:r>
      <w:proofErr w:type="spellStart"/>
      <w:r w:rsidRPr="00083196">
        <w:rPr>
          <w:sz w:val="22"/>
          <w:szCs w:val="22"/>
        </w:rPr>
        <w:t>celsius</w:t>
      </w:r>
      <w:proofErr w:type="spellEnd"/>
      <w:r w:rsidRPr="00083196">
        <w:rPr>
          <w:sz w:val="22"/>
          <w:szCs w:val="22"/>
        </w:rPr>
        <w:t xml:space="preserve"> in 5% CO2/95% air. Bacterial colonies will be assessed on both erythromycin treated plates and non-antibiotic plates to determine the rate of macrolide resistant bacteria. Media quality control will be performed to ensure growth of only gram-positive organisms with sterility assessment at 48 hours. </w:t>
      </w:r>
    </w:p>
    <w:p w:rsidR="009F6ACE" w:rsidRPr="00083196" w:rsidRDefault="009F6ACE" w:rsidP="00083196">
      <w:pPr>
        <w:ind w:left="284"/>
        <w:jc w:val="both"/>
        <w:rPr>
          <w:sz w:val="22"/>
          <w:szCs w:val="22"/>
        </w:rPr>
      </w:pPr>
      <w:r w:rsidRPr="00083196">
        <w:rPr>
          <w:sz w:val="22"/>
          <w:szCs w:val="22"/>
        </w:rPr>
        <w:lastRenderedPageBreak/>
        <w:t>Proportional macrolide resistance will be compared between index-cohabitants and control-cohabitants using tests according to normality of distribution of the data. Previously these data have been non-normally distributed</w:t>
      </w:r>
      <w:r w:rsidRPr="00083196">
        <w:rPr>
          <w:sz w:val="22"/>
          <w:szCs w:val="22"/>
          <w:vertAlign w:val="superscript"/>
        </w:rPr>
        <w:t>12</w:t>
      </w:r>
      <w:r w:rsidRPr="00083196">
        <w:rPr>
          <w:sz w:val="22"/>
          <w:szCs w:val="22"/>
        </w:rPr>
        <w:t xml:space="preserve"> and it is therefore likely that rates of proportional macrolide resistance will be compared by Mann-Whitney U test.</w:t>
      </w:r>
    </w:p>
    <w:p w:rsidR="00C15785" w:rsidRPr="00083196" w:rsidRDefault="00C15785" w:rsidP="00083196">
      <w:pPr>
        <w:jc w:val="both"/>
        <w:rPr>
          <w:sz w:val="22"/>
          <w:szCs w:val="22"/>
        </w:rPr>
      </w:pPr>
    </w:p>
    <w:p w:rsidR="009F6ACE" w:rsidRPr="00083196" w:rsidRDefault="009F6ACE" w:rsidP="00083196">
      <w:pPr>
        <w:jc w:val="both"/>
        <w:rPr>
          <w:i/>
          <w:sz w:val="22"/>
          <w:szCs w:val="22"/>
        </w:rPr>
      </w:pPr>
      <w:r w:rsidRPr="00083196">
        <w:rPr>
          <w:i/>
          <w:sz w:val="22"/>
          <w:szCs w:val="22"/>
        </w:rPr>
        <w:t xml:space="preserve">Quantification of bacterial resistance genes </w:t>
      </w:r>
    </w:p>
    <w:p w:rsidR="009F6ACE" w:rsidRPr="00083196" w:rsidRDefault="009F6ACE" w:rsidP="00083196">
      <w:pPr>
        <w:ind w:left="284"/>
        <w:jc w:val="both"/>
        <w:rPr>
          <w:sz w:val="22"/>
          <w:szCs w:val="22"/>
        </w:rPr>
      </w:pPr>
      <w:r w:rsidRPr="00083196">
        <w:rPr>
          <w:sz w:val="22"/>
          <w:szCs w:val="22"/>
        </w:rPr>
        <w:t xml:space="preserve">Multiplex endpoint PCR assay will be used to determine the presence of a panel of resistance genes (erm(A), erm(B), </w:t>
      </w:r>
      <w:proofErr w:type="spellStart"/>
      <w:r w:rsidRPr="00083196">
        <w:rPr>
          <w:sz w:val="22"/>
          <w:szCs w:val="22"/>
        </w:rPr>
        <w:t>mef</w:t>
      </w:r>
      <w:proofErr w:type="spellEnd"/>
      <w:r w:rsidRPr="00083196">
        <w:rPr>
          <w:sz w:val="22"/>
          <w:szCs w:val="22"/>
        </w:rPr>
        <w:t xml:space="preserve">, </w:t>
      </w:r>
      <w:proofErr w:type="spellStart"/>
      <w:r w:rsidRPr="00083196">
        <w:rPr>
          <w:sz w:val="22"/>
          <w:szCs w:val="22"/>
        </w:rPr>
        <w:t>tet</w:t>
      </w:r>
      <w:proofErr w:type="spellEnd"/>
      <w:r w:rsidRPr="00083196">
        <w:rPr>
          <w:sz w:val="22"/>
          <w:szCs w:val="22"/>
        </w:rPr>
        <w:t xml:space="preserve">(M), </w:t>
      </w:r>
      <w:proofErr w:type="spellStart"/>
      <w:r w:rsidRPr="00083196">
        <w:rPr>
          <w:sz w:val="22"/>
          <w:szCs w:val="22"/>
        </w:rPr>
        <w:t>tet</w:t>
      </w:r>
      <w:proofErr w:type="spellEnd"/>
      <w:r w:rsidRPr="00083196">
        <w:rPr>
          <w:sz w:val="22"/>
          <w:szCs w:val="22"/>
        </w:rPr>
        <w:t xml:space="preserve">(O), </w:t>
      </w:r>
      <w:proofErr w:type="spellStart"/>
      <w:r w:rsidRPr="00083196">
        <w:rPr>
          <w:sz w:val="22"/>
          <w:szCs w:val="22"/>
        </w:rPr>
        <w:t>tet</w:t>
      </w:r>
      <w:proofErr w:type="spellEnd"/>
      <w:r w:rsidRPr="00083196">
        <w:rPr>
          <w:sz w:val="22"/>
          <w:szCs w:val="22"/>
        </w:rPr>
        <w:t xml:space="preserve">(K), </w:t>
      </w:r>
      <w:proofErr w:type="spellStart"/>
      <w:r w:rsidRPr="00083196">
        <w:rPr>
          <w:sz w:val="22"/>
          <w:szCs w:val="22"/>
        </w:rPr>
        <w:t>tet</w:t>
      </w:r>
      <w:proofErr w:type="spellEnd"/>
      <w:r w:rsidRPr="00083196">
        <w:rPr>
          <w:sz w:val="22"/>
          <w:szCs w:val="22"/>
        </w:rPr>
        <w:t>(L) as described in Malhotra-Kumar</w:t>
      </w:r>
      <w:r w:rsidRPr="00083196">
        <w:rPr>
          <w:sz w:val="22"/>
          <w:szCs w:val="22"/>
          <w:vertAlign w:val="superscript"/>
        </w:rPr>
        <w:t>13</w:t>
      </w:r>
      <w:r w:rsidRPr="00083196">
        <w:rPr>
          <w:sz w:val="22"/>
          <w:szCs w:val="22"/>
        </w:rPr>
        <w:t>.Where resistant genes are detected; gene specific qPCR assays will be used to determine their abundance relative to total bacterial load. This will be determined by 16srRNA gene qPCR as previously described</w:t>
      </w:r>
      <w:r w:rsidRPr="00083196">
        <w:rPr>
          <w:sz w:val="22"/>
          <w:szCs w:val="22"/>
          <w:vertAlign w:val="superscript"/>
        </w:rPr>
        <w:t>14</w:t>
      </w:r>
      <w:r w:rsidRPr="00083196">
        <w:rPr>
          <w:sz w:val="22"/>
          <w:szCs w:val="22"/>
        </w:rPr>
        <w:t>. Differences in relative abundance of bacterial resistance genes will be compared between index case-cohabitants and control-cohabitants by Mann-Whitney U-test.</w:t>
      </w:r>
    </w:p>
    <w:p w:rsidR="00C15785" w:rsidRPr="00083196" w:rsidRDefault="00C15785" w:rsidP="00083196">
      <w:pPr>
        <w:jc w:val="both"/>
        <w:rPr>
          <w:sz w:val="22"/>
          <w:szCs w:val="22"/>
        </w:rPr>
      </w:pPr>
    </w:p>
    <w:p w:rsidR="009F6ACE" w:rsidRPr="00083196" w:rsidRDefault="009F6ACE" w:rsidP="00083196">
      <w:pPr>
        <w:jc w:val="both"/>
        <w:rPr>
          <w:i/>
          <w:sz w:val="22"/>
          <w:szCs w:val="22"/>
        </w:rPr>
      </w:pPr>
      <w:r w:rsidRPr="00083196">
        <w:rPr>
          <w:i/>
          <w:sz w:val="22"/>
          <w:szCs w:val="22"/>
        </w:rPr>
        <w:t>Microbiota composition analysis</w:t>
      </w:r>
    </w:p>
    <w:p w:rsidR="009F6ACE" w:rsidRPr="00083196" w:rsidRDefault="009F6ACE" w:rsidP="00083196">
      <w:pPr>
        <w:ind w:left="284"/>
        <w:jc w:val="both"/>
        <w:rPr>
          <w:sz w:val="22"/>
          <w:szCs w:val="22"/>
        </w:rPr>
      </w:pPr>
      <w:r w:rsidRPr="00083196">
        <w:rPr>
          <w:sz w:val="22"/>
          <w:szCs w:val="22"/>
        </w:rPr>
        <w:t xml:space="preserve">Oropharyngeal swabs will undergo DNA extraction, followed by paired-read 16S-rRNA gene V1-V3 amplicon sequencing, using the illumine </w:t>
      </w:r>
      <w:proofErr w:type="spellStart"/>
      <w:r w:rsidRPr="00083196">
        <w:rPr>
          <w:sz w:val="22"/>
          <w:szCs w:val="22"/>
        </w:rPr>
        <w:t>MISeq</w:t>
      </w:r>
      <w:proofErr w:type="spellEnd"/>
      <w:r w:rsidRPr="00083196">
        <w:rPr>
          <w:sz w:val="22"/>
          <w:szCs w:val="22"/>
        </w:rPr>
        <w:t xml:space="preserve"> platform as previously described</w:t>
      </w:r>
      <w:r w:rsidRPr="00083196">
        <w:rPr>
          <w:sz w:val="22"/>
          <w:szCs w:val="22"/>
          <w:vertAlign w:val="superscript"/>
        </w:rPr>
        <w:t>14</w:t>
      </w:r>
      <w:r w:rsidRPr="00083196">
        <w:rPr>
          <w:sz w:val="22"/>
          <w:szCs w:val="22"/>
        </w:rPr>
        <w:t>.</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Subsequent data analyses will utilize the following principles: Bray Curtis dissimilarity matrices will be generated based on microbiota profiles from visit 1, 2 and 3 samples. Distribution of microbiota similarity will be visualized by nonmetric multidimensional scaling (NMS) and the existence of significant between group differences tested by PERMANOVA test. Specifically assessment will be made on whether significant differences exist in microbiota composition between azithromycin or erythromycin groups at each timepoint. Where significant variances occur, SIMPER analysis will be used to determine the contribution to observed subgroup differences in microbiota composition by determining individual bacterial taxa as preciously described</w:t>
      </w:r>
      <w:r w:rsidRPr="00083196">
        <w:rPr>
          <w:sz w:val="22"/>
          <w:szCs w:val="22"/>
          <w:vertAlign w:val="superscript"/>
        </w:rPr>
        <w:t>14,15</w:t>
      </w:r>
      <w:r w:rsidRPr="00083196">
        <w:rPr>
          <w:sz w:val="22"/>
          <w:szCs w:val="22"/>
        </w:rPr>
        <w:t>. Significance of these taxon-level differences will be tested based on relative abundance variation (Mann Whitney U Test).</w:t>
      </w:r>
    </w:p>
    <w:p w:rsidR="009F6ACE" w:rsidRPr="00083196" w:rsidRDefault="009F6ACE" w:rsidP="00083196">
      <w:pPr>
        <w:jc w:val="both"/>
        <w:rPr>
          <w:sz w:val="22"/>
          <w:szCs w:val="22"/>
        </w:rPr>
      </w:pPr>
    </w:p>
    <w:p w:rsidR="009F6ACE" w:rsidRPr="00083196" w:rsidRDefault="009F6ACE" w:rsidP="00083196">
      <w:pPr>
        <w:jc w:val="both"/>
        <w:rPr>
          <w:i/>
          <w:sz w:val="22"/>
          <w:szCs w:val="22"/>
        </w:rPr>
      </w:pPr>
      <w:r w:rsidRPr="00083196">
        <w:rPr>
          <w:i/>
          <w:sz w:val="22"/>
          <w:szCs w:val="22"/>
        </w:rPr>
        <w:t>Direct detection and quantification of organisms</w:t>
      </w:r>
    </w:p>
    <w:p w:rsidR="009F6ACE" w:rsidRPr="00083196" w:rsidRDefault="009F6ACE" w:rsidP="00083196">
      <w:pPr>
        <w:ind w:left="284"/>
        <w:jc w:val="both"/>
        <w:rPr>
          <w:sz w:val="22"/>
          <w:szCs w:val="22"/>
        </w:rPr>
      </w:pPr>
      <w:r w:rsidRPr="00083196">
        <w:rPr>
          <w:sz w:val="22"/>
          <w:szCs w:val="22"/>
        </w:rPr>
        <w:t xml:space="preserve">Streptococcus Pneumoniae, Mycoplasma Pneumoniae, </w:t>
      </w:r>
      <w:proofErr w:type="spellStart"/>
      <w:r w:rsidRPr="00083196">
        <w:rPr>
          <w:sz w:val="22"/>
          <w:szCs w:val="22"/>
        </w:rPr>
        <w:t>Bordatella</w:t>
      </w:r>
      <w:proofErr w:type="spellEnd"/>
      <w:r w:rsidRPr="00083196">
        <w:rPr>
          <w:sz w:val="22"/>
          <w:szCs w:val="22"/>
        </w:rPr>
        <w:t xml:space="preserve"> Pertussis will be determined using qPCR assays targeting </w:t>
      </w:r>
      <w:proofErr w:type="spellStart"/>
      <w:r w:rsidRPr="00083196">
        <w:rPr>
          <w:sz w:val="22"/>
          <w:szCs w:val="22"/>
        </w:rPr>
        <w:t>lytA</w:t>
      </w:r>
      <w:proofErr w:type="spellEnd"/>
      <w:r w:rsidRPr="00083196">
        <w:rPr>
          <w:sz w:val="22"/>
          <w:szCs w:val="22"/>
        </w:rPr>
        <w:t>, 23s rRNA spacer region and IS481 region respectively as previously described</w:t>
      </w:r>
      <w:r w:rsidRPr="00083196">
        <w:rPr>
          <w:sz w:val="22"/>
          <w:szCs w:val="22"/>
          <w:vertAlign w:val="superscript"/>
        </w:rPr>
        <w:t>16</w:t>
      </w:r>
      <w:r w:rsidRPr="00083196">
        <w:rPr>
          <w:sz w:val="22"/>
          <w:szCs w:val="22"/>
        </w:rPr>
        <w:t>. Differences in levels of the above bacterial groups will be tested for significance using the Mann Whitney U Test.</w:t>
      </w: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9F6ACE" w:rsidRPr="00083196" w:rsidRDefault="009F6ACE" w:rsidP="00083196">
      <w:pPr>
        <w:jc w:val="both"/>
        <w:rPr>
          <w:b/>
          <w:sz w:val="22"/>
          <w:szCs w:val="22"/>
        </w:rPr>
      </w:pPr>
      <w:proofErr w:type="spellStart"/>
      <w:r w:rsidRPr="00083196">
        <w:rPr>
          <w:b/>
          <w:sz w:val="22"/>
          <w:szCs w:val="22"/>
        </w:rPr>
        <w:t>Statisical</w:t>
      </w:r>
      <w:proofErr w:type="spellEnd"/>
      <w:r w:rsidRPr="00083196">
        <w:rPr>
          <w:b/>
          <w:sz w:val="22"/>
          <w:szCs w:val="22"/>
        </w:rPr>
        <w:t xml:space="preserve"> analysis, sample size, power.</w:t>
      </w:r>
    </w:p>
    <w:p w:rsidR="009F6ACE" w:rsidRPr="00083196" w:rsidRDefault="009F6ACE" w:rsidP="00083196">
      <w:pPr>
        <w:pStyle w:val="ListParagraph"/>
        <w:jc w:val="both"/>
        <w:rPr>
          <w:sz w:val="22"/>
          <w:szCs w:val="22"/>
        </w:rPr>
      </w:pPr>
    </w:p>
    <w:p w:rsidR="009F6ACE" w:rsidRPr="00083196" w:rsidRDefault="009F6ACE" w:rsidP="00083196">
      <w:pPr>
        <w:jc w:val="both"/>
        <w:rPr>
          <w:sz w:val="22"/>
          <w:szCs w:val="22"/>
        </w:rPr>
      </w:pPr>
      <w:r w:rsidRPr="00D729B0">
        <w:rPr>
          <w:sz w:val="22"/>
          <w:szCs w:val="22"/>
          <w:highlight w:val="yellow"/>
        </w:rPr>
        <w:t>Based upon the mean 44% increase in oropharyngeal macrolide resistance seen after 1 month of erythromycin therapy in the BLESS study, baseline SD of 18%</w:t>
      </w:r>
      <w:r w:rsidRPr="00D729B0">
        <w:rPr>
          <w:sz w:val="22"/>
          <w:szCs w:val="22"/>
          <w:highlight w:val="yellow"/>
          <w:vertAlign w:val="superscript"/>
        </w:rPr>
        <w:t>12</w:t>
      </w:r>
      <w:r w:rsidRPr="00D729B0">
        <w:rPr>
          <w:sz w:val="22"/>
          <w:szCs w:val="22"/>
          <w:highlight w:val="yellow"/>
        </w:rPr>
        <w:t xml:space="preserve"> and assuming incomplete (estimated 25%) transmission of macrolide resistance from index cases to cohabitants, 44 cohabitants in each arm will provide 80% power at the 5% significance level to demonstrate an 11% difference in proportional macrolide resistance rates between case-contacts and control-contacts. Numbers have been rounded up to 50 in each group to account for subject and sample attrition.</w:t>
      </w:r>
      <w:r w:rsidRPr="00083196">
        <w:rPr>
          <w:sz w:val="22"/>
          <w:szCs w:val="22"/>
        </w:rPr>
        <w:t xml:space="preserve"> </w:t>
      </w:r>
    </w:p>
    <w:p w:rsidR="009F6ACE" w:rsidRPr="00083196" w:rsidRDefault="009F6ACE" w:rsidP="00083196">
      <w:pPr>
        <w:jc w:val="both"/>
        <w:rPr>
          <w:sz w:val="22"/>
          <w:szCs w:val="22"/>
        </w:rPr>
      </w:pPr>
    </w:p>
    <w:p w:rsidR="009F6ACE" w:rsidRPr="00083196" w:rsidRDefault="009F6ACE" w:rsidP="00083196">
      <w:pPr>
        <w:jc w:val="both"/>
        <w:rPr>
          <w:b/>
          <w:sz w:val="22"/>
          <w:szCs w:val="22"/>
        </w:rPr>
      </w:pPr>
    </w:p>
    <w:p w:rsidR="009F6ACE" w:rsidRPr="00083196" w:rsidRDefault="009F6ACE" w:rsidP="00083196">
      <w:pPr>
        <w:jc w:val="both"/>
        <w:rPr>
          <w:b/>
          <w:sz w:val="22"/>
          <w:szCs w:val="22"/>
        </w:rPr>
      </w:pPr>
      <w:r w:rsidRPr="00083196">
        <w:rPr>
          <w:b/>
          <w:sz w:val="22"/>
          <w:szCs w:val="22"/>
        </w:rPr>
        <w:t>Study duration and timeline</w:t>
      </w:r>
    </w:p>
    <w:p w:rsidR="009F6ACE" w:rsidRPr="00083196" w:rsidRDefault="009F6ACE" w:rsidP="00083196">
      <w:pPr>
        <w:jc w:val="both"/>
        <w:rPr>
          <w:sz w:val="22"/>
          <w:szCs w:val="22"/>
        </w:rPr>
      </w:pPr>
    </w:p>
    <w:p w:rsidR="009F6ACE" w:rsidRPr="00083196" w:rsidRDefault="004B1058" w:rsidP="00083196">
      <w:pPr>
        <w:jc w:val="both"/>
        <w:rPr>
          <w:sz w:val="22"/>
          <w:szCs w:val="22"/>
        </w:rPr>
      </w:pPr>
      <w:r>
        <w:rPr>
          <w:sz w:val="22"/>
          <w:szCs w:val="22"/>
        </w:rPr>
        <w:lastRenderedPageBreak/>
        <w:t>Aug</w:t>
      </w:r>
      <w:r w:rsidRPr="00083196">
        <w:rPr>
          <w:sz w:val="22"/>
          <w:szCs w:val="22"/>
        </w:rPr>
        <w:t xml:space="preserve"> </w:t>
      </w:r>
      <w:r w:rsidR="009F6ACE" w:rsidRPr="00083196">
        <w:rPr>
          <w:sz w:val="22"/>
          <w:szCs w:val="22"/>
        </w:rPr>
        <w:t>201</w:t>
      </w:r>
      <w:r w:rsidR="00C15785" w:rsidRPr="00083196">
        <w:rPr>
          <w:sz w:val="22"/>
          <w:szCs w:val="22"/>
        </w:rPr>
        <w:t>6</w:t>
      </w:r>
      <w:r w:rsidR="009F6ACE" w:rsidRPr="00083196">
        <w:rPr>
          <w:sz w:val="22"/>
          <w:szCs w:val="22"/>
        </w:rPr>
        <w:t xml:space="preserve"> – submission of </w:t>
      </w:r>
      <w:r w:rsidR="00C15785" w:rsidRPr="00083196">
        <w:rPr>
          <w:sz w:val="22"/>
          <w:szCs w:val="22"/>
        </w:rPr>
        <w:t xml:space="preserve">updated </w:t>
      </w:r>
      <w:r w:rsidR="009F6ACE" w:rsidRPr="00083196">
        <w:rPr>
          <w:sz w:val="22"/>
          <w:szCs w:val="22"/>
        </w:rPr>
        <w:t xml:space="preserve">protocol and NEAF to </w:t>
      </w:r>
      <w:r w:rsidR="00C15785" w:rsidRPr="00083196">
        <w:rPr>
          <w:sz w:val="22"/>
          <w:szCs w:val="22"/>
        </w:rPr>
        <w:t>Metro South</w:t>
      </w:r>
      <w:r w:rsidR="009F6ACE" w:rsidRPr="00083196">
        <w:rPr>
          <w:sz w:val="22"/>
          <w:szCs w:val="22"/>
        </w:rPr>
        <w:t xml:space="preserve"> HREC.</w:t>
      </w:r>
    </w:p>
    <w:p w:rsidR="009F6ACE" w:rsidRPr="00083196" w:rsidRDefault="004B1058" w:rsidP="00083196">
      <w:pPr>
        <w:jc w:val="both"/>
        <w:rPr>
          <w:sz w:val="22"/>
          <w:szCs w:val="22"/>
        </w:rPr>
      </w:pPr>
      <w:r>
        <w:rPr>
          <w:sz w:val="22"/>
          <w:szCs w:val="22"/>
        </w:rPr>
        <w:t>Nov</w:t>
      </w:r>
      <w:r w:rsidRPr="00083196">
        <w:rPr>
          <w:sz w:val="22"/>
          <w:szCs w:val="22"/>
        </w:rPr>
        <w:t xml:space="preserve"> </w:t>
      </w:r>
      <w:r w:rsidR="009F6ACE" w:rsidRPr="00083196">
        <w:rPr>
          <w:sz w:val="22"/>
          <w:szCs w:val="22"/>
        </w:rPr>
        <w:t>201</w:t>
      </w:r>
      <w:r w:rsidR="00C15785" w:rsidRPr="00083196">
        <w:rPr>
          <w:sz w:val="22"/>
          <w:szCs w:val="22"/>
        </w:rPr>
        <w:t>6</w:t>
      </w:r>
      <w:r w:rsidR="009F6ACE" w:rsidRPr="00083196">
        <w:rPr>
          <w:sz w:val="22"/>
          <w:szCs w:val="22"/>
        </w:rPr>
        <w:t xml:space="preserve"> – approval of ethics submission.</w:t>
      </w:r>
    </w:p>
    <w:p w:rsidR="009F6ACE" w:rsidRPr="00083196" w:rsidRDefault="004B1058" w:rsidP="00083196">
      <w:pPr>
        <w:jc w:val="both"/>
        <w:rPr>
          <w:sz w:val="22"/>
          <w:szCs w:val="22"/>
        </w:rPr>
      </w:pPr>
      <w:r>
        <w:rPr>
          <w:sz w:val="22"/>
          <w:szCs w:val="22"/>
        </w:rPr>
        <w:t>Dec</w:t>
      </w:r>
      <w:r w:rsidR="009F6ACE" w:rsidRPr="00083196">
        <w:rPr>
          <w:sz w:val="22"/>
          <w:szCs w:val="22"/>
        </w:rPr>
        <w:t xml:space="preserve"> 201</w:t>
      </w:r>
      <w:r w:rsidR="00C15785" w:rsidRPr="00083196">
        <w:rPr>
          <w:sz w:val="22"/>
          <w:szCs w:val="22"/>
        </w:rPr>
        <w:t>6</w:t>
      </w:r>
      <w:r w:rsidR="009F6ACE" w:rsidRPr="00083196">
        <w:rPr>
          <w:sz w:val="22"/>
          <w:szCs w:val="22"/>
        </w:rPr>
        <w:t xml:space="preserve"> – approval of governance for study.</w:t>
      </w:r>
    </w:p>
    <w:p w:rsidR="009F6ACE" w:rsidRPr="00083196" w:rsidRDefault="004B1058" w:rsidP="00083196">
      <w:pPr>
        <w:jc w:val="both"/>
        <w:rPr>
          <w:sz w:val="22"/>
          <w:szCs w:val="22"/>
        </w:rPr>
      </w:pPr>
      <w:r>
        <w:rPr>
          <w:sz w:val="22"/>
          <w:szCs w:val="22"/>
        </w:rPr>
        <w:t>Jan</w:t>
      </w:r>
      <w:r w:rsidRPr="00083196">
        <w:rPr>
          <w:sz w:val="22"/>
          <w:szCs w:val="22"/>
        </w:rPr>
        <w:t xml:space="preserve"> </w:t>
      </w:r>
      <w:r w:rsidR="009F6ACE" w:rsidRPr="00083196">
        <w:rPr>
          <w:sz w:val="22"/>
          <w:szCs w:val="22"/>
        </w:rPr>
        <w:t>201</w:t>
      </w:r>
      <w:r w:rsidR="00C15785" w:rsidRPr="00083196">
        <w:rPr>
          <w:sz w:val="22"/>
          <w:szCs w:val="22"/>
        </w:rPr>
        <w:t>6</w:t>
      </w:r>
      <w:r w:rsidR="009F6ACE" w:rsidRPr="00083196">
        <w:rPr>
          <w:sz w:val="22"/>
          <w:szCs w:val="22"/>
        </w:rPr>
        <w:t xml:space="preserve"> – commence recruitment of patients and collection of swabs.</w:t>
      </w:r>
    </w:p>
    <w:p w:rsidR="009F6ACE" w:rsidRPr="00083196" w:rsidRDefault="009F6ACE" w:rsidP="00083196">
      <w:pPr>
        <w:jc w:val="both"/>
        <w:rPr>
          <w:sz w:val="22"/>
          <w:szCs w:val="22"/>
        </w:rPr>
      </w:pPr>
      <w:r w:rsidRPr="00083196">
        <w:rPr>
          <w:sz w:val="22"/>
          <w:szCs w:val="22"/>
        </w:rPr>
        <w:t>January 201</w:t>
      </w:r>
      <w:r w:rsidR="004B1058">
        <w:rPr>
          <w:sz w:val="22"/>
          <w:szCs w:val="22"/>
        </w:rPr>
        <w:t>8</w:t>
      </w:r>
      <w:r w:rsidRPr="00083196">
        <w:rPr>
          <w:sz w:val="22"/>
          <w:szCs w:val="22"/>
        </w:rPr>
        <w:t xml:space="preserve"> – completion of patient recruitment and collection of swabs.</w:t>
      </w:r>
    </w:p>
    <w:p w:rsidR="009F6ACE" w:rsidRPr="00083196" w:rsidRDefault="009F6ACE" w:rsidP="00083196">
      <w:pPr>
        <w:jc w:val="both"/>
        <w:rPr>
          <w:sz w:val="22"/>
          <w:szCs w:val="22"/>
        </w:rPr>
      </w:pPr>
      <w:r w:rsidRPr="00083196">
        <w:rPr>
          <w:sz w:val="22"/>
          <w:szCs w:val="22"/>
        </w:rPr>
        <w:t>February 201</w:t>
      </w:r>
      <w:r w:rsidR="004B1058">
        <w:rPr>
          <w:sz w:val="22"/>
          <w:szCs w:val="22"/>
        </w:rPr>
        <w:t>9</w:t>
      </w:r>
      <w:r w:rsidRPr="00083196">
        <w:rPr>
          <w:sz w:val="22"/>
          <w:szCs w:val="22"/>
        </w:rPr>
        <w:t xml:space="preserve"> – data analysis and assessment of results.</w:t>
      </w:r>
    </w:p>
    <w:p w:rsidR="009F6ACE" w:rsidRPr="00083196" w:rsidRDefault="009F6ACE" w:rsidP="00083196">
      <w:pPr>
        <w:jc w:val="both"/>
        <w:rPr>
          <w:sz w:val="22"/>
          <w:szCs w:val="22"/>
        </w:rPr>
      </w:pPr>
    </w:p>
    <w:p w:rsidR="00C15785" w:rsidRPr="00083196" w:rsidRDefault="00C15785" w:rsidP="00083196">
      <w:pPr>
        <w:jc w:val="both"/>
        <w:rPr>
          <w:sz w:val="22"/>
          <w:szCs w:val="22"/>
        </w:rPr>
      </w:pPr>
    </w:p>
    <w:p w:rsidR="009F6ACE" w:rsidRPr="00083196" w:rsidRDefault="009F6ACE" w:rsidP="00083196">
      <w:pPr>
        <w:jc w:val="both"/>
        <w:rPr>
          <w:b/>
          <w:sz w:val="22"/>
          <w:szCs w:val="22"/>
        </w:rPr>
      </w:pPr>
      <w:r w:rsidRPr="00083196">
        <w:rPr>
          <w:b/>
          <w:sz w:val="22"/>
          <w:szCs w:val="22"/>
        </w:rPr>
        <w:t>Data Management and Storage</w:t>
      </w:r>
    </w:p>
    <w:p w:rsidR="009F6ACE" w:rsidRPr="00083196" w:rsidRDefault="009F6ACE" w:rsidP="00083196">
      <w:pPr>
        <w:jc w:val="both"/>
        <w:rPr>
          <w:b/>
          <w:sz w:val="22"/>
          <w:szCs w:val="22"/>
        </w:rPr>
      </w:pPr>
    </w:p>
    <w:p w:rsidR="009F6ACE" w:rsidRPr="00083196" w:rsidRDefault="009F6ACE" w:rsidP="00083196">
      <w:pPr>
        <w:pStyle w:val="ListParagraph"/>
        <w:numPr>
          <w:ilvl w:val="0"/>
          <w:numId w:val="1"/>
        </w:numPr>
        <w:jc w:val="both"/>
        <w:rPr>
          <w:sz w:val="22"/>
          <w:szCs w:val="22"/>
        </w:rPr>
      </w:pPr>
      <w:r w:rsidRPr="00083196">
        <w:rPr>
          <w:sz w:val="22"/>
          <w:szCs w:val="22"/>
        </w:rPr>
        <w:t>Data will be collected by staff involved in the study. This may include medical officers, clinical nurses, pathology staff, and research nurses.</w:t>
      </w:r>
    </w:p>
    <w:p w:rsidR="009F6ACE" w:rsidRPr="00083196" w:rsidRDefault="009F6ACE" w:rsidP="00083196">
      <w:pPr>
        <w:pStyle w:val="ListParagraph"/>
        <w:numPr>
          <w:ilvl w:val="0"/>
          <w:numId w:val="1"/>
        </w:numPr>
        <w:jc w:val="both"/>
        <w:rPr>
          <w:sz w:val="22"/>
          <w:szCs w:val="22"/>
        </w:rPr>
      </w:pPr>
      <w:r w:rsidRPr="00083196">
        <w:rPr>
          <w:sz w:val="22"/>
          <w:szCs w:val="22"/>
        </w:rPr>
        <w:t>A standardized data collection tool in written form will be used to record patient involvement and the collection of swabs at the time of recruitment.</w:t>
      </w:r>
    </w:p>
    <w:p w:rsidR="009F6ACE" w:rsidRPr="00083196" w:rsidRDefault="009F6ACE" w:rsidP="00083196">
      <w:pPr>
        <w:pStyle w:val="ListParagraph"/>
        <w:numPr>
          <w:ilvl w:val="0"/>
          <w:numId w:val="1"/>
        </w:numPr>
        <w:jc w:val="both"/>
        <w:rPr>
          <w:sz w:val="22"/>
          <w:szCs w:val="22"/>
        </w:rPr>
      </w:pPr>
      <w:r w:rsidRPr="00083196">
        <w:rPr>
          <w:sz w:val="22"/>
          <w:szCs w:val="22"/>
        </w:rPr>
        <w:t>The above data will then be transferred onto an electronic data collection program.</w:t>
      </w:r>
    </w:p>
    <w:p w:rsidR="009F6ACE" w:rsidRPr="00083196" w:rsidRDefault="009F6ACE" w:rsidP="00083196">
      <w:pPr>
        <w:pStyle w:val="ListParagraph"/>
        <w:numPr>
          <w:ilvl w:val="0"/>
          <w:numId w:val="1"/>
        </w:numPr>
        <w:jc w:val="both"/>
        <w:rPr>
          <w:sz w:val="22"/>
          <w:szCs w:val="22"/>
        </w:rPr>
      </w:pPr>
      <w:r w:rsidRPr="00083196">
        <w:rPr>
          <w:sz w:val="22"/>
          <w:szCs w:val="22"/>
        </w:rPr>
        <w:t>Data in paper form will be stored securely in a locked office of the researcher.</w:t>
      </w:r>
    </w:p>
    <w:p w:rsidR="00C15785" w:rsidRPr="00083196" w:rsidRDefault="009F6ACE" w:rsidP="00083196">
      <w:pPr>
        <w:pStyle w:val="ListParagraph"/>
        <w:numPr>
          <w:ilvl w:val="0"/>
          <w:numId w:val="1"/>
        </w:numPr>
        <w:jc w:val="both"/>
        <w:rPr>
          <w:sz w:val="22"/>
          <w:szCs w:val="22"/>
        </w:rPr>
      </w:pPr>
      <w:r w:rsidRPr="00083196">
        <w:rPr>
          <w:sz w:val="22"/>
          <w:szCs w:val="22"/>
        </w:rPr>
        <w:t>Electronic data will be stored on a password protected computer</w:t>
      </w:r>
      <w:r w:rsidR="00C15785" w:rsidRPr="00083196">
        <w:rPr>
          <w:sz w:val="22"/>
          <w:szCs w:val="22"/>
        </w:rPr>
        <w:t>.</w:t>
      </w:r>
      <w:r w:rsidRPr="00083196">
        <w:rPr>
          <w:sz w:val="22"/>
          <w:szCs w:val="22"/>
        </w:rPr>
        <w:t xml:space="preserve"> </w:t>
      </w:r>
    </w:p>
    <w:p w:rsidR="009F6ACE" w:rsidRPr="00083196" w:rsidRDefault="009F6ACE" w:rsidP="00083196">
      <w:pPr>
        <w:pStyle w:val="ListParagraph"/>
        <w:numPr>
          <w:ilvl w:val="0"/>
          <w:numId w:val="1"/>
        </w:numPr>
        <w:jc w:val="both"/>
        <w:rPr>
          <w:sz w:val="22"/>
          <w:szCs w:val="22"/>
        </w:rPr>
      </w:pPr>
      <w:r w:rsidRPr="00083196">
        <w:rPr>
          <w:rFonts w:cs="Arial"/>
          <w:sz w:val="22"/>
          <w:szCs w:val="22"/>
        </w:rPr>
        <w:t xml:space="preserve">Collection and use of individually identifiable data with the individual’s consent. </w:t>
      </w:r>
      <w:r w:rsidRPr="00083196">
        <w:rPr>
          <w:sz w:val="22"/>
          <w:szCs w:val="22"/>
        </w:rPr>
        <w:t>Data will be individually identifiable to enable efficient recruitment and adequate follow-up.</w:t>
      </w: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9F6ACE" w:rsidRPr="00083196" w:rsidRDefault="009F6ACE" w:rsidP="00083196">
      <w:pPr>
        <w:jc w:val="both"/>
        <w:rPr>
          <w:b/>
          <w:sz w:val="22"/>
          <w:szCs w:val="22"/>
        </w:rPr>
      </w:pPr>
      <w:r w:rsidRPr="00083196">
        <w:rPr>
          <w:b/>
          <w:sz w:val="22"/>
          <w:szCs w:val="22"/>
        </w:rPr>
        <w:t>Resource implications</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 xml:space="preserve">Sample collection and storage will be undertaken with existing research staff and using existing research storage facilities. </w:t>
      </w:r>
      <w:r w:rsidR="00C15785" w:rsidRPr="00083196">
        <w:rPr>
          <w:sz w:val="22"/>
          <w:szCs w:val="22"/>
        </w:rPr>
        <w:t xml:space="preserve"> </w:t>
      </w:r>
      <w:r w:rsidRPr="00083196">
        <w:rPr>
          <w:sz w:val="22"/>
          <w:szCs w:val="22"/>
        </w:rPr>
        <w:t>Sample processing and analyses will be performed at SAHMRI under the supervision of our close collaborator A/Prof Geraint Rogers.</w:t>
      </w: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9F6ACE" w:rsidRPr="00083196" w:rsidRDefault="009F6ACE" w:rsidP="00083196">
      <w:pPr>
        <w:pStyle w:val="ListParagraph"/>
        <w:ind w:left="0"/>
        <w:jc w:val="both"/>
        <w:rPr>
          <w:b/>
          <w:sz w:val="22"/>
          <w:szCs w:val="22"/>
        </w:rPr>
      </w:pPr>
      <w:r w:rsidRPr="00083196">
        <w:rPr>
          <w:b/>
          <w:sz w:val="22"/>
          <w:szCs w:val="22"/>
        </w:rPr>
        <w:t>Financial obligations/ compensation of participants</w:t>
      </w:r>
    </w:p>
    <w:p w:rsidR="009F6ACE" w:rsidRPr="00083196" w:rsidRDefault="009F6ACE" w:rsidP="00083196">
      <w:pPr>
        <w:pStyle w:val="ListParagraph"/>
        <w:ind w:left="0"/>
        <w:jc w:val="both"/>
        <w:rPr>
          <w:b/>
          <w:sz w:val="22"/>
          <w:szCs w:val="22"/>
        </w:rPr>
      </w:pPr>
    </w:p>
    <w:p w:rsidR="009F6ACE" w:rsidRPr="00083196" w:rsidRDefault="009F6ACE" w:rsidP="00083196">
      <w:pPr>
        <w:spacing w:after="200"/>
        <w:jc w:val="both"/>
        <w:rPr>
          <w:sz w:val="22"/>
          <w:szCs w:val="22"/>
        </w:rPr>
      </w:pPr>
      <w:r w:rsidRPr="00083196">
        <w:rPr>
          <w:sz w:val="22"/>
          <w:szCs w:val="22"/>
        </w:rPr>
        <w:t>There will be no direct financial obligations to the subject for involvement in the current study. Patients will receive compensation for parking and offered compensation for public transport. There is no additional financial compensation or incentive for involvement in this clinical trial.</w:t>
      </w:r>
    </w:p>
    <w:p w:rsidR="009F6ACE" w:rsidRPr="00083196" w:rsidRDefault="009F6ACE" w:rsidP="00083196">
      <w:pPr>
        <w:pStyle w:val="ListParagraph"/>
        <w:ind w:left="0"/>
        <w:jc w:val="both"/>
        <w:rPr>
          <w:b/>
          <w:sz w:val="22"/>
          <w:szCs w:val="22"/>
        </w:rPr>
      </w:pPr>
    </w:p>
    <w:p w:rsidR="009F6ACE" w:rsidRPr="00083196" w:rsidRDefault="009F6ACE" w:rsidP="00083196">
      <w:pPr>
        <w:pStyle w:val="ListParagraph"/>
        <w:ind w:left="0"/>
        <w:jc w:val="both"/>
        <w:rPr>
          <w:b/>
          <w:sz w:val="22"/>
          <w:szCs w:val="22"/>
        </w:rPr>
      </w:pPr>
      <w:r w:rsidRPr="00083196">
        <w:rPr>
          <w:b/>
          <w:sz w:val="22"/>
          <w:szCs w:val="22"/>
        </w:rPr>
        <w:t>Potential risks</w:t>
      </w:r>
    </w:p>
    <w:p w:rsidR="009F6ACE" w:rsidRPr="00083196" w:rsidRDefault="009F6ACE" w:rsidP="00083196">
      <w:pPr>
        <w:jc w:val="both"/>
        <w:rPr>
          <w:sz w:val="22"/>
          <w:szCs w:val="22"/>
        </w:rPr>
      </w:pPr>
    </w:p>
    <w:p w:rsidR="009F6ACE" w:rsidRPr="00083196" w:rsidRDefault="009F6ACE" w:rsidP="00083196">
      <w:pPr>
        <w:jc w:val="both"/>
        <w:rPr>
          <w:sz w:val="22"/>
          <w:szCs w:val="22"/>
        </w:rPr>
      </w:pPr>
      <w:r w:rsidRPr="00083196">
        <w:rPr>
          <w:sz w:val="22"/>
          <w:szCs w:val="22"/>
        </w:rPr>
        <w:t xml:space="preserve">As there is no therapeutic or pharmacological intervention involved in this study, there is no quantifiable risk to the </w:t>
      </w:r>
      <w:proofErr w:type="gramStart"/>
      <w:r w:rsidRPr="00083196">
        <w:rPr>
          <w:sz w:val="22"/>
          <w:szCs w:val="22"/>
        </w:rPr>
        <w:t>subjects</w:t>
      </w:r>
      <w:proofErr w:type="gramEnd"/>
      <w:r w:rsidRPr="00083196">
        <w:rPr>
          <w:sz w:val="22"/>
          <w:szCs w:val="22"/>
        </w:rPr>
        <w:t xml:space="preserve"> physical safety.</w:t>
      </w:r>
    </w:p>
    <w:p w:rsidR="009F6ACE" w:rsidRPr="00083196" w:rsidRDefault="009F6ACE" w:rsidP="00083196">
      <w:pPr>
        <w:jc w:val="both"/>
        <w:rPr>
          <w:sz w:val="22"/>
          <w:szCs w:val="22"/>
        </w:rPr>
      </w:pPr>
      <w:r w:rsidRPr="00083196">
        <w:rPr>
          <w:sz w:val="22"/>
          <w:szCs w:val="22"/>
        </w:rPr>
        <w:t>The physical action of taking oropharyngeal swabs poses negligible risk to the subjects.</w:t>
      </w:r>
    </w:p>
    <w:p w:rsidR="009F6ACE" w:rsidRPr="00083196" w:rsidRDefault="009F6ACE" w:rsidP="00083196">
      <w:pPr>
        <w:autoSpaceDE w:val="0"/>
        <w:autoSpaceDN w:val="0"/>
        <w:adjustRightInd w:val="0"/>
        <w:jc w:val="both"/>
        <w:rPr>
          <w:bCs/>
          <w:color w:val="000000"/>
          <w:sz w:val="22"/>
          <w:szCs w:val="22"/>
        </w:rPr>
      </w:pPr>
    </w:p>
    <w:p w:rsidR="009F6ACE" w:rsidRPr="00083196" w:rsidRDefault="009F6ACE" w:rsidP="00083196">
      <w:pPr>
        <w:autoSpaceDE w:val="0"/>
        <w:autoSpaceDN w:val="0"/>
        <w:adjustRightInd w:val="0"/>
        <w:jc w:val="both"/>
        <w:rPr>
          <w:bCs/>
          <w:color w:val="000000"/>
          <w:sz w:val="22"/>
          <w:szCs w:val="22"/>
        </w:rPr>
      </w:pPr>
    </w:p>
    <w:p w:rsidR="009F6ACE" w:rsidRPr="00083196" w:rsidRDefault="009F6ACE" w:rsidP="00083196">
      <w:pPr>
        <w:pStyle w:val="ListParagraph"/>
        <w:ind w:left="0"/>
        <w:jc w:val="both"/>
        <w:rPr>
          <w:b/>
          <w:sz w:val="22"/>
          <w:szCs w:val="22"/>
        </w:rPr>
      </w:pPr>
      <w:r w:rsidRPr="00083196">
        <w:rPr>
          <w:b/>
          <w:sz w:val="22"/>
          <w:szCs w:val="22"/>
        </w:rPr>
        <w:t>Protection against risks</w:t>
      </w:r>
    </w:p>
    <w:p w:rsidR="009F6ACE" w:rsidRPr="00083196" w:rsidRDefault="009F6ACE" w:rsidP="00083196">
      <w:pPr>
        <w:pStyle w:val="ListParagraph"/>
        <w:ind w:left="0"/>
        <w:jc w:val="both"/>
        <w:rPr>
          <w:sz w:val="22"/>
          <w:szCs w:val="22"/>
        </w:rPr>
      </w:pPr>
    </w:p>
    <w:p w:rsidR="009F6ACE" w:rsidRPr="00083196" w:rsidRDefault="009F6ACE" w:rsidP="00083196">
      <w:pPr>
        <w:pStyle w:val="ListParagraph"/>
        <w:ind w:left="0"/>
        <w:jc w:val="both"/>
        <w:rPr>
          <w:sz w:val="22"/>
          <w:szCs w:val="22"/>
        </w:rPr>
      </w:pPr>
      <w:r w:rsidRPr="00083196">
        <w:rPr>
          <w:sz w:val="22"/>
          <w:szCs w:val="22"/>
        </w:rPr>
        <w:t xml:space="preserve">All procedures will be performed by an experienced clinical or research staff member. </w:t>
      </w:r>
    </w:p>
    <w:p w:rsidR="009F6ACE" w:rsidRPr="00083196" w:rsidRDefault="009F6ACE" w:rsidP="00083196">
      <w:pPr>
        <w:jc w:val="both"/>
        <w:rPr>
          <w:sz w:val="22"/>
          <w:szCs w:val="22"/>
          <w:lang w:val="en-AU"/>
        </w:rPr>
      </w:pPr>
      <w:r w:rsidRPr="00083196">
        <w:rPr>
          <w:sz w:val="22"/>
          <w:szCs w:val="22"/>
        </w:rPr>
        <w:t xml:space="preserve">Care will be taken to ensure that any potential for patients to pressure close contacts into participating is minimized. There is no significant incentive </w:t>
      </w:r>
      <w:r w:rsidRPr="00083196">
        <w:rPr>
          <w:sz w:val="22"/>
          <w:szCs w:val="22"/>
          <w:lang w:val="en-AU"/>
        </w:rPr>
        <w:t xml:space="preserve">for patients or their close contacts stand to benefit directly from participation in the study, either from data and sample collection, or in the form of rewards or incentives from the study. In addition there are no negative outcomes to the patient if they chose not to be involved or if their close </w:t>
      </w:r>
      <w:r w:rsidRPr="00083196">
        <w:rPr>
          <w:sz w:val="22"/>
          <w:szCs w:val="22"/>
          <w:lang w:val="en-AU"/>
        </w:rPr>
        <w:lastRenderedPageBreak/>
        <w:t xml:space="preserve">contacts are not recruited. This removes any incentive for the patient to pressure their contacts into participation.  Researches will discuss the study with patients and reiterate that participation is voluntary for themselves and their close contacts.  An introduction sheet (attached) will be provided to close contacts as an introduction to the role of the study itself with no pressure to participate. Close contacts will meet with researchers alone in a confidential setting without the patient present in order to discuss the study and ask questions, once they have expressed an interest to participate. Researchers will reiterate in discussions, as in all documentation, that all involvement is voluntary and that they may withdraw at any time. </w:t>
      </w:r>
    </w:p>
    <w:p w:rsidR="009F6ACE" w:rsidRPr="00083196" w:rsidRDefault="009F6ACE" w:rsidP="00083196">
      <w:pPr>
        <w:jc w:val="both"/>
        <w:rPr>
          <w:sz w:val="22"/>
          <w:szCs w:val="22"/>
          <w:lang w:val="en-AU"/>
        </w:rPr>
      </w:pPr>
    </w:p>
    <w:p w:rsidR="009F6ACE" w:rsidRPr="00083196" w:rsidRDefault="009F6ACE" w:rsidP="00083196">
      <w:pPr>
        <w:jc w:val="both"/>
        <w:rPr>
          <w:b/>
          <w:sz w:val="22"/>
          <w:szCs w:val="22"/>
          <w:lang w:val="en-AU"/>
        </w:rPr>
      </w:pPr>
    </w:p>
    <w:p w:rsidR="009F6ACE" w:rsidRPr="00083196" w:rsidRDefault="009F6ACE" w:rsidP="00083196">
      <w:pPr>
        <w:jc w:val="both"/>
        <w:rPr>
          <w:b/>
          <w:sz w:val="22"/>
          <w:szCs w:val="22"/>
          <w:lang w:val="en-AU"/>
        </w:rPr>
      </w:pPr>
      <w:r w:rsidRPr="00083196">
        <w:rPr>
          <w:b/>
          <w:sz w:val="22"/>
          <w:szCs w:val="22"/>
          <w:lang w:val="en-AU"/>
        </w:rPr>
        <w:t>Adverse Events</w:t>
      </w:r>
    </w:p>
    <w:p w:rsidR="009F6ACE" w:rsidRPr="00083196" w:rsidRDefault="009F6ACE" w:rsidP="00083196">
      <w:pPr>
        <w:pStyle w:val="ListParagraph"/>
        <w:ind w:left="0"/>
        <w:jc w:val="both"/>
        <w:rPr>
          <w:sz w:val="22"/>
          <w:szCs w:val="22"/>
        </w:rPr>
      </w:pPr>
    </w:p>
    <w:p w:rsidR="009F6ACE" w:rsidRPr="00083196" w:rsidRDefault="009F6ACE" w:rsidP="00083196">
      <w:pPr>
        <w:pStyle w:val="ListParagraph"/>
        <w:ind w:left="0"/>
        <w:jc w:val="both"/>
        <w:rPr>
          <w:sz w:val="22"/>
          <w:szCs w:val="22"/>
        </w:rPr>
      </w:pPr>
      <w:r w:rsidRPr="00083196">
        <w:rPr>
          <w:sz w:val="22"/>
          <w:szCs w:val="22"/>
        </w:rPr>
        <w:t>Adverse events will be documented as they occur in the participant file.</w:t>
      </w:r>
    </w:p>
    <w:p w:rsidR="009F6ACE" w:rsidRPr="00083196" w:rsidRDefault="009F6ACE" w:rsidP="00083196">
      <w:pPr>
        <w:jc w:val="both"/>
        <w:rPr>
          <w:sz w:val="22"/>
          <w:szCs w:val="22"/>
        </w:rPr>
      </w:pPr>
    </w:p>
    <w:p w:rsidR="009F6ACE" w:rsidRPr="00083196" w:rsidRDefault="009F6ACE" w:rsidP="00083196">
      <w:pPr>
        <w:pStyle w:val="ListParagraph"/>
        <w:ind w:left="0"/>
        <w:jc w:val="both"/>
        <w:rPr>
          <w:b/>
          <w:sz w:val="22"/>
          <w:szCs w:val="22"/>
        </w:rPr>
      </w:pPr>
    </w:p>
    <w:p w:rsidR="009F6ACE" w:rsidRPr="00083196" w:rsidRDefault="009F6ACE" w:rsidP="00083196">
      <w:pPr>
        <w:pStyle w:val="ListParagraph"/>
        <w:ind w:left="0"/>
        <w:jc w:val="both"/>
        <w:rPr>
          <w:b/>
          <w:sz w:val="22"/>
          <w:szCs w:val="22"/>
        </w:rPr>
      </w:pPr>
      <w:r w:rsidRPr="00083196">
        <w:rPr>
          <w:b/>
          <w:sz w:val="22"/>
          <w:szCs w:val="22"/>
        </w:rPr>
        <w:t>Confidentiality</w:t>
      </w:r>
    </w:p>
    <w:p w:rsidR="009F6ACE" w:rsidRPr="00083196" w:rsidRDefault="009F6ACE" w:rsidP="00083196">
      <w:pPr>
        <w:pStyle w:val="ListParagraph"/>
        <w:ind w:left="0"/>
        <w:jc w:val="both"/>
        <w:rPr>
          <w:b/>
          <w:sz w:val="22"/>
          <w:szCs w:val="22"/>
        </w:rPr>
      </w:pPr>
    </w:p>
    <w:p w:rsidR="009F6ACE" w:rsidRPr="00083196" w:rsidRDefault="009F6ACE" w:rsidP="00083196">
      <w:pPr>
        <w:spacing w:after="200"/>
        <w:jc w:val="both"/>
        <w:rPr>
          <w:sz w:val="22"/>
          <w:szCs w:val="22"/>
        </w:rPr>
      </w:pPr>
      <w:r w:rsidRPr="00083196">
        <w:rPr>
          <w:sz w:val="22"/>
          <w:szCs w:val="22"/>
        </w:rPr>
        <w:t xml:space="preserve">The research will involve collection of </w:t>
      </w:r>
      <w:proofErr w:type="gramStart"/>
      <w:r w:rsidRPr="00083196">
        <w:rPr>
          <w:sz w:val="22"/>
          <w:szCs w:val="22"/>
        </w:rPr>
        <w:t>data,</w:t>
      </w:r>
      <w:proofErr w:type="gramEnd"/>
      <w:r w:rsidRPr="00083196">
        <w:rPr>
          <w:sz w:val="22"/>
          <w:szCs w:val="22"/>
        </w:rPr>
        <w:t xml:space="preserve"> however participants will not be identifiable from the data recorded.</w:t>
      </w:r>
    </w:p>
    <w:p w:rsidR="009F6ACE" w:rsidRPr="00083196" w:rsidRDefault="009F6ACE" w:rsidP="00083196">
      <w:pPr>
        <w:spacing w:after="200"/>
        <w:jc w:val="both"/>
        <w:rPr>
          <w:sz w:val="22"/>
          <w:szCs w:val="22"/>
        </w:rPr>
      </w:pPr>
      <w:r w:rsidRPr="00083196">
        <w:rPr>
          <w:sz w:val="22"/>
          <w:szCs w:val="22"/>
        </w:rPr>
        <w:t>Data will be held only by the investigators undertaking the trial, and participants will be assigned an identification code that will not be decipherable by other persons. Future publications arising from this work will not identify individual participants</w:t>
      </w:r>
      <w:r w:rsidR="00C15785" w:rsidRPr="00083196">
        <w:rPr>
          <w:sz w:val="22"/>
          <w:szCs w:val="22"/>
        </w:rPr>
        <w:t>.</w:t>
      </w:r>
      <w:r w:rsidRPr="00083196">
        <w:rPr>
          <w:sz w:val="22"/>
          <w:szCs w:val="22"/>
        </w:rPr>
        <w:t xml:space="preserve"> Data with participant identifiers will not be released. </w:t>
      </w:r>
    </w:p>
    <w:p w:rsidR="009F6ACE" w:rsidRPr="00083196" w:rsidRDefault="009F6ACE" w:rsidP="00083196">
      <w:pPr>
        <w:jc w:val="both"/>
        <w:rPr>
          <w:sz w:val="22"/>
          <w:szCs w:val="22"/>
        </w:rPr>
      </w:pPr>
    </w:p>
    <w:p w:rsidR="009F6ACE" w:rsidRPr="00083196" w:rsidRDefault="009F6ACE" w:rsidP="00083196">
      <w:pPr>
        <w:pStyle w:val="ListParagraph"/>
        <w:ind w:left="0"/>
        <w:jc w:val="both"/>
        <w:rPr>
          <w:b/>
          <w:sz w:val="22"/>
          <w:szCs w:val="22"/>
        </w:rPr>
      </w:pPr>
      <w:r w:rsidRPr="00083196">
        <w:rPr>
          <w:b/>
          <w:sz w:val="22"/>
          <w:szCs w:val="22"/>
        </w:rPr>
        <w:t>Informed consent</w:t>
      </w:r>
    </w:p>
    <w:p w:rsidR="009F6ACE" w:rsidRPr="00083196" w:rsidRDefault="009F6ACE" w:rsidP="00083196">
      <w:pPr>
        <w:pStyle w:val="ListParagraph"/>
        <w:ind w:left="0"/>
        <w:jc w:val="both"/>
        <w:rPr>
          <w:b/>
          <w:sz w:val="22"/>
          <w:szCs w:val="22"/>
        </w:rPr>
      </w:pPr>
    </w:p>
    <w:p w:rsidR="009F6ACE" w:rsidRPr="00083196" w:rsidRDefault="009F6ACE" w:rsidP="00083196">
      <w:pPr>
        <w:jc w:val="both"/>
        <w:rPr>
          <w:sz w:val="22"/>
          <w:szCs w:val="22"/>
        </w:rPr>
      </w:pPr>
      <w:r w:rsidRPr="00083196">
        <w:rPr>
          <w:sz w:val="22"/>
          <w:szCs w:val="22"/>
        </w:rPr>
        <w:t xml:space="preserve">Participants in this study will be provided with written material detailing the trial, its conduct and potential risks and benefits of the study. This information will be personally provided by the study investigator, who will also explain the details regarding this, answer any questions, and obtain informed consent. Participants will not have any time-limit placed upon them regarding their decision to participate in the trial. </w:t>
      </w:r>
    </w:p>
    <w:p w:rsidR="005B5B60" w:rsidRDefault="005B5B60" w:rsidP="00083196">
      <w:pPr>
        <w:jc w:val="both"/>
        <w:rPr>
          <w:sz w:val="22"/>
          <w:szCs w:val="22"/>
        </w:rPr>
      </w:pPr>
    </w:p>
    <w:p w:rsidR="009F6ACE" w:rsidRPr="00083196" w:rsidRDefault="009F6ACE" w:rsidP="00083196">
      <w:pPr>
        <w:jc w:val="both"/>
        <w:rPr>
          <w:sz w:val="22"/>
          <w:szCs w:val="22"/>
        </w:rPr>
      </w:pPr>
      <w:r w:rsidRPr="00083196">
        <w:rPr>
          <w:sz w:val="22"/>
          <w:szCs w:val="22"/>
        </w:rPr>
        <w:t>Participants who may potentially be involved in the study will be approached either by telephone or during the course of their usual clinical review. Those interested will be given an information sheet providing the details of the trial, to read at their leisure, to enable them to make any decision in their own time.</w:t>
      </w:r>
    </w:p>
    <w:p w:rsidR="005B5B60" w:rsidRDefault="005B5B60" w:rsidP="00083196">
      <w:pPr>
        <w:jc w:val="both"/>
        <w:rPr>
          <w:sz w:val="22"/>
          <w:szCs w:val="22"/>
        </w:rPr>
      </w:pPr>
    </w:p>
    <w:p w:rsidR="009F6ACE" w:rsidRPr="00083196" w:rsidRDefault="009F6ACE" w:rsidP="00083196">
      <w:pPr>
        <w:jc w:val="both"/>
        <w:rPr>
          <w:sz w:val="22"/>
          <w:szCs w:val="22"/>
        </w:rPr>
      </w:pPr>
      <w:r w:rsidRPr="00083196">
        <w:rPr>
          <w:sz w:val="22"/>
          <w:szCs w:val="22"/>
        </w:rPr>
        <w:t>The potential participant will be encouraged to clarify any queries they may have with the principal investigator. Discussions with potential subjects will enable determination of subjects who may not fully comprehend the study.</w:t>
      </w:r>
    </w:p>
    <w:p w:rsidR="009F6ACE" w:rsidRPr="00083196" w:rsidRDefault="009F6ACE" w:rsidP="00083196">
      <w:pPr>
        <w:jc w:val="both"/>
        <w:rPr>
          <w:sz w:val="22"/>
          <w:szCs w:val="22"/>
        </w:rPr>
      </w:pPr>
      <w:r w:rsidRPr="00083196">
        <w:rPr>
          <w:sz w:val="22"/>
          <w:szCs w:val="22"/>
        </w:rPr>
        <w:t>The subjects will be mentally and physically competent to give informed consent or the study.</w:t>
      </w:r>
    </w:p>
    <w:p w:rsidR="009F6ACE" w:rsidRPr="00083196" w:rsidRDefault="009F6ACE" w:rsidP="00083196">
      <w:pPr>
        <w:jc w:val="both"/>
        <w:rPr>
          <w:sz w:val="22"/>
          <w:szCs w:val="22"/>
        </w:rPr>
      </w:pPr>
    </w:p>
    <w:p w:rsidR="009F6ACE" w:rsidRPr="00083196" w:rsidRDefault="009F6ACE" w:rsidP="00083196">
      <w:pPr>
        <w:pStyle w:val="ListParagraph"/>
        <w:ind w:left="0"/>
        <w:jc w:val="both"/>
        <w:rPr>
          <w:b/>
          <w:sz w:val="22"/>
          <w:szCs w:val="22"/>
        </w:rPr>
      </w:pPr>
    </w:p>
    <w:p w:rsidR="009F6ACE" w:rsidRPr="00083196" w:rsidRDefault="009F6ACE" w:rsidP="00083196">
      <w:pPr>
        <w:pStyle w:val="ListParagraph"/>
        <w:ind w:left="0"/>
        <w:jc w:val="both"/>
        <w:rPr>
          <w:b/>
          <w:sz w:val="22"/>
          <w:szCs w:val="22"/>
        </w:rPr>
      </w:pPr>
      <w:r w:rsidRPr="00083196">
        <w:rPr>
          <w:b/>
          <w:sz w:val="22"/>
          <w:szCs w:val="22"/>
        </w:rPr>
        <w:t>Other ethical implications</w:t>
      </w:r>
    </w:p>
    <w:p w:rsidR="009F6ACE" w:rsidRPr="00083196" w:rsidRDefault="009F6ACE" w:rsidP="00083196">
      <w:pPr>
        <w:pStyle w:val="ListParagraph"/>
        <w:ind w:left="0"/>
        <w:jc w:val="both"/>
        <w:rPr>
          <w:sz w:val="22"/>
          <w:szCs w:val="22"/>
        </w:rPr>
      </w:pPr>
    </w:p>
    <w:p w:rsidR="009F6ACE" w:rsidRPr="00083196" w:rsidRDefault="009F6ACE" w:rsidP="00083196">
      <w:pPr>
        <w:jc w:val="both"/>
        <w:rPr>
          <w:sz w:val="22"/>
          <w:szCs w:val="22"/>
        </w:rPr>
      </w:pPr>
      <w:r w:rsidRPr="00083196">
        <w:rPr>
          <w:sz w:val="22"/>
          <w:szCs w:val="22"/>
        </w:rPr>
        <w:t>I am not aware of any other ethical issues pertaining to this study.</w:t>
      </w: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5B5B60" w:rsidRDefault="005B5B60" w:rsidP="00083196">
      <w:pPr>
        <w:jc w:val="both"/>
        <w:rPr>
          <w:b/>
          <w:sz w:val="22"/>
          <w:szCs w:val="22"/>
        </w:rPr>
      </w:pPr>
    </w:p>
    <w:p w:rsidR="005B5B60" w:rsidRDefault="005B5B60" w:rsidP="00083196">
      <w:pPr>
        <w:jc w:val="both"/>
        <w:rPr>
          <w:b/>
          <w:sz w:val="22"/>
          <w:szCs w:val="22"/>
        </w:rPr>
      </w:pPr>
    </w:p>
    <w:p w:rsidR="009F6ACE" w:rsidRPr="00083196" w:rsidRDefault="009F6ACE" w:rsidP="00083196">
      <w:pPr>
        <w:jc w:val="both"/>
        <w:rPr>
          <w:b/>
          <w:sz w:val="22"/>
          <w:szCs w:val="22"/>
        </w:rPr>
      </w:pPr>
      <w:r w:rsidRPr="00083196">
        <w:rPr>
          <w:b/>
          <w:sz w:val="22"/>
          <w:szCs w:val="22"/>
        </w:rPr>
        <w:t xml:space="preserve">Potential benefits of the study </w:t>
      </w:r>
    </w:p>
    <w:p w:rsidR="005B5B60" w:rsidRDefault="005B5B60" w:rsidP="00083196">
      <w:pPr>
        <w:jc w:val="both"/>
        <w:rPr>
          <w:sz w:val="22"/>
          <w:szCs w:val="22"/>
        </w:rPr>
      </w:pPr>
    </w:p>
    <w:p w:rsidR="009F6ACE" w:rsidRPr="00083196" w:rsidRDefault="009F6ACE" w:rsidP="00083196">
      <w:pPr>
        <w:jc w:val="both"/>
        <w:rPr>
          <w:sz w:val="22"/>
          <w:szCs w:val="22"/>
        </w:rPr>
      </w:pPr>
      <w:r w:rsidRPr="00083196">
        <w:rPr>
          <w:sz w:val="22"/>
          <w:szCs w:val="22"/>
        </w:rPr>
        <w:t>This study has the potential to demonstrate a relationship between the development of macrolide resistance in individuals treated with maintenance erythromycin</w:t>
      </w:r>
      <w:r w:rsidR="00C15785" w:rsidRPr="00083196">
        <w:rPr>
          <w:sz w:val="22"/>
          <w:szCs w:val="22"/>
        </w:rPr>
        <w:t xml:space="preserve"> or azithromycin</w:t>
      </w:r>
      <w:r w:rsidRPr="00083196">
        <w:rPr>
          <w:sz w:val="22"/>
          <w:szCs w:val="22"/>
        </w:rPr>
        <w:t xml:space="preserve"> and their close contacts. Such a finding would provide substantiation for the spread of close community resistance from the use of </w:t>
      </w:r>
      <w:r w:rsidR="00C15785" w:rsidRPr="00083196">
        <w:rPr>
          <w:sz w:val="22"/>
          <w:szCs w:val="22"/>
        </w:rPr>
        <w:t xml:space="preserve">macrolide </w:t>
      </w:r>
      <w:r w:rsidRPr="00083196">
        <w:rPr>
          <w:sz w:val="22"/>
          <w:szCs w:val="22"/>
        </w:rPr>
        <w:t xml:space="preserve">in individuals on maintenance therapy. </w:t>
      </w:r>
    </w:p>
    <w:p w:rsidR="009F6ACE" w:rsidRPr="00083196" w:rsidRDefault="009F6ACE" w:rsidP="00083196">
      <w:pPr>
        <w:jc w:val="both"/>
        <w:rPr>
          <w:sz w:val="22"/>
          <w:szCs w:val="22"/>
        </w:rPr>
      </w:pPr>
      <w:r w:rsidRPr="00083196">
        <w:rPr>
          <w:sz w:val="22"/>
          <w:szCs w:val="22"/>
        </w:rPr>
        <w:t xml:space="preserve">This finding has significant implications for the way that macrolides are used in medical practice in the future and would provide direct evidence for the mechanism of community resistance arising in subjects not directly antibiotic exposed. </w:t>
      </w:r>
    </w:p>
    <w:p w:rsidR="009F6ACE" w:rsidRPr="00083196" w:rsidRDefault="009F6ACE" w:rsidP="00083196">
      <w:pPr>
        <w:jc w:val="both"/>
        <w:rPr>
          <w:sz w:val="22"/>
          <w:szCs w:val="22"/>
        </w:rPr>
      </w:pPr>
    </w:p>
    <w:p w:rsidR="005B5B60" w:rsidRDefault="009F6ACE" w:rsidP="00083196">
      <w:pPr>
        <w:pStyle w:val="ListParagraph"/>
        <w:ind w:left="0"/>
        <w:jc w:val="both"/>
        <w:rPr>
          <w:b/>
          <w:sz w:val="22"/>
          <w:szCs w:val="22"/>
        </w:rPr>
      </w:pPr>
      <w:r w:rsidRPr="00083196">
        <w:rPr>
          <w:b/>
          <w:sz w:val="22"/>
          <w:szCs w:val="22"/>
        </w:rPr>
        <w:t>Therapeutic alternatives</w:t>
      </w:r>
    </w:p>
    <w:p w:rsidR="005B5B60" w:rsidRDefault="005B5B60" w:rsidP="00083196">
      <w:pPr>
        <w:pStyle w:val="ListParagraph"/>
        <w:ind w:left="0"/>
        <w:jc w:val="both"/>
        <w:rPr>
          <w:b/>
          <w:sz w:val="22"/>
          <w:szCs w:val="22"/>
        </w:rPr>
      </w:pPr>
    </w:p>
    <w:p w:rsidR="009F6ACE" w:rsidRPr="00083196" w:rsidRDefault="009F6ACE" w:rsidP="00083196">
      <w:pPr>
        <w:pStyle w:val="ListParagraph"/>
        <w:ind w:left="0"/>
        <w:jc w:val="both"/>
        <w:rPr>
          <w:sz w:val="22"/>
          <w:szCs w:val="22"/>
        </w:rPr>
      </w:pPr>
      <w:r w:rsidRPr="00083196">
        <w:rPr>
          <w:b/>
          <w:sz w:val="22"/>
          <w:szCs w:val="22"/>
        </w:rPr>
        <w:t>Therapeutic alternatives</w:t>
      </w:r>
    </w:p>
    <w:p w:rsidR="009F6ACE" w:rsidRPr="00083196" w:rsidRDefault="009F6ACE" w:rsidP="00083196">
      <w:pPr>
        <w:pStyle w:val="ListParagraph"/>
        <w:ind w:left="0"/>
        <w:jc w:val="both"/>
        <w:rPr>
          <w:sz w:val="22"/>
          <w:szCs w:val="22"/>
        </w:rPr>
      </w:pPr>
      <w:r w:rsidRPr="00083196">
        <w:rPr>
          <w:sz w:val="22"/>
          <w:szCs w:val="22"/>
        </w:rPr>
        <w:t>N/A – this is not an interventional/ therapeutic study.</w:t>
      </w:r>
    </w:p>
    <w:p w:rsidR="005B5B60" w:rsidRDefault="005B5B60" w:rsidP="00083196">
      <w:pPr>
        <w:pStyle w:val="ListParagraph"/>
        <w:ind w:left="0"/>
        <w:jc w:val="both"/>
        <w:rPr>
          <w:b/>
          <w:sz w:val="22"/>
          <w:szCs w:val="22"/>
        </w:rPr>
      </w:pPr>
    </w:p>
    <w:p w:rsidR="009F6ACE" w:rsidRPr="00083196" w:rsidRDefault="009F6ACE" w:rsidP="00083196">
      <w:pPr>
        <w:pStyle w:val="ListParagraph"/>
        <w:ind w:left="0"/>
        <w:jc w:val="both"/>
        <w:rPr>
          <w:sz w:val="22"/>
          <w:szCs w:val="22"/>
        </w:rPr>
      </w:pPr>
      <w:r w:rsidRPr="00083196">
        <w:rPr>
          <w:b/>
          <w:sz w:val="22"/>
          <w:szCs w:val="22"/>
        </w:rPr>
        <w:t>Risk/ benefit relationship</w:t>
      </w:r>
    </w:p>
    <w:p w:rsidR="009F6ACE" w:rsidRPr="00083196" w:rsidRDefault="009F6ACE" w:rsidP="00083196">
      <w:pPr>
        <w:pStyle w:val="ListParagraph"/>
        <w:ind w:left="0"/>
        <w:jc w:val="both"/>
        <w:rPr>
          <w:sz w:val="22"/>
          <w:szCs w:val="22"/>
        </w:rPr>
      </w:pPr>
      <w:r w:rsidRPr="00083196">
        <w:rPr>
          <w:sz w:val="22"/>
          <w:szCs w:val="22"/>
        </w:rPr>
        <w:t>The risks related to this trial are anticipated to be minimal, and therefore it is expected that the benefits related to salient academic evidence regarding the use of macrolides in non-CF bronchiectasis and chronic respiratory disease are greater. The current research will help inform an appropriate management strategy with regards to the use of erythromycin in bronchiectasis and chronic respiratory disease, as well as generating data that will allow a more comprehensive understanding of the risk/ benefit relationship of their use in bronchiectasis and chronic respiratory disease subjects.</w:t>
      </w:r>
    </w:p>
    <w:p w:rsidR="009F6ACE" w:rsidRPr="00083196" w:rsidRDefault="009F6ACE" w:rsidP="00083196">
      <w:pPr>
        <w:jc w:val="both"/>
        <w:rPr>
          <w:sz w:val="22"/>
          <w:szCs w:val="22"/>
        </w:rPr>
      </w:pPr>
    </w:p>
    <w:p w:rsidR="009F6ACE" w:rsidRPr="00083196" w:rsidRDefault="009F6ACE" w:rsidP="00083196">
      <w:pPr>
        <w:jc w:val="both"/>
        <w:rPr>
          <w:b/>
          <w:sz w:val="22"/>
          <w:szCs w:val="22"/>
        </w:rPr>
      </w:pPr>
    </w:p>
    <w:p w:rsidR="009F6ACE" w:rsidRPr="00083196" w:rsidRDefault="009F6ACE" w:rsidP="00083196">
      <w:pPr>
        <w:jc w:val="both"/>
        <w:rPr>
          <w:b/>
          <w:sz w:val="22"/>
          <w:szCs w:val="22"/>
        </w:rPr>
      </w:pPr>
      <w:r w:rsidRPr="00083196">
        <w:rPr>
          <w:b/>
          <w:sz w:val="22"/>
          <w:szCs w:val="22"/>
        </w:rPr>
        <w:t>References</w:t>
      </w:r>
    </w:p>
    <w:p w:rsidR="009F6ACE" w:rsidRPr="00083196" w:rsidRDefault="009F6ACE" w:rsidP="00083196">
      <w:pPr>
        <w:jc w:val="both"/>
        <w:rPr>
          <w:sz w:val="22"/>
          <w:szCs w:val="22"/>
        </w:rPr>
      </w:pPr>
    </w:p>
    <w:p w:rsidR="009F6ACE" w:rsidRPr="00083196" w:rsidRDefault="009F6ACE" w:rsidP="00083196">
      <w:pPr>
        <w:pStyle w:val="ListParagraph"/>
        <w:numPr>
          <w:ilvl w:val="0"/>
          <w:numId w:val="3"/>
        </w:numPr>
        <w:jc w:val="both"/>
        <w:rPr>
          <w:rFonts w:cs="Calibri Bold Italic"/>
          <w:sz w:val="22"/>
          <w:szCs w:val="22"/>
        </w:rPr>
      </w:pPr>
      <w:r w:rsidRPr="00083196">
        <w:rPr>
          <w:rFonts w:cs="Calibri Bold Italic"/>
          <w:sz w:val="22"/>
          <w:szCs w:val="22"/>
        </w:rPr>
        <w:t>Australian institute of health and welfare. Bronchiectasis. 2013</w:t>
      </w:r>
    </w:p>
    <w:p w:rsidR="009F6ACE" w:rsidRPr="00083196" w:rsidRDefault="009F6ACE" w:rsidP="00083196">
      <w:pPr>
        <w:pStyle w:val="ListParagraph"/>
        <w:numPr>
          <w:ilvl w:val="0"/>
          <w:numId w:val="3"/>
        </w:numPr>
        <w:jc w:val="both"/>
        <w:rPr>
          <w:rFonts w:cs="Calibri Bold Italic"/>
          <w:sz w:val="22"/>
          <w:szCs w:val="22"/>
        </w:rPr>
      </w:pPr>
      <w:r w:rsidRPr="00083196">
        <w:rPr>
          <w:rFonts w:cs="Calibri Bold Italic"/>
          <w:sz w:val="22"/>
          <w:szCs w:val="22"/>
        </w:rPr>
        <w:t xml:space="preserve">Hubbard R, Roberts J. Trends in bronchiectasis mortality in England and Wales, </w:t>
      </w:r>
      <w:proofErr w:type="spellStart"/>
      <w:r w:rsidRPr="00083196">
        <w:rPr>
          <w:rFonts w:cs="Calibri Bold Italic"/>
          <w:sz w:val="22"/>
          <w:szCs w:val="22"/>
        </w:rPr>
        <w:t>ResMedJournal</w:t>
      </w:r>
      <w:proofErr w:type="spellEnd"/>
      <w:r w:rsidRPr="00083196">
        <w:rPr>
          <w:rFonts w:cs="Calibri Bold Italic"/>
          <w:sz w:val="22"/>
          <w:szCs w:val="22"/>
        </w:rPr>
        <w:t>, 2010.</w:t>
      </w:r>
    </w:p>
    <w:p w:rsidR="009F6ACE" w:rsidRPr="00083196" w:rsidRDefault="009F6ACE" w:rsidP="00083196">
      <w:pPr>
        <w:pStyle w:val="ListParagraph"/>
        <w:numPr>
          <w:ilvl w:val="0"/>
          <w:numId w:val="3"/>
        </w:numPr>
        <w:jc w:val="both"/>
        <w:rPr>
          <w:rFonts w:cs="Calibri Bold Italic"/>
          <w:sz w:val="22"/>
          <w:szCs w:val="22"/>
        </w:rPr>
      </w:pPr>
      <w:proofErr w:type="spellStart"/>
      <w:r w:rsidRPr="00083196">
        <w:rPr>
          <w:rFonts w:cs="Calibri Bold Italic"/>
          <w:sz w:val="22"/>
          <w:szCs w:val="22"/>
        </w:rPr>
        <w:t>Grimwood</w:t>
      </w:r>
      <w:proofErr w:type="spellEnd"/>
      <w:r w:rsidRPr="00083196">
        <w:rPr>
          <w:rFonts w:cs="Calibri Bold Italic"/>
          <w:sz w:val="22"/>
          <w:szCs w:val="22"/>
        </w:rPr>
        <w:t xml:space="preserve"> et al. Antimicrobial treatment on non-cystic fibrosis bronchiectasis. Expert Review of Anti-infective Therapy, 2010.</w:t>
      </w:r>
    </w:p>
    <w:p w:rsidR="009F6ACE" w:rsidRPr="00083196" w:rsidRDefault="009F6ACE" w:rsidP="00083196">
      <w:pPr>
        <w:pStyle w:val="ListParagraph"/>
        <w:numPr>
          <w:ilvl w:val="0"/>
          <w:numId w:val="3"/>
        </w:numPr>
        <w:jc w:val="both"/>
        <w:rPr>
          <w:rFonts w:cs="Calibri Bold Italic"/>
          <w:sz w:val="22"/>
          <w:szCs w:val="22"/>
        </w:rPr>
      </w:pPr>
      <w:r w:rsidRPr="00083196">
        <w:rPr>
          <w:rFonts w:cs="Times"/>
          <w:sz w:val="22"/>
          <w:szCs w:val="22"/>
        </w:rPr>
        <w:t xml:space="preserve">Serisier DJ et al. Effect of long-term, low-dose erythromycin on pulmonary exacerbations among patients with non-cystic fibrosis bronchiectasis. The BLESS randomized controlled trial. </w:t>
      </w:r>
      <w:r w:rsidRPr="00083196">
        <w:rPr>
          <w:rFonts w:cs="Times"/>
          <w:iCs/>
          <w:sz w:val="22"/>
          <w:szCs w:val="22"/>
        </w:rPr>
        <w:t xml:space="preserve">JAMA </w:t>
      </w:r>
      <w:r w:rsidRPr="00083196">
        <w:rPr>
          <w:rFonts w:cs="Times"/>
          <w:sz w:val="22"/>
          <w:szCs w:val="22"/>
        </w:rPr>
        <w:t>2013</w:t>
      </w:r>
    </w:p>
    <w:p w:rsidR="009F6ACE" w:rsidRPr="00083196" w:rsidRDefault="009F6ACE" w:rsidP="00083196">
      <w:pPr>
        <w:pStyle w:val="ListParagraph"/>
        <w:numPr>
          <w:ilvl w:val="0"/>
          <w:numId w:val="3"/>
        </w:numPr>
        <w:jc w:val="both"/>
        <w:rPr>
          <w:rFonts w:cs="Calibri Bold Italic"/>
          <w:sz w:val="22"/>
          <w:szCs w:val="22"/>
        </w:rPr>
      </w:pPr>
      <w:r w:rsidRPr="00083196">
        <w:rPr>
          <w:rFonts w:cs="Times"/>
          <w:sz w:val="22"/>
          <w:szCs w:val="22"/>
        </w:rPr>
        <w:t xml:space="preserve">Wong C </w:t>
      </w:r>
      <w:r w:rsidRPr="00083196">
        <w:rPr>
          <w:rFonts w:cs="Times"/>
          <w:iCs/>
          <w:sz w:val="22"/>
          <w:szCs w:val="22"/>
        </w:rPr>
        <w:t xml:space="preserve">et al. </w:t>
      </w:r>
      <w:r w:rsidRPr="00083196">
        <w:rPr>
          <w:rFonts w:cs="Times"/>
          <w:sz w:val="22"/>
          <w:szCs w:val="22"/>
        </w:rPr>
        <w:t xml:space="preserve">Azithromycin for prevention of exacerbations in non-cystic fibrosis bronchiectasis (EMBRACE): a </w:t>
      </w:r>
      <w:proofErr w:type="spellStart"/>
      <w:r w:rsidRPr="00083196">
        <w:rPr>
          <w:rFonts w:cs="Times"/>
          <w:sz w:val="22"/>
          <w:szCs w:val="22"/>
        </w:rPr>
        <w:t>randomised</w:t>
      </w:r>
      <w:proofErr w:type="spellEnd"/>
      <w:r w:rsidRPr="00083196">
        <w:rPr>
          <w:rFonts w:cs="Times"/>
          <w:sz w:val="22"/>
          <w:szCs w:val="22"/>
        </w:rPr>
        <w:t xml:space="preserve">, double-blind, placebo-controlled trial. </w:t>
      </w:r>
      <w:r w:rsidRPr="00083196">
        <w:rPr>
          <w:rFonts w:cs="Times"/>
          <w:iCs/>
          <w:sz w:val="22"/>
          <w:szCs w:val="22"/>
        </w:rPr>
        <w:t xml:space="preserve">Lancet </w:t>
      </w:r>
      <w:r w:rsidRPr="00083196">
        <w:rPr>
          <w:rFonts w:cs="Times"/>
          <w:sz w:val="22"/>
          <w:szCs w:val="22"/>
        </w:rPr>
        <w:t>2012</w:t>
      </w:r>
    </w:p>
    <w:p w:rsidR="009F6ACE" w:rsidRPr="00083196" w:rsidRDefault="009F6ACE" w:rsidP="00083196">
      <w:pPr>
        <w:pStyle w:val="ListParagraph"/>
        <w:widowControl w:val="0"/>
        <w:numPr>
          <w:ilvl w:val="0"/>
          <w:numId w:val="3"/>
        </w:numPr>
        <w:autoSpaceDE w:val="0"/>
        <w:autoSpaceDN w:val="0"/>
        <w:adjustRightInd w:val="0"/>
        <w:spacing w:after="240"/>
        <w:jc w:val="both"/>
        <w:rPr>
          <w:rFonts w:cs="Times"/>
          <w:sz w:val="22"/>
          <w:szCs w:val="22"/>
        </w:rPr>
      </w:pPr>
      <w:r w:rsidRPr="00083196">
        <w:rPr>
          <w:rFonts w:cs="Times"/>
          <w:sz w:val="22"/>
          <w:szCs w:val="22"/>
        </w:rPr>
        <w:t xml:space="preserve">Wu Q et al. Long-term macrolides for non-cystic fibrosis bronchiectasis: A systematic review and meta-analysis. </w:t>
      </w:r>
      <w:r w:rsidRPr="00083196">
        <w:rPr>
          <w:rFonts w:cs="Times"/>
          <w:iCs/>
          <w:sz w:val="22"/>
          <w:szCs w:val="22"/>
        </w:rPr>
        <w:t xml:space="preserve">Respirology </w:t>
      </w:r>
      <w:r w:rsidRPr="00083196">
        <w:rPr>
          <w:rFonts w:cs="Times"/>
          <w:sz w:val="22"/>
          <w:szCs w:val="22"/>
        </w:rPr>
        <w:t>2014</w:t>
      </w:r>
    </w:p>
    <w:p w:rsidR="009F6ACE" w:rsidRPr="00083196" w:rsidRDefault="009F6ACE" w:rsidP="00083196">
      <w:pPr>
        <w:pStyle w:val="ListParagraph"/>
        <w:widowControl w:val="0"/>
        <w:numPr>
          <w:ilvl w:val="0"/>
          <w:numId w:val="3"/>
        </w:numPr>
        <w:autoSpaceDE w:val="0"/>
        <w:autoSpaceDN w:val="0"/>
        <w:adjustRightInd w:val="0"/>
        <w:spacing w:after="240"/>
        <w:jc w:val="both"/>
        <w:rPr>
          <w:rFonts w:cs="Times"/>
          <w:sz w:val="22"/>
          <w:szCs w:val="22"/>
        </w:rPr>
      </w:pPr>
      <w:r w:rsidRPr="00083196">
        <w:rPr>
          <w:rFonts w:cs="Times"/>
          <w:sz w:val="22"/>
          <w:szCs w:val="22"/>
        </w:rPr>
        <w:t xml:space="preserve">Serisier D. </w:t>
      </w:r>
      <w:r w:rsidRPr="00083196">
        <w:rPr>
          <w:rFonts w:cs="Times"/>
          <w:bCs/>
          <w:sz w:val="22"/>
          <w:szCs w:val="22"/>
        </w:rPr>
        <w:t>Risks of population antimicrobial resistance associated with chronic macrolide use for inflammatory airway diseases. Lancet Respir Med 2013.</w:t>
      </w:r>
    </w:p>
    <w:p w:rsidR="009F6ACE" w:rsidRPr="00083196" w:rsidRDefault="009F6ACE" w:rsidP="00083196">
      <w:pPr>
        <w:pStyle w:val="ListParagraph"/>
        <w:widowControl w:val="0"/>
        <w:numPr>
          <w:ilvl w:val="0"/>
          <w:numId w:val="3"/>
        </w:numPr>
        <w:autoSpaceDE w:val="0"/>
        <w:autoSpaceDN w:val="0"/>
        <w:adjustRightInd w:val="0"/>
        <w:spacing w:after="240"/>
        <w:jc w:val="both"/>
        <w:rPr>
          <w:rFonts w:cs="Times"/>
          <w:sz w:val="22"/>
          <w:szCs w:val="22"/>
        </w:rPr>
      </w:pPr>
      <w:r w:rsidRPr="00083196">
        <w:rPr>
          <w:rFonts w:cs="Times"/>
          <w:sz w:val="22"/>
          <w:szCs w:val="22"/>
        </w:rPr>
        <w:t>Halpern MT et al. Meta-analysis of bacterial resistance to macrolides. Journal of Antimicrobial Chemotherapy, 2005.</w:t>
      </w:r>
    </w:p>
    <w:p w:rsidR="009F6ACE" w:rsidRPr="00083196" w:rsidRDefault="009F6ACE" w:rsidP="00083196">
      <w:pPr>
        <w:pStyle w:val="ListParagraph"/>
        <w:widowControl w:val="0"/>
        <w:numPr>
          <w:ilvl w:val="0"/>
          <w:numId w:val="3"/>
        </w:numPr>
        <w:autoSpaceDE w:val="0"/>
        <w:autoSpaceDN w:val="0"/>
        <w:adjustRightInd w:val="0"/>
        <w:spacing w:after="240"/>
        <w:jc w:val="both"/>
        <w:rPr>
          <w:rFonts w:cs="Times"/>
          <w:sz w:val="22"/>
          <w:szCs w:val="22"/>
        </w:rPr>
      </w:pPr>
      <w:r w:rsidRPr="00083196">
        <w:rPr>
          <w:rFonts w:cs="Times"/>
          <w:sz w:val="22"/>
          <w:szCs w:val="22"/>
        </w:rPr>
        <w:t xml:space="preserve">Lynch et al. Streptococcus pneumonia. Does Antimicrobial resistance matter? </w:t>
      </w:r>
      <w:proofErr w:type="spellStart"/>
      <w:r w:rsidRPr="00083196">
        <w:rPr>
          <w:rFonts w:cs="Times"/>
          <w:sz w:val="22"/>
          <w:szCs w:val="22"/>
        </w:rPr>
        <w:t>Semin</w:t>
      </w:r>
      <w:proofErr w:type="spellEnd"/>
      <w:r w:rsidRPr="00083196">
        <w:rPr>
          <w:rFonts w:cs="Times"/>
          <w:sz w:val="22"/>
          <w:szCs w:val="22"/>
        </w:rPr>
        <w:t xml:space="preserve"> Respir </w:t>
      </w:r>
      <w:proofErr w:type="spellStart"/>
      <w:r w:rsidRPr="00083196">
        <w:rPr>
          <w:rFonts w:cs="Times"/>
          <w:sz w:val="22"/>
          <w:szCs w:val="22"/>
        </w:rPr>
        <w:t>Crit</w:t>
      </w:r>
      <w:proofErr w:type="spellEnd"/>
      <w:r w:rsidRPr="00083196">
        <w:rPr>
          <w:rFonts w:cs="Times"/>
          <w:sz w:val="22"/>
          <w:szCs w:val="22"/>
        </w:rPr>
        <w:t xml:space="preserve"> Care Med. 2009.</w:t>
      </w:r>
    </w:p>
    <w:p w:rsidR="009F6ACE" w:rsidRPr="00083196" w:rsidRDefault="009F6ACE" w:rsidP="00083196">
      <w:pPr>
        <w:pStyle w:val="ListParagraph"/>
        <w:widowControl w:val="0"/>
        <w:numPr>
          <w:ilvl w:val="0"/>
          <w:numId w:val="3"/>
        </w:numPr>
        <w:autoSpaceDE w:val="0"/>
        <w:autoSpaceDN w:val="0"/>
        <w:adjustRightInd w:val="0"/>
        <w:spacing w:after="240"/>
        <w:jc w:val="both"/>
        <w:rPr>
          <w:rFonts w:cs="Times"/>
          <w:sz w:val="22"/>
          <w:szCs w:val="22"/>
        </w:rPr>
      </w:pPr>
      <w:r w:rsidRPr="00083196">
        <w:rPr>
          <w:rFonts w:cs="Times"/>
          <w:sz w:val="22"/>
          <w:szCs w:val="22"/>
        </w:rPr>
        <w:t xml:space="preserve">Lynch et al. Escalation of antimicrobial resistance among Streptococcus pneumoniae. Implications for therapy. </w:t>
      </w:r>
      <w:proofErr w:type="spellStart"/>
      <w:r w:rsidRPr="00083196">
        <w:rPr>
          <w:rFonts w:cs="Times"/>
          <w:sz w:val="22"/>
          <w:szCs w:val="22"/>
        </w:rPr>
        <w:t>Semin</w:t>
      </w:r>
      <w:proofErr w:type="spellEnd"/>
      <w:r w:rsidRPr="00083196">
        <w:rPr>
          <w:rFonts w:cs="Times"/>
          <w:sz w:val="22"/>
          <w:szCs w:val="22"/>
        </w:rPr>
        <w:t xml:space="preserve"> Respir </w:t>
      </w:r>
      <w:proofErr w:type="spellStart"/>
      <w:r w:rsidRPr="00083196">
        <w:rPr>
          <w:rFonts w:cs="Times"/>
          <w:sz w:val="22"/>
          <w:szCs w:val="22"/>
        </w:rPr>
        <w:t>Crit</w:t>
      </w:r>
      <w:proofErr w:type="spellEnd"/>
      <w:r w:rsidRPr="00083196">
        <w:rPr>
          <w:rFonts w:cs="Times"/>
          <w:sz w:val="22"/>
          <w:szCs w:val="22"/>
        </w:rPr>
        <w:t xml:space="preserve"> Care Med 2005.</w:t>
      </w:r>
    </w:p>
    <w:p w:rsidR="009F6ACE" w:rsidRPr="00083196" w:rsidRDefault="009F6ACE" w:rsidP="00083196">
      <w:pPr>
        <w:pStyle w:val="ListParagraph"/>
        <w:widowControl w:val="0"/>
        <w:numPr>
          <w:ilvl w:val="0"/>
          <w:numId w:val="3"/>
        </w:numPr>
        <w:autoSpaceDE w:val="0"/>
        <w:autoSpaceDN w:val="0"/>
        <w:adjustRightInd w:val="0"/>
        <w:spacing w:after="240"/>
        <w:jc w:val="both"/>
        <w:rPr>
          <w:rFonts w:cs="Times"/>
          <w:sz w:val="22"/>
          <w:szCs w:val="22"/>
        </w:rPr>
      </w:pPr>
      <w:proofErr w:type="spellStart"/>
      <w:r w:rsidRPr="00083196">
        <w:rPr>
          <w:rFonts w:cs="Times"/>
          <w:sz w:val="22"/>
          <w:szCs w:val="22"/>
        </w:rPr>
        <w:t>Doern</w:t>
      </w:r>
      <w:proofErr w:type="spellEnd"/>
      <w:r w:rsidRPr="00083196">
        <w:rPr>
          <w:rFonts w:cs="Times"/>
          <w:sz w:val="22"/>
          <w:szCs w:val="22"/>
        </w:rPr>
        <w:t xml:space="preserve"> GV et al. Antimicrobial use and the emergence of antimicrobial resistance </w:t>
      </w:r>
      <w:r w:rsidRPr="00083196">
        <w:rPr>
          <w:rFonts w:cs="Times"/>
          <w:sz w:val="22"/>
          <w:szCs w:val="22"/>
        </w:rPr>
        <w:lastRenderedPageBreak/>
        <w:t>with Streptococcus pneumoniae in the United States. Clinical Infectious Diseases 2005</w:t>
      </w:r>
    </w:p>
    <w:p w:rsidR="009F6ACE" w:rsidRPr="00083196" w:rsidRDefault="009F6ACE" w:rsidP="00083196">
      <w:pPr>
        <w:pStyle w:val="ListParagraph"/>
        <w:numPr>
          <w:ilvl w:val="0"/>
          <w:numId w:val="3"/>
        </w:numPr>
        <w:jc w:val="both"/>
        <w:rPr>
          <w:rFonts w:cs="Times"/>
          <w:sz w:val="22"/>
          <w:szCs w:val="22"/>
        </w:rPr>
      </w:pPr>
      <w:r w:rsidRPr="00083196">
        <w:rPr>
          <w:rFonts w:cs="Times"/>
          <w:sz w:val="22"/>
          <w:szCs w:val="22"/>
        </w:rPr>
        <w:t>Serisier DJ, Martin ML, McGuckin MA, et al. Effect of long-term, low dose erythromycin on pulmonary exacerbations among patients with non-cystic fibrosis bronchiectasis: the BLESS randomized controlled trial. JAMA 2013;309:1260-7</w:t>
      </w:r>
    </w:p>
    <w:p w:rsidR="009F6ACE" w:rsidRPr="00083196" w:rsidRDefault="009F6ACE" w:rsidP="00083196">
      <w:pPr>
        <w:pStyle w:val="ListParagraph"/>
        <w:numPr>
          <w:ilvl w:val="0"/>
          <w:numId w:val="3"/>
        </w:numPr>
        <w:jc w:val="both"/>
        <w:rPr>
          <w:rFonts w:cs="Times"/>
          <w:sz w:val="22"/>
          <w:szCs w:val="22"/>
        </w:rPr>
      </w:pPr>
      <w:r w:rsidRPr="00083196">
        <w:rPr>
          <w:rFonts w:cs="Times"/>
          <w:sz w:val="22"/>
          <w:szCs w:val="22"/>
        </w:rPr>
        <w:t xml:space="preserve">Malhotra-Kumar S, </w:t>
      </w:r>
      <w:proofErr w:type="spellStart"/>
      <w:r w:rsidRPr="00083196">
        <w:rPr>
          <w:rFonts w:cs="Times"/>
          <w:sz w:val="22"/>
          <w:szCs w:val="22"/>
        </w:rPr>
        <w:t>Lammens</w:t>
      </w:r>
      <w:proofErr w:type="spellEnd"/>
      <w:r w:rsidRPr="00083196">
        <w:rPr>
          <w:rFonts w:cs="Times"/>
          <w:sz w:val="22"/>
          <w:szCs w:val="22"/>
        </w:rPr>
        <w:t xml:space="preserve"> C, </w:t>
      </w:r>
      <w:proofErr w:type="spellStart"/>
      <w:r w:rsidRPr="00083196">
        <w:rPr>
          <w:rFonts w:cs="Times"/>
          <w:sz w:val="22"/>
          <w:szCs w:val="22"/>
        </w:rPr>
        <w:t>Coenen</w:t>
      </w:r>
      <w:proofErr w:type="spellEnd"/>
      <w:r w:rsidRPr="00083196">
        <w:rPr>
          <w:rFonts w:cs="Times"/>
          <w:sz w:val="22"/>
          <w:szCs w:val="22"/>
        </w:rPr>
        <w:t xml:space="preserve"> S, </w:t>
      </w:r>
      <w:proofErr w:type="spellStart"/>
      <w:r w:rsidRPr="00083196">
        <w:rPr>
          <w:rFonts w:cs="Times"/>
          <w:sz w:val="22"/>
          <w:szCs w:val="22"/>
        </w:rPr>
        <w:t>VanHerck</w:t>
      </w:r>
      <w:proofErr w:type="spellEnd"/>
      <w:r w:rsidRPr="00083196">
        <w:rPr>
          <w:rFonts w:cs="Times"/>
          <w:sz w:val="22"/>
          <w:szCs w:val="22"/>
        </w:rPr>
        <w:t xml:space="preserve"> K, </w:t>
      </w:r>
      <w:proofErr w:type="spellStart"/>
      <w:r w:rsidRPr="00083196">
        <w:rPr>
          <w:rFonts w:cs="Times"/>
          <w:sz w:val="22"/>
          <w:szCs w:val="22"/>
        </w:rPr>
        <w:t>Goossens</w:t>
      </w:r>
      <w:proofErr w:type="spellEnd"/>
      <w:r w:rsidRPr="00083196">
        <w:rPr>
          <w:rFonts w:cs="Times"/>
          <w:sz w:val="22"/>
          <w:szCs w:val="22"/>
        </w:rPr>
        <w:t xml:space="preserve"> H. Effect of azithromycin and clarithromycin therapy on pharyngeal carriage of macrolide-resistant streptococci in healthy volunteers: a </w:t>
      </w:r>
      <w:proofErr w:type="spellStart"/>
      <w:r w:rsidRPr="00083196">
        <w:rPr>
          <w:rFonts w:cs="Times"/>
          <w:sz w:val="22"/>
          <w:szCs w:val="22"/>
        </w:rPr>
        <w:t>randomised</w:t>
      </w:r>
      <w:proofErr w:type="spellEnd"/>
      <w:r w:rsidRPr="00083196">
        <w:rPr>
          <w:rFonts w:cs="Times"/>
          <w:sz w:val="22"/>
          <w:szCs w:val="22"/>
        </w:rPr>
        <w:t>, double-blind, placebo-controlled study. Lancet. 2007;369(9560):482-490.</w:t>
      </w:r>
    </w:p>
    <w:p w:rsidR="009F6ACE" w:rsidRPr="00083196" w:rsidRDefault="009F6ACE" w:rsidP="00083196">
      <w:pPr>
        <w:pStyle w:val="ListParagraph"/>
        <w:numPr>
          <w:ilvl w:val="0"/>
          <w:numId w:val="3"/>
        </w:numPr>
        <w:jc w:val="both"/>
        <w:rPr>
          <w:rFonts w:cs="Times"/>
          <w:sz w:val="22"/>
          <w:szCs w:val="22"/>
        </w:rPr>
      </w:pPr>
      <w:r w:rsidRPr="00083196">
        <w:rPr>
          <w:rFonts w:cs="Times"/>
          <w:sz w:val="22"/>
          <w:szCs w:val="22"/>
        </w:rPr>
        <w:t xml:space="preserve">Rogers GB et al., Reducing bias in bacterial community analysis of lower respiratory infections. ISME J. </w:t>
      </w:r>
      <w:proofErr w:type="gramStart"/>
      <w:r w:rsidRPr="00083196">
        <w:rPr>
          <w:rFonts w:cs="Times"/>
          <w:sz w:val="22"/>
          <w:szCs w:val="22"/>
        </w:rPr>
        <w:t>2013;7:697</w:t>
      </w:r>
      <w:proofErr w:type="gramEnd"/>
      <w:r w:rsidRPr="00083196">
        <w:rPr>
          <w:rFonts w:cs="Times"/>
          <w:sz w:val="22"/>
          <w:szCs w:val="22"/>
        </w:rPr>
        <w:t>-706.</w:t>
      </w:r>
    </w:p>
    <w:p w:rsidR="009F6ACE" w:rsidRPr="00083196" w:rsidRDefault="009F6ACE" w:rsidP="00083196">
      <w:pPr>
        <w:pStyle w:val="ListParagraph"/>
        <w:numPr>
          <w:ilvl w:val="0"/>
          <w:numId w:val="3"/>
        </w:numPr>
        <w:jc w:val="both"/>
        <w:rPr>
          <w:rFonts w:cs="Times"/>
          <w:sz w:val="22"/>
          <w:szCs w:val="22"/>
        </w:rPr>
      </w:pPr>
      <w:r w:rsidRPr="00083196">
        <w:rPr>
          <w:rFonts w:cs="Times"/>
          <w:sz w:val="22"/>
          <w:szCs w:val="22"/>
        </w:rPr>
        <w:t>Rogers GB, Bruce KD, Burr L, Martin M, Serisier DJ. The effect of long-term macrolide treatment on respiratory microbiota composition in non-cystic fibrosis bronchiectasis: an analysis from the randomized, double-blind, placebo-controlled BLESS trial. Lancet Respir Med 2014; 2: 988-96.</w:t>
      </w:r>
    </w:p>
    <w:p w:rsidR="009F6ACE" w:rsidRPr="00083196" w:rsidRDefault="009F6ACE" w:rsidP="00083196">
      <w:pPr>
        <w:pStyle w:val="ListParagraph"/>
        <w:numPr>
          <w:ilvl w:val="0"/>
          <w:numId w:val="3"/>
        </w:numPr>
        <w:jc w:val="both"/>
        <w:rPr>
          <w:rFonts w:cs="Times"/>
          <w:sz w:val="22"/>
          <w:szCs w:val="22"/>
        </w:rPr>
      </w:pPr>
      <w:r w:rsidRPr="00083196">
        <w:rPr>
          <w:rFonts w:cs="Times"/>
          <w:sz w:val="22"/>
          <w:szCs w:val="22"/>
        </w:rPr>
        <w:t xml:space="preserve">Wu HM, et al. Accuracy of real-time PCR, Gram stain and culture for Streptococcus pneumoniae, Neisseria meningitidis and </w:t>
      </w:r>
      <w:proofErr w:type="spellStart"/>
      <w:r w:rsidRPr="00083196">
        <w:rPr>
          <w:rFonts w:cs="Times"/>
          <w:sz w:val="22"/>
          <w:szCs w:val="22"/>
        </w:rPr>
        <w:t>Haemophilus</w:t>
      </w:r>
      <w:proofErr w:type="spellEnd"/>
      <w:r w:rsidRPr="00083196">
        <w:rPr>
          <w:rFonts w:cs="Times"/>
          <w:sz w:val="22"/>
          <w:szCs w:val="22"/>
        </w:rPr>
        <w:t xml:space="preserve"> influenzae meningitis diagnosis. BMC Infect Dis 2013;13:26</w:t>
      </w:r>
    </w:p>
    <w:p w:rsidR="009F6ACE" w:rsidRPr="00083196" w:rsidRDefault="009F6ACE" w:rsidP="00083196">
      <w:pPr>
        <w:jc w:val="both"/>
        <w:rPr>
          <w:sz w:val="22"/>
          <w:szCs w:val="22"/>
        </w:rPr>
      </w:pPr>
    </w:p>
    <w:p w:rsidR="009F6ACE" w:rsidRPr="00083196" w:rsidRDefault="009F6ACE" w:rsidP="00083196">
      <w:pPr>
        <w:jc w:val="both"/>
        <w:rPr>
          <w:sz w:val="22"/>
          <w:szCs w:val="22"/>
        </w:rPr>
      </w:pPr>
    </w:p>
    <w:p w:rsidR="005042BB" w:rsidRPr="00C15785" w:rsidRDefault="005042BB" w:rsidP="00083196">
      <w:pPr>
        <w:jc w:val="both"/>
      </w:pPr>
    </w:p>
    <w:sectPr w:rsidR="005042BB" w:rsidRPr="00C15785" w:rsidSect="00117ED8">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0D79" w:rsidRDefault="006A0D79" w:rsidP="00E73F62">
      <w:r>
        <w:separator/>
      </w:r>
    </w:p>
  </w:endnote>
  <w:endnote w:type="continuationSeparator" w:id="0">
    <w:p w:rsidR="006A0D79" w:rsidRDefault="006A0D79" w:rsidP="00E7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Bold Italic">
    <w:panose1 w:val="020B0604020202020204"/>
    <w:charset w:val="00"/>
    <w:family w:val="auto"/>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3F62" w:rsidRDefault="00592729">
    <w:pPr>
      <w:pStyle w:val="Footer"/>
    </w:pPr>
    <w:proofErr w:type="spellStart"/>
    <w:r>
      <w:t>SerPat</w:t>
    </w:r>
    <w:proofErr w:type="spellEnd"/>
    <w:r w:rsidR="00E73F62">
      <w:t xml:space="preserve"> Protocol Version </w:t>
    </w:r>
    <w:r w:rsidR="00411371">
      <w:t>2</w:t>
    </w:r>
    <w:r w:rsidR="00E73F62">
      <w:t xml:space="preserve">.0 dated </w:t>
    </w:r>
    <w:r w:rsidR="004B1058">
      <w:t>19</w:t>
    </w:r>
    <w:r w:rsidR="004B1058" w:rsidRPr="00083196">
      <w:rPr>
        <w:vertAlign w:val="superscript"/>
      </w:rPr>
      <w:t>th</w:t>
    </w:r>
    <w:r w:rsidR="004B1058">
      <w:t xml:space="preserve"> Sept 2016</w:t>
    </w:r>
  </w:p>
  <w:p w:rsidR="00E73F62" w:rsidRDefault="00E73F62" w:rsidP="00E73F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0D79" w:rsidRDefault="006A0D79" w:rsidP="00E73F62">
      <w:r>
        <w:separator/>
      </w:r>
    </w:p>
  </w:footnote>
  <w:footnote w:type="continuationSeparator" w:id="0">
    <w:p w:rsidR="006A0D79" w:rsidRDefault="006A0D79" w:rsidP="00E73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0644"/>
    <w:multiLevelType w:val="hybridMultilevel"/>
    <w:tmpl w:val="37CC08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127B07"/>
    <w:multiLevelType w:val="hybridMultilevel"/>
    <w:tmpl w:val="F81CEF42"/>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5A33ABB"/>
    <w:multiLevelType w:val="hybridMultilevel"/>
    <w:tmpl w:val="9D488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329CE"/>
    <w:multiLevelType w:val="hybridMultilevel"/>
    <w:tmpl w:val="673A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C526B"/>
    <w:multiLevelType w:val="hybridMultilevel"/>
    <w:tmpl w:val="9AD0AFFE"/>
    <w:lvl w:ilvl="0" w:tplc="BC2A20FE">
      <w:start w:val="1"/>
      <w:numFmt w:val="bullet"/>
      <w:lvlText w:val="-"/>
      <w:lvlJc w:val="left"/>
      <w:pPr>
        <w:ind w:left="720" w:hanging="360"/>
      </w:pPr>
      <w:rPr>
        <w:rFonts w:ascii="Calibri" w:eastAsiaTheme="minorEastAsia" w:hAnsi="Calibri" w:cs="Calibri Bold Italic"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F3E7A"/>
    <w:multiLevelType w:val="hybridMultilevel"/>
    <w:tmpl w:val="2A1E4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880306"/>
    <w:multiLevelType w:val="hybridMultilevel"/>
    <w:tmpl w:val="7E6C606A"/>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1629C"/>
    <w:multiLevelType w:val="hybridMultilevel"/>
    <w:tmpl w:val="7BC0DF8A"/>
    <w:lvl w:ilvl="0" w:tplc="BC2A20FE">
      <w:start w:val="1"/>
      <w:numFmt w:val="bullet"/>
      <w:lvlText w:val="-"/>
      <w:lvlJc w:val="left"/>
      <w:pPr>
        <w:ind w:left="720" w:hanging="360"/>
      </w:pPr>
      <w:rPr>
        <w:rFonts w:ascii="Calibri" w:eastAsiaTheme="minorEastAsia" w:hAnsi="Calibri" w:cs="Calibri Bold Italic"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76293B"/>
    <w:multiLevelType w:val="hybridMultilevel"/>
    <w:tmpl w:val="E51614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8B2F5D"/>
    <w:multiLevelType w:val="hybridMultilevel"/>
    <w:tmpl w:val="0310E3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6DB0EA8"/>
    <w:multiLevelType w:val="hybridMultilevel"/>
    <w:tmpl w:val="5582CF10"/>
    <w:lvl w:ilvl="0" w:tplc="0D665A44">
      <w:start w:val="1"/>
      <w:numFmt w:val="lowerLetter"/>
      <w:lvlText w:val="%1."/>
      <w:lvlJc w:val="left"/>
      <w:pPr>
        <w:ind w:left="360" w:hanging="360"/>
      </w:pPr>
      <w:rPr>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E5F6290"/>
    <w:multiLevelType w:val="hybridMultilevel"/>
    <w:tmpl w:val="0DFA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2"/>
  </w:num>
  <w:num w:numId="5">
    <w:abstractNumId w:val="1"/>
  </w:num>
  <w:num w:numId="6">
    <w:abstractNumId w:val="5"/>
  </w:num>
  <w:num w:numId="7">
    <w:abstractNumId w:val="9"/>
  </w:num>
  <w:num w:numId="8">
    <w:abstractNumId w:val="10"/>
  </w:num>
  <w:num w:numId="9">
    <w:abstractNumId w:val="0"/>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ACE"/>
    <w:rsid w:val="0001139F"/>
    <w:rsid w:val="000449DF"/>
    <w:rsid w:val="00083196"/>
    <w:rsid w:val="000B0DA3"/>
    <w:rsid w:val="00411371"/>
    <w:rsid w:val="004B1058"/>
    <w:rsid w:val="005042BB"/>
    <w:rsid w:val="00592729"/>
    <w:rsid w:val="005B5B60"/>
    <w:rsid w:val="00677940"/>
    <w:rsid w:val="00685B29"/>
    <w:rsid w:val="006A0D79"/>
    <w:rsid w:val="008C793B"/>
    <w:rsid w:val="00961A48"/>
    <w:rsid w:val="009F6ACE"/>
    <w:rsid w:val="00A52460"/>
    <w:rsid w:val="00B55BA3"/>
    <w:rsid w:val="00C124AE"/>
    <w:rsid w:val="00C15785"/>
    <w:rsid w:val="00C27C01"/>
    <w:rsid w:val="00C961BD"/>
    <w:rsid w:val="00CC76AF"/>
    <w:rsid w:val="00D05F61"/>
    <w:rsid w:val="00D729B0"/>
    <w:rsid w:val="00E73F62"/>
    <w:rsid w:val="00E92A7B"/>
    <w:rsid w:val="00EA2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9BB69-CDCC-C54C-8A93-CFD52488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CE"/>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CE"/>
    <w:pPr>
      <w:ind w:left="720"/>
      <w:contextualSpacing/>
    </w:pPr>
  </w:style>
  <w:style w:type="character" w:styleId="CommentReference">
    <w:name w:val="annotation reference"/>
    <w:basedOn w:val="DefaultParagraphFont"/>
    <w:uiPriority w:val="99"/>
    <w:semiHidden/>
    <w:unhideWhenUsed/>
    <w:rsid w:val="009F6ACE"/>
    <w:rPr>
      <w:sz w:val="16"/>
      <w:szCs w:val="16"/>
    </w:rPr>
  </w:style>
  <w:style w:type="paragraph" w:styleId="CommentText">
    <w:name w:val="annotation text"/>
    <w:basedOn w:val="Normal"/>
    <w:link w:val="CommentTextChar"/>
    <w:uiPriority w:val="99"/>
    <w:semiHidden/>
    <w:unhideWhenUsed/>
    <w:rsid w:val="009F6ACE"/>
    <w:rPr>
      <w:sz w:val="20"/>
      <w:szCs w:val="20"/>
    </w:rPr>
  </w:style>
  <w:style w:type="character" w:customStyle="1" w:styleId="CommentTextChar">
    <w:name w:val="Comment Text Char"/>
    <w:basedOn w:val="DefaultParagraphFont"/>
    <w:link w:val="CommentText"/>
    <w:uiPriority w:val="99"/>
    <w:semiHidden/>
    <w:rsid w:val="009F6ACE"/>
    <w:rPr>
      <w:rFonts w:eastAsiaTheme="minorEastAsia"/>
      <w:sz w:val="20"/>
      <w:szCs w:val="20"/>
      <w:lang w:val="en-US"/>
    </w:rPr>
  </w:style>
  <w:style w:type="paragraph" w:styleId="BalloonText">
    <w:name w:val="Balloon Text"/>
    <w:basedOn w:val="Normal"/>
    <w:link w:val="BalloonTextChar"/>
    <w:uiPriority w:val="99"/>
    <w:semiHidden/>
    <w:unhideWhenUsed/>
    <w:rsid w:val="009F6ACE"/>
    <w:rPr>
      <w:rFonts w:ascii="Tahoma" w:hAnsi="Tahoma" w:cs="Tahoma"/>
      <w:sz w:val="16"/>
      <w:szCs w:val="16"/>
    </w:rPr>
  </w:style>
  <w:style w:type="character" w:customStyle="1" w:styleId="BalloonTextChar">
    <w:name w:val="Balloon Text Char"/>
    <w:basedOn w:val="DefaultParagraphFont"/>
    <w:link w:val="BalloonText"/>
    <w:uiPriority w:val="99"/>
    <w:semiHidden/>
    <w:rsid w:val="009F6ACE"/>
    <w:rPr>
      <w:rFonts w:ascii="Tahoma" w:eastAsiaTheme="minorEastAsia" w:hAnsi="Tahoma" w:cs="Tahoma"/>
      <w:sz w:val="16"/>
      <w:szCs w:val="16"/>
      <w:lang w:val="en-US"/>
    </w:rPr>
  </w:style>
  <w:style w:type="paragraph" w:styleId="Header">
    <w:name w:val="header"/>
    <w:basedOn w:val="Normal"/>
    <w:link w:val="HeaderChar"/>
    <w:uiPriority w:val="99"/>
    <w:unhideWhenUsed/>
    <w:rsid w:val="00E73F62"/>
    <w:pPr>
      <w:tabs>
        <w:tab w:val="center" w:pos="4513"/>
        <w:tab w:val="right" w:pos="9026"/>
      </w:tabs>
    </w:pPr>
  </w:style>
  <w:style w:type="character" w:customStyle="1" w:styleId="HeaderChar">
    <w:name w:val="Header Char"/>
    <w:basedOn w:val="DefaultParagraphFont"/>
    <w:link w:val="Header"/>
    <w:uiPriority w:val="99"/>
    <w:rsid w:val="00E73F62"/>
    <w:rPr>
      <w:rFonts w:eastAsiaTheme="minorEastAsia"/>
      <w:sz w:val="24"/>
      <w:szCs w:val="24"/>
      <w:lang w:val="en-US"/>
    </w:rPr>
  </w:style>
  <w:style w:type="paragraph" w:styleId="Footer">
    <w:name w:val="footer"/>
    <w:basedOn w:val="Normal"/>
    <w:link w:val="FooterChar"/>
    <w:uiPriority w:val="99"/>
    <w:unhideWhenUsed/>
    <w:rsid w:val="00E73F62"/>
    <w:pPr>
      <w:tabs>
        <w:tab w:val="center" w:pos="4513"/>
        <w:tab w:val="right" w:pos="9026"/>
      </w:tabs>
    </w:pPr>
  </w:style>
  <w:style w:type="character" w:customStyle="1" w:styleId="FooterChar">
    <w:name w:val="Footer Char"/>
    <w:basedOn w:val="DefaultParagraphFont"/>
    <w:link w:val="Footer"/>
    <w:uiPriority w:val="99"/>
    <w:rsid w:val="00E73F62"/>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3AA35-A6C5-4BB6-8E1D-BAE5C15D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Mater Health Services</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Pattison, Andrew</dc:creator>
  <cp:lastModifiedBy>Lucy Burr</cp:lastModifiedBy>
  <cp:revision>3</cp:revision>
  <cp:lastPrinted>2016-10-12T21:12:00Z</cp:lastPrinted>
  <dcterms:created xsi:type="dcterms:W3CDTF">2020-04-20T23:51:00Z</dcterms:created>
  <dcterms:modified xsi:type="dcterms:W3CDTF">2020-05-05T03:41:00Z</dcterms:modified>
</cp:coreProperties>
</file>