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D2D43" w14:textId="7CFB86E9" w:rsidR="001E1F4A" w:rsidRDefault="00121F87" w:rsidP="002577C3">
      <w:pPr>
        <w:spacing w:line="360" w:lineRule="auto"/>
        <w:jc w:val="both"/>
      </w:pPr>
      <w:r>
        <w:t>D</w:t>
      </w:r>
      <w:r w:rsidR="001E1F4A">
        <w:t xml:space="preserve">ear </w:t>
      </w:r>
      <w:r w:rsidR="00753168">
        <w:t>ISME J Editorial team</w:t>
      </w:r>
      <w:r w:rsidR="001E1F4A">
        <w:t>,</w:t>
      </w:r>
    </w:p>
    <w:p w14:paraId="04CD81CF" w14:textId="77777777" w:rsidR="00121F87" w:rsidRDefault="00121F87" w:rsidP="002577C3">
      <w:pPr>
        <w:spacing w:line="360" w:lineRule="auto"/>
        <w:jc w:val="both"/>
      </w:pPr>
    </w:p>
    <w:p w14:paraId="659AEEF2" w14:textId="72A6D1DA" w:rsidR="001E1F4A" w:rsidRDefault="001E1F4A" w:rsidP="002577C3">
      <w:pPr>
        <w:spacing w:line="360" w:lineRule="auto"/>
        <w:jc w:val="both"/>
      </w:pPr>
      <w:r>
        <w:t xml:space="preserve">On behalf of all authors, we kindly re-submit the revision of manuscript </w:t>
      </w:r>
      <w:r w:rsidR="00753168">
        <w:t>“</w:t>
      </w:r>
      <w:r w:rsidR="00753168" w:rsidRPr="00753168">
        <w:rPr>
          <w:i/>
          <w:iCs/>
        </w:rPr>
        <w:t>Intestinal persistence of Bifidobacterium infantis is determined by interaction of host genetics and antibiotic exposure</w:t>
      </w:r>
      <w:r w:rsidR="00753168">
        <w:t xml:space="preserve">” </w:t>
      </w:r>
      <w:r>
        <w:t>for consideration to ISME J.</w:t>
      </w:r>
    </w:p>
    <w:p w14:paraId="3382A46F" w14:textId="77777777" w:rsidR="00121F87" w:rsidRDefault="00121F87" w:rsidP="002577C3">
      <w:pPr>
        <w:spacing w:line="360" w:lineRule="auto"/>
        <w:jc w:val="both"/>
      </w:pPr>
    </w:p>
    <w:p w14:paraId="47A185D6" w14:textId="65709A0D" w:rsidR="00244F17" w:rsidRDefault="00244F17" w:rsidP="002577C3">
      <w:pPr>
        <w:spacing w:line="360" w:lineRule="auto"/>
        <w:jc w:val="both"/>
      </w:pPr>
      <w:r>
        <w:t xml:space="preserve">We would like to thank </w:t>
      </w:r>
      <w:r w:rsidR="00753168">
        <w:t xml:space="preserve">Senior Editor, </w:t>
      </w:r>
      <w:r w:rsidR="00753168" w:rsidRPr="00753168">
        <w:t>Richard Lamont</w:t>
      </w:r>
      <w:r w:rsidR="00753168">
        <w:t xml:space="preserve">, </w:t>
      </w:r>
      <w:r>
        <w:t xml:space="preserve">the </w:t>
      </w:r>
      <w:r w:rsidR="00753168">
        <w:t xml:space="preserve">Editor-in-Chief, </w:t>
      </w:r>
      <w:r>
        <w:t xml:space="preserve">and </w:t>
      </w:r>
      <w:r w:rsidR="001E1F4A">
        <w:t>all</w:t>
      </w:r>
      <w:r>
        <w:t xml:space="preserve"> three Reviewers for their detailed assessment of our manuscript. Below we provide a point-by-point numbered list of each Reviewer comment in blue (e.g. </w:t>
      </w:r>
      <w:r w:rsidRPr="00244F17">
        <w:rPr>
          <w:b/>
          <w:bCs w:val="0"/>
          <w:color w:val="4472C4" w:themeColor="accent1"/>
        </w:rPr>
        <w:t>C1</w:t>
      </w:r>
      <w:r>
        <w:t xml:space="preserve">) followed by our response in black (e.g. </w:t>
      </w:r>
      <w:r w:rsidRPr="00244F17">
        <w:rPr>
          <w:b/>
          <w:bCs w:val="0"/>
        </w:rPr>
        <w:t>R1</w:t>
      </w:r>
      <w:r>
        <w:t>).</w:t>
      </w:r>
      <w:r w:rsidR="00E1663D">
        <w:t xml:space="preserve"> Where these comments have resulted in revisions to the manuscript, we have copied this text into this response document</w:t>
      </w:r>
      <w:r w:rsidR="00121F87">
        <w:t>, as appropriate</w:t>
      </w:r>
      <w:r w:rsidR="00E1663D">
        <w:t xml:space="preserve">. Our responses also include a line number to the revised section in the amended manuscript document. </w:t>
      </w:r>
    </w:p>
    <w:p w14:paraId="4B87A1A6" w14:textId="77777777" w:rsidR="00EB58A5" w:rsidRDefault="00EB58A5" w:rsidP="002577C3">
      <w:pPr>
        <w:spacing w:line="360" w:lineRule="auto"/>
        <w:jc w:val="both"/>
      </w:pPr>
    </w:p>
    <w:p w14:paraId="36FD8F1C" w14:textId="77777777" w:rsidR="00A208CC" w:rsidRDefault="001E1F4A" w:rsidP="002577C3">
      <w:pPr>
        <w:spacing w:line="360" w:lineRule="auto"/>
        <w:jc w:val="both"/>
      </w:pPr>
      <w:r w:rsidRPr="001E1F4A">
        <w:t>All authors</w:t>
      </w:r>
      <w:r>
        <w:t xml:space="preserve"> </w:t>
      </w:r>
      <w:r w:rsidRPr="001E1F4A">
        <w:t>have contributed to the manuscript and this revision and have seen and</w:t>
      </w:r>
      <w:r>
        <w:t xml:space="preserve"> </w:t>
      </w:r>
      <w:r w:rsidRPr="001E1F4A">
        <w:t>approved the final version.</w:t>
      </w:r>
      <w:r w:rsidR="00A208CC">
        <w:t xml:space="preserve"> We also submit a graphical abstract to accompany this manuscript.</w:t>
      </w:r>
    </w:p>
    <w:p w14:paraId="1B28142E" w14:textId="3867E35D" w:rsidR="001E1F4A" w:rsidRPr="001E1F4A" w:rsidRDefault="001E1F4A" w:rsidP="002577C3">
      <w:pPr>
        <w:spacing w:line="360" w:lineRule="auto"/>
        <w:jc w:val="both"/>
      </w:pPr>
    </w:p>
    <w:p w14:paraId="46ED7496" w14:textId="6B9ADD88" w:rsidR="00E1663D" w:rsidRDefault="001E1F4A" w:rsidP="002577C3">
      <w:pPr>
        <w:spacing w:line="360" w:lineRule="auto"/>
        <w:jc w:val="both"/>
      </w:pPr>
      <w:r w:rsidRPr="001E1F4A">
        <w:t>Thank you for considering our manuscript for publication.</w:t>
      </w:r>
    </w:p>
    <w:p w14:paraId="3E37FBDA" w14:textId="77777777" w:rsidR="008D20F7" w:rsidRPr="001E1F4A" w:rsidRDefault="008D20F7" w:rsidP="002577C3">
      <w:pPr>
        <w:jc w:val="both"/>
      </w:pPr>
    </w:p>
    <w:p w14:paraId="42C2AC4C" w14:textId="1AF12CCC" w:rsidR="00E1663D" w:rsidRDefault="00E1663D" w:rsidP="002577C3">
      <w:pPr>
        <w:jc w:val="both"/>
      </w:pPr>
      <w:r w:rsidRPr="00E1663D">
        <w:t>Sincerely,</w:t>
      </w:r>
    </w:p>
    <w:p w14:paraId="576FE6F9" w14:textId="4C456CA2" w:rsidR="001E1F4A" w:rsidRPr="00E1663D" w:rsidRDefault="001E1F4A" w:rsidP="002577C3">
      <w:pPr>
        <w:jc w:val="both"/>
      </w:pPr>
      <w:r>
        <w:rPr>
          <w:noProof/>
        </w:rPr>
        <w:drawing>
          <wp:inline distT="0" distB="0" distL="0" distR="0" wp14:anchorId="1E656E14" wp14:editId="04E39A30">
            <wp:extent cx="1567051" cy="485775"/>
            <wp:effectExtent l="0" t="0" r="0" b="0"/>
            <wp:docPr id="1035075404" name="Picture 1" descr="A drawing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75404" name="Picture 1" descr="A drawing of a pla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8435" cy="489304"/>
                    </a:xfrm>
                    <a:prstGeom prst="rect">
                      <a:avLst/>
                    </a:prstGeom>
                  </pic:spPr>
                </pic:pic>
              </a:graphicData>
            </a:graphic>
          </wp:inline>
        </w:drawing>
      </w:r>
    </w:p>
    <w:p w14:paraId="720D2557" w14:textId="5A874B3F" w:rsidR="00E1663D" w:rsidRDefault="00E1663D" w:rsidP="002577C3">
      <w:pPr>
        <w:jc w:val="both"/>
      </w:pPr>
      <w:r w:rsidRPr="00E1663D">
        <w:t>Prof. Geraint Rogers</w:t>
      </w:r>
    </w:p>
    <w:p w14:paraId="52CD2F39" w14:textId="10E4755F" w:rsidR="001E1F4A" w:rsidRDefault="001E1F4A" w:rsidP="002577C3">
      <w:pPr>
        <w:jc w:val="both"/>
      </w:pPr>
      <w:r>
        <w:t xml:space="preserve">Microbiome and Host Health, South Australian </w:t>
      </w:r>
      <w:proofErr w:type="gramStart"/>
      <w:r>
        <w:t>Health</w:t>
      </w:r>
      <w:proofErr w:type="gramEnd"/>
      <w:r>
        <w:t xml:space="preserve"> and Medical Research Institute</w:t>
      </w:r>
    </w:p>
    <w:p w14:paraId="2CB4E5E5" w14:textId="62A00D54" w:rsidR="001E1F4A" w:rsidRPr="00E1663D" w:rsidRDefault="001E1F4A" w:rsidP="002577C3">
      <w:pPr>
        <w:jc w:val="both"/>
      </w:pPr>
      <w:r>
        <w:t>College of Medicine and Public Health, Flinders University</w:t>
      </w:r>
    </w:p>
    <w:p w14:paraId="7D8D9BEE" w14:textId="05D90509" w:rsidR="001E1F4A" w:rsidRDefault="00000000" w:rsidP="002577C3">
      <w:pPr>
        <w:jc w:val="both"/>
      </w:pPr>
      <w:hyperlink r:id="rId8" w:history="1">
        <w:r w:rsidR="00E1663D" w:rsidRPr="00AD080A">
          <w:rPr>
            <w:rStyle w:val="Hyperlink"/>
          </w:rPr>
          <w:t>geraint.rogers@sahmri.com</w:t>
        </w:r>
      </w:hyperlink>
      <w:r w:rsidR="00E1663D">
        <w:t xml:space="preserve"> </w:t>
      </w:r>
      <w:r w:rsidR="001E1F4A">
        <w:br w:type="page"/>
      </w:r>
    </w:p>
    <w:p w14:paraId="03FAE10E" w14:textId="1E9E878B" w:rsidR="00B56C4C" w:rsidRPr="004A254F" w:rsidRDefault="00AF4A7F" w:rsidP="002577C3">
      <w:pPr>
        <w:jc w:val="both"/>
        <w:rPr>
          <w:rFonts w:cs="Times New Roman"/>
          <w:b/>
          <w:bCs w:val="0"/>
          <w:color w:val="4472C4" w:themeColor="accent1"/>
          <w:szCs w:val="24"/>
          <w:u w:val="single"/>
        </w:rPr>
      </w:pPr>
      <w:r w:rsidRPr="004A254F">
        <w:rPr>
          <w:rFonts w:cs="Times New Roman"/>
          <w:b/>
          <w:bCs w:val="0"/>
          <w:color w:val="4472C4" w:themeColor="accent1"/>
          <w:szCs w:val="24"/>
          <w:u w:val="single"/>
        </w:rPr>
        <w:lastRenderedPageBreak/>
        <w:t>Senior Editor (Richard Lamont)</w:t>
      </w:r>
    </w:p>
    <w:p w14:paraId="3A1D5DD0" w14:textId="1ECEBA60" w:rsidR="00AF4A7F" w:rsidRPr="001A3FD1" w:rsidRDefault="00B56C4C" w:rsidP="002577C3">
      <w:pPr>
        <w:jc w:val="both"/>
        <w:rPr>
          <w:rFonts w:cs="Times New Roman"/>
          <w:color w:val="4472C4" w:themeColor="accent1"/>
          <w:szCs w:val="24"/>
        </w:rPr>
      </w:pPr>
      <w:r w:rsidRPr="00FD3C5F">
        <w:rPr>
          <w:rFonts w:cs="Times New Roman"/>
          <w:b/>
          <w:bCs w:val="0"/>
          <w:color w:val="4472C4" w:themeColor="accent1"/>
          <w:szCs w:val="24"/>
        </w:rPr>
        <w:t>C1</w:t>
      </w:r>
      <w:r>
        <w:rPr>
          <w:rFonts w:cs="Times New Roman"/>
          <w:color w:val="4472C4" w:themeColor="accent1"/>
          <w:szCs w:val="24"/>
        </w:rPr>
        <w:t xml:space="preserve">: </w:t>
      </w:r>
      <w:r w:rsidR="00AF4A7F" w:rsidRPr="001A3FD1">
        <w:rPr>
          <w:rFonts w:cs="Times New Roman"/>
          <w:color w:val="4472C4" w:themeColor="accent1"/>
          <w:szCs w:val="24"/>
        </w:rPr>
        <w:t xml:space="preserve">There is broad agreement among the reviewers that this is an interesting and well-performed study of genetic and antibiotic regulation of bifidobacterial persistence. The reviewers have, however, made </w:t>
      </w:r>
      <w:proofErr w:type="gramStart"/>
      <w:r w:rsidR="00AF4A7F" w:rsidRPr="001A3FD1">
        <w:rPr>
          <w:rFonts w:cs="Times New Roman"/>
          <w:color w:val="4472C4" w:themeColor="accent1"/>
          <w:szCs w:val="24"/>
        </w:rPr>
        <w:t>a number of</w:t>
      </w:r>
      <w:proofErr w:type="gramEnd"/>
      <w:r w:rsidR="00AF4A7F" w:rsidRPr="001A3FD1">
        <w:rPr>
          <w:rFonts w:cs="Times New Roman"/>
          <w:color w:val="4472C4" w:themeColor="accent1"/>
          <w:szCs w:val="24"/>
        </w:rPr>
        <w:t xml:space="preserve"> suggestions to improve the clarity and impact of the manuscript. Please pay particular attention to Reviewer 3's comments regarding the translational outlook related to personalized probiotic therapies in humans.</w:t>
      </w:r>
    </w:p>
    <w:p w14:paraId="45231CB8" w14:textId="07B3662F" w:rsidR="00B56C4C" w:rsidRDefault="00B56C4C" w:rsidP="002577C3">
      <w:pPr>
        <w:spacing w:after="120"/>
        <w:jc w:val="both"/>
      </w:pPr>
      <w:r w:rsidRPr="00FD3C5F">
        <w:rPr>
          <w:b/>
          <w:bCs w:val="0"/>
        </w:rPr>
        <w:t>R1</w:t>
      </w:r>
      <w:r>
        <w:t xml:space="preserve">: We thank the editorial team for their consideration of this work. </w:t>
      </w:r>
      <w:r w:rsidR="00F74B43">
        <w:t>Below, we detail our responses to each of the reviewer comments.</w:t>
      </w:r>
    </w:p>
    <w:p w14:paraId="038CF612" w14:textId="77777777" w:rsidR="00B56C4C" w:rsidRPr="00B56C4C" w:rsidRDefault="00B56C4C" w:rsidP="002577C3">
      <w:pPr>
        <w:jc w:val="both"/>
      </w:pPr>
    </w:p>
    <w:p w14:paraId="65AAE9F5" w14:textId="3AF787D7" w:rsidR="00B56C4C" w:rsidRPr="004A254F" w:rsidRDefault="00AF4A7F" w:rsidP="002577C3">
      <w:pPr>
        <w:jc w:val="both"/>
        <w:rPr>
          <w:rFonts w:cs="Times New Roman"/>
          <w:b/>
          <w:bCs w:val="0"/>
          <w:color w:val="4472C4" w:themeColor="accent1"/>
          <w:szCs w:val="24"/>
          <w:u w:val="single"/>
        </w:rPr>
      </w:pPr>
      <w:r w:rsidRPr="004A254F">
        <w:rPr>
          <w:rFonts w:cs="Times New Roman"/>
          <w:b/>
          <w:bCs w:val="0"/>
          <w:color w:val="4472C4" w:themeColor="accent1"/>
          <w:szCs w:val="24"/>
          <w:u w:val="single"/>
        </w:rPr>
        <w:t>Editor-in-Chief revision request</w:t>
      </w:r>
    </w:p>
    <w:p w14:paraId="13A4BA2D" w14:textId="212C48F4" w:rsidR="00AF4A7F" w:rsidRPr="001A3FD1" w:rsidRDefault="00B56C4C" w:rsidP="002577C3">
      <w:pPr>
        <w:jc w:val="both"/>
        <w:rPr>
          <w:rFonts w:cs="Times New Roman"/>
          <w:color w:val="4472C4" w:themeColor="accent1"/>
          <w:szCs w:val="24"/>
        </w:rPr>
      </w:pPr>
      <w:r w:rsidRPr="00FD3C5F">
        <w:rPr>
          <w:rFonts w:cs="Times New Roman"/>
          <w:b/>
          <w:bCs w:val="0"/>
          <w:color w:val="4472C4" w:themeColor="accent1"/>
          <w:szCs w:val="24"/>
        </w:rPr>
        <w:t>C2</w:t>
      </w:r>
      <w:r>
        <w:rPr>
          <w:rFonts w:cs="Times New Roman"/>
          <w:color w:val="4472C4" w:themeColor="accent1"/>
          <w:szCs w:val="24"/>
        </w:rPr>
        <w:t xml:space="preserve">: </w:t>
      </w:r>
      <w:r w:rsidR="00AF4A7F" w:rsidRPr="001A3FD1">
        <w:rPr>
          <w:rFonts w:cs="Times New Roman"/>
          <w:color w:val="4472C4" w:themeColor="accent1"/>
          <w:szCs w:val="24"/>
        </w:rPr>
        <w:t>Please use our ISME J Editor-in-Chief checklist while making revisions and indicate that this was done in the rebuttal letter uploaded during resubmission. Several of the recommended edits apply to this manuscript and, if missed, another round of revision will be required to address remaining issues. In addition, it is inappropriate to use Chao1 with DADA2/ASV data because singleton ASVs are deleted in this process and essential to the estimator. Replace with Observed ASVS or some other richness metric?</w:t>
      </w:r>
    </w:p>
    <w:p w14:paraId="3186FA02" w14:textId="61E3142D" w:rsidR="00AF4A7F" w:rsidRPr="00B56C4C" w:rsidRDefault="00B56C4C" w:rsidP="002577C3">
      <w:pPr>
        <w:spacing w:after="120"/>
        <w:jc w:val="both"/>
      </w:pPr>
      <w:r w:rsidRPr="00FD3C5F">
        <w:rPr>
          <w:b/>
          <w:bCs w:val="0"/>
        </w:rPr>
        <w:t>R2</w:t>
      </w:r>
      <w:r>
        <w:t xml:space="preserve">: </w:t>
      </w:r>
      <w:r w:rsidR="003E3066" w:rsidRPr="003E3066">
        <w:t>All relevant Editor-in-Chief checklist revisions were adopted</w:t>
      </w:r>
      <w:r w:rsidR="002F086B">
        <w:t>,</w:t>
      </w:r>
      <w:r>
        <w:t xml:space="preserve"> includ</w:t>
      </w:r>
      <w:r w:rsidR="002F086B">
        <w:t>ing</w:t>
      </w:r>
      <w:r>
        <w:t xml:space="preserve"> replacing Chao1 with Observed ASVs, as </w:t>
      </w:r>
      <w:r w:rsidR="002F086B">
        <w:t>noted.</w:t>
      </w:r>
      <w:r>
        <w:t xml:space="preserve"> </w:t>
      </w:r>
      <w:r w:rsidR="002F086B">
        <w:t xml:space="preserve">We are big fans of this list and will </w:t>
      </w:r>
      <w:r w:rsidR="00175857">
        <w:t xml:space="preserve">use it for </w:t>
      </w:r>
      <w:r w:rsidR="002F086B">
        <w:t>future publications.</w:t>
      </w:r>
    </w:p>
    <w:p w14:paraId="4671018F" w14:textId="77777777" w:rsidR="00244F17" w:rsidRPr="001A3FD1" w:rsidRDefault="00244F17" w:rsidP="002577C3">
      <w:pPr>
        <w:jc w:val="both"/>
        <w:rPr>
          <w:rFonts w:cs="Times New Roman"/>
          <w:szCs w:val="24"/>
        </w:rPr>
      </w:pPr>
    </w:p>
    <w:p w14:paraId="28E1BB52" w14:textId="0103E450" w:rsidR="001A3FD1" w:rsidRPr="004A254F" w:rsidRDefault="009755E7" w:rsidP="002577C3">
      <w:pPr>
        <w:jc w:val="both"/>
        <w:rPr>
          <w:rFonts w:cs="Times New Roman"/>
          <w:b/>
          <w:bCs w:val="0"/>
          <w:color w:val="4472C4" w:themeColor="accent1"/>
          <w:szCs w:val="24"/>
          <w:u w:val="single"/>
        </w:rPr>
      </w:pPr>
      <w:r w:rsidRPr="004A254F">
        <w:rPr>
          <w:rFonts w:cs="Times New Roman"/>
          <w:b/>
          <w:bCs w:val="0"/>
          <w:color w:val="4472C4" w:themeColor="accent1"/>
          <w:szCs w:val="24"/>
          <w:u w:val="single"/>
        </w:rPr>
        <w:t xml:space="preserve">REVIEWER </w:t>
      </w:r>
      <w:r w:rsidR="00AF4A7F" w:rsidRPr="004A254F">
        <w:rPr>
          <w:rFonts w:cs="Times New Roman"/>
          <w:b/>
          <w:bCs w:val="0"/>
          <w:color w:val="4472C4" w:themeColor="accent1"/>
          <w:szCs w:val="24"/>
          <w:u w:val="single"/>
        </w:rPr>
        <w:t>#1</w:t>
      </w:r>
    </w:p>
    <w:p w14:paraId="2231F845" w14:textId="21CCF4D1" w:rsidR="00AF4A7F" w:rsidRPr="001A3FD1" w:rsidRDefault="001A3FD1" w:rsidP="002577C3">
      <w:pPr>
        <w:jc w:val="both"/>
        <w:rPr>
          <w:rFonts w:cs="Times New Roman"/>
          <w:color w:val="4472C4" w:themeColor="accent1"/>
          <w:szCs w:val="24"/>
        </w:rPr>
      </w:pPr>
      <w:r w:rsidRPr="00FD3C5F">
        <w:rPr>
          <w:rFonts w:cs="Times New Roman"/>
          <w:b/>
          <w:bCs w:val="0"/>
          <w:color w:val="4472C4" w:themeColor="accent1"/>
          <w:szCs w:val="24"/>
        </w:rPr>
        <w:t>C</w:t>
      </w:r>
      <w:r w:rsidR="00FD3C5F" w:rsidRPr="00FD3C5F">
        <w:rPr>
          <w:rFonts w:cs="Times New Roman"/>
          <w:b/>
          <w:bCs w:val="0"/>
          <w:color w:val="4472C4" w:themeColor="accent1"/>
          <w:szCs w:val="24"/>
        </w:rPr>
        <w:t>3</w:t>
      </w:r>
      <w:r w:rsidRPr="001A3FD1">
        <w:rPr>
          <w:rFonts w:cs="Times New Roman"/>
          <w:color w:val="4472C4" w:themeColor="accent1"/>
          <w:szCs w:val="24"/>
        </w:rPr>
        <w:t xml:space="preserve">: </w:t>
      </w:r>
      <w:r w:rsidR="00AF4A7F" w:rsidRPr="001A3FD1">
        <w:rPr>
          <w:rFonts w:cs="Times New Roman"/>
          <w:color w:val="4472C4" w:themeColor="accent1"/>
          <w:szCs w:val="24"/>
        </w:rPr>
        <w:t xml:space="preserve">In this manuscript, Wang et al. investigated the impact of secretor status on the efficacy of probiotic intervention using a murine model. Firstly, they generated Fut2-/- mice through heterozygous breeding and observed significant alterations in microbiota composition in the </w:t>
      </w:r>
      <w:proofErr w:type="spellStart"/>
      <w:r w:rsidR="00AF4A7F" w:rsidRPr="001A3FD1">
        <w:rPr>
          <w:rFonts w:cs="Times New Roman"/>
          <w:color w:val="4472C4" w:themeColor="accent1"/>
          <w:szCs w:val="24"/>
        </w:rPr>
        <w:t>feces</w:t>
      </w:r>
      <w:proofErr w:type="spellEnd"/>
      <w:r w:rsidR="00AF4A7F" w:rsidRPr="001A3FD1">
        <w:rPr>
          <w:rFonts w:cs="Times New Roman"/>
          <w:color w:val="4472C4" w:themeColor="accent1"/>
          <w:szCs w:val="24"/>
        </w:rPr>
        <w:t xml:space="preserve"> of male mice, particularly in the lower part of the small intestine. Subsequently, employing three </w:t>
      </w:r>
      <w:r w:rsidR="00AF4A7F" w:rsidRPr="00980BDE">
        <w:rPr>
          <w:rFonts w:cs="Times New Roman"/>
          <w:i/>
          <w:iCs/>
          <w:color w:val="4472C4" w:themeColor="accent1"/>
          <w:szCs w:val="24"/>
        </w:rPr>
        <w:t>Bifidobacterium</w:t>
      </w:r>
      <w:r w:rsidR="00AF4A7F" w:rsidRPr="001A3FD1">
        <w:rPr>
          <w:rFonts w:cs="Times New Roman"/>
          <w:color w:val="4472C4" w:themeColor="accent1"/>
          <w:szCs w:val="24"/>
        </w:rPr>
        <w:t xml:space="preserve"> species, they assessed how these species responded differently to the host's secretor status in terms of colonization efficacy. Notably, they found that </w:t>
      </w:r>
      <w:r w:rsidR="00AF4A7F" w:rsidRPr="00980BDE">
        <w:rPr>
          <w:rFonts w:cs="Times New Roman"/>
          <w:i/>
          <w:iCs/>
          <w:color w:val="4472C4" w:themeColor="accent1"/>
          <w:szCs w:val="24"/>
        </w:rPr>
        <w:t>B. infantis</w:t>
      </w:r>
      <w:r w:rsidR="00AF4A7F" w:rsidRPr="001A3FD1">
        <w:rPr>
          <w:rFonts w:cs="Times New Roman"/>
          <w:color w:val="4472C4" w:themeColor="accent1"/>
          <w:szCs w:val="24"/>
        </w:rPr>
        <w:t>, which exhibited enhanced colonization in perturbed microbiota of WT mice, showed reduced colonization ability in mice with normal gut microbiota of WT mice. The findings underscore the significance of secretor status as one of the determining factors in response to probiotic administration. The experiments are carefully designed, notably avoiding cage effects caused by breeding, and the results are soundly presented. The referee has several comments, which the referee believes should be addressed before publication.</w:t>
      </w:r>
    </w:p>
    <w:p w14:paraId="720E24DD" w14:textId="6E42C866" w:rsidR="00AF4A7F" w:rsidRDefault="001A3FD1" w:rsidP="002577C3">
      <w:pPr>
        <w:jc w:val="both"/>
        <w:rPr>
          <w:rFonts w:cs="Times New Roman"/>
          <w:szCs w:val="24"/>
        </w:rPr>
      </w:pPr>
      <w:r w:rsidRPr="00FD3C5F">
        <w:rPr>
          <w:rFonts w:cs="Times New Roman"/>
          <w:b/>
          <w:bCs w:val="0"/>
          <w:szCs w:val="24"/>
        </w:rPr>
        <w:t>R</w:t>
      </w:r>
      <w:r w:rsidR="00FD3C5F" w:rsidRPr="00FD3C5F">
        <w:rPr>
          <w:rFonts w:cs="Times New Roman"/>
          <w:b/>
          <w:bCs w:val="0"/>
          <w:szCs w:val="24"/>
        </w:rPr>
        <w:t>3</w:t>
      </w:r>
      <w:r>
        <w:rPr>
          <w:rFonts w:cs="Times New Roman"/>
          <w:szCs w:val="24"/>
        </w:rPr>
        <w:t>: We appreciate the time and care taken for this review.</w:t>
      </w:r>
    </w:p>
    <w:p w14:paraId="3A0074B3" w14:textId="77777777" w:rsidR="001A3FD1" w:rsidRDefault="001A3FD1" w:rsidP="002577C3">
      <w:pPr>
        <w:jc w:val="both"/>
        <w:rPr>
          <w:rFonts w:cs="Times New Roman"/>
          <w:szCs w:val="24"/>
        </w:rPr>
      </w:pPr>
    </w:p>
    <w:p w14:paraId="29AA1DB3" w14:textId="0671EB84" w:rsidR="00AF4A7F" w:rsidRPr="00FD3C5F" w:rsidRDefault="00FD3C5F" w:rsidP="002577C3">
      <w:pPr>
        <w:jc w:val="both"/>
        <w:rPr>
          <w:rFonts w:cs="Times New Roman"/>
          <w:color w:val="4472C4" w:themeColor="accent1"/>
          <w:szCs w:val="24"/>
        </w:rPr>
      </w:pPr>
      <w:r w:rsidRPr="00FD3C5F">
        <w:rPr>
          <w:rFonts w:cs="Times New Roman"/>
          <w:b/>
          <w:bCs w:val="0"/>
          <w:color w:val="4472C4" w:themeColor="accent1"/>
          <w:szCs w:val="24"/>
        </w:rPr>
        <w:t xml:space="preserve">C4: </w:t>
      </w:r>
      <w:r w:rsidR="00AF4A7F" w:rsidRPr="00FD3C5F">
        <w:rPr>
          <w:rFonts w:cs="Times New Roman"/>
          <w:color w:val="4472C4" w:themeColor="accent1"/>
          <w:szCs w:val="24"/>
        </w:rPr>
        <w:t>Fut2 introduces α-(1-2)-</w:t>
      </w:r>
      <w:proofErr w:type="spellStart"/>
      <w:r w:rsidR="00AF4A7F" w:rsidRPr="00FD3C5F">
        <w:rPr>
          <w:rFonts w:cs="Times New Roman"/>
          <w:color w:val="4472C4" w:themeColor="accent1"/>
          <w:szCs w:val="24"/>
        </w:rPr>
        <w:t>fucosyl</w:t>
      </w:r>
      <w:proofErr w:type="spellEnd"/>
      <w:r w:rsidR="00AF4A7F" w:rsidRPr="00FD3C5F">
        <w:rPr>
          <w:rFonts w:cs="Times New Roman"/>
          <w:color w:val="4472C4" w:themeColor="accent1"/>
          <w:szCs w:val="24"/>
        </w:rPr>
        <w:t xml:space="preserve"> linkage </w:t>
      </w:r>
      <w:bookmarkStart w:id="0" w:name="_Hlk164063327"/>
      <w:r w:rsidR="00AF4A7F" w:rsidRPr="00FD3C5F">
        <w:rPr>
          <w:rFonts w:cs="Times New Roman"/>
          <w:color w:val="4472C4" w:themeColor="accent1"/>
          <w:szCs w:val="24"/>
        </w:rPr>
        <w:t xml:space="preserve">to non-reducing end Gal residues </w:t>
      </w:r>
      <w:bookmarkEnd w:id="0"/>
      <w:r w:rsidR="00AF4A7F" w:rsidRPr="00FD3C5F">
        <w:rPr>
          <w:rFonts w:cs="Times New Roman"/>
          <w:color w:val="4472C4" w:themeColor="accent1"/>
          <w:szCs w:val="24"/>
        </w:rPr>
        <w:t xml:space="preserve">to form </w:t>
      </w:r>
      <w:proofErr w:type="spellStart"/>
      <w:r w:rsidR="00AF4A7F" w:rsidRPr="00FD3C5F">
        <w:rPr>
          <w:rFonts w:cs="Times New Roman"/>
          <w:color w:val="4472C4" w:themeColor="accent1"/>
          <w:szCs w:val="24"/>
        </w:rPr>
        <w:t>Fuc</w:t>
      </w:r>
      <w:proofErr w:type="spellEnd"/>
      <w:r w:rsidR="00AF4A7F" w:rsidRPr="00FD3C5F">
        <w:rPr>
          <w:rFonts w:cs="Times New Roman"/>
          <w:color w:val="4472C4" w:themeColor="accent1"/>
          <w:szCs w:val="24"/>
        </w:rPr>
        <w:t>α1-2Gal-O-R, the so-called H-antigens. It would be better to use the term 'H-antigens' instead of α-(1,2)-fucosylated glycans in the text.</w:t>
      </w:r>
    </w:p>
    <w:p w14:paraId="7E421678" w14:textId="16AF0210" w:rsidR="00AF4A7F" w:rsidRDefault="00FD3C5F" w:rsidP="002577C3">
      <w:pPr>
        <w:jc w:val="both"/>
        <w:rPr>
          <w:rFonts w:cs="Times New Roman"/>
          <w:szCs w:val="24"/>
        </w:rPr>
      </w:pPr>
      <w:r w:rsidRPr="00FD3C5F">
        <w:rPr>
          <w:rFonts w:cs="Times New Roman"/>
          <w:b/>
          <w:bCs w:val="0"/>
          <w:szCs w:val="24"/>
        </w:rPr>
        <w:t>R4:</w:t>
      </w:r>
      <w:r>
        <w:rPr>
          <w:rFonts w:cs="Times New Roman"/>
          <w:szCs w:val="24"/>
        </w:rPr>
        <w:t xml:space="preserve"> We acknowledge the reviewer’s comment and agree. In the amended manuscript, we now describe the term H antigen </w:t>
      </w:r>
      <w:r w:rsidR="00364B87">
        <w:rPr>
          <w:rFonts w:cs="Times New Roman"/>
          <w:szCs w:val="24"/>
        </w:rPr>
        <w:t xml:space="preserve">at first use </w:t>
      </w:r>
      <w:r w:rsidR="00F74B43">
        <w:rPr>
          <w:rFonts w:cs="Times New Roman"/>
          <w:szCs w:val="24"/>
        </w:rPr>
        <w:t>(</w:t>
      </w:r>
      <w:r w:rsidR="00F74B43" w:rsidRPr="00D60A56">
        <w:rPr>
          <w:rFonts w:cs="Times New Roman"/>
          <w:szCs w:val="24"/>
        </w:rPr>
        <w:t xml:space="preserve">lines </w:t>
      </w:r>
      <w:r w:rsidR="008F445E">
        <w:rPr>
          <w:rFonts w:cs="Times New Roman"/>
          <w:szCs w:val="24"/>
        </w:rPr>
        <w:t>76-79</w:t>
      </w:r>
      <w:r w:rsidR="00F74B43">
        <w:rPr>
          <w:rFonts w:cs="Times New Roman"/>
          <w:szCs w:val="24"/>
        </w:rPr>
        <w:t xml:space="preserve">) </w:t>
      </w:r>
      <w:r>
        <w:rPr>
          <w:rFonts w:cs="Times New Roman"/>
          <w:szCs w:val="24"/>
        </w:rPr>
        <w:t xml:space="preserve">and use this term throughout. </w:t>
      </w:r>
    </w:p>
    <w:p w14:paraId="4864ED82" w14:textId="5CE0B30C" w:rsidR="00AF4A7F" w:rsidRPr="00141532" w:rsidRDefault="00FD3C5F" w:rsidP="002577C3">
      <w:pPr>
        <w:jc w:val="both"/>
        <w:rPr>
          <w:rFonts w:cs="Times New Roman"/>
          <w:color w:val="4472C4" w:themeColor="accent1"/>
          <w:szCs w:val="24"/>
        </w:rPr>
      </w:pPr>
      <w:r w:rsidRPr="00141532">
        <w:rPr>
          <w:rFonts w:cs="Times New Roman"/>
          <w:b/>
          <w:bCs w:val="0"/>
          <w:color w:val="4472C4" w:themeColor="accent1"/>
          <w:szCs w:val="24"/>
        </w:rPr>
        <w:lastRenderedPageBreak/>
        <w:t xml:space="preserve">C5: </w:t>
      </w:r>
      <w:r w:rsidR="00AF4A7F" w:rsidRPr="00141532">
        <w:rPr>
          <w:rFonts w:cs="Times New Roman"/>
          <w:color w:val="4472C4" w:themeColor="accent1"/>
          <w:szCs w:val="24"/>
        </w:rPr>
        <w:t>Introduction: It has been known that prevalence of prebiotic assimilation gene(s) in gut microbes is also an important factor determining the responder/</w:t>
      </w:r>
      <w:proofErr w:type="spellStart"/>
      <w:r w:rsidR="00AF4A7F" w:rsidRPr="00141532">
        <w:rPr>
          <w:rFonts w:cs="Times New Roman"/>
          <w:color w:val="4472C4" w:themeColor="accent1"/>
          <w:szCs w:val="24"/>
        </w:rPr>
        <w:t>nonresponder</w:t>
      </w:r>
      <w:proofErr w:type="spellEnd"/>
      <w:r w:rsidR="00AF4A7F" w:rsidRPr="00141532">
        <w:rPr>
          <w:rFonts w:cs="Times New Roman"/>
          <w:color w:val="4472C4" w:themeColor="accent1"/>
          <w:szCs w:val="24"/>
        </w:rPr>
        <w:t xml:space="preserve"> status (PMID: 34705611). The referee would suggest that the authors include these findings here from a broad perspective.</w:t>
      </w:r>
    </w:p>
    <w:p w14:paraId="62F86E10" w14:textId="61ECCA17" w:rsidR="00AF4A7F" w:rsidRDefault="00284A8F" w:rsidP="002577C3">
      <w:pPr>
        <w:jc w:val="both"/>
        <w:rPr>
          <w:rFonts w:cs="Times New Roman"/>
          <w:szCs w:val="24"/>
        </w:rPr>
      </w:pPr>
      <w:r w:rsidRPr="00141532">
        <w:rPr>
          <w:rFonts w:cs="Times New Roman"/>
          <w:b/>
          <w:bCs w:val="0"/>
          <w:szCs w:val="24"/>
        </w:rPr>
        <w:t>R5:</w:t>
      </w:r>
      <w:r w:rsidR="00141532">
        <w:rPr>
          <w:rFonts w:cs="Times New Roman"/>
          <w:b/>
          <w:bCs w:val="0"/>
          <w:szCs w:val="24"/>
        </w:rPr>
        <w:t xml:space="preserve"> </w:t>
      </w:r>
      <w:r w:rsidR="00141532" w:rsidRPr="00141532">
        <w:rPr>
          <w:rFonts w:cs="Times New Roman"/>
          <w:szCs w:val="24"/>
        </w:rPr>
        <w:t xml:space="preserve">We agree that this is important </w:t>
      </w:r>
      <w:r w:rsidR="00141532">
        <w:rPr>
          <w:rFonts w:cs="Times New Roman"/>
          <w:szCs w:val="24"/>
        </w:rPr>
        <w:t>supporting literature for the rationale of this study. We have included a sentence to this effect (</w:t>
      </w:r>
      <w:r w:rsidR="00141532" w:rsidRPr="00D60A56">
        <w:rPr>
          <w:rFonts w:cs="Times New Roman"/>
          <w:szCs w:val="24"/>
        </w:rPr>
        <w:t>lines</w:t>
      </w:r>
      <w:r w:rsidR="00141532">
        <w:rPr>
          <w:rFonts w:cs="Times New Roman"/>
          <w:szCs w:val="24"/>
        </w:rPr>
        <w:t xml:space="preserve"> </w:t>
      </w:r>
      <w:r w:rsidR="008F445E">
        <w:rPr>
          <w:rFonts w:cs="Times New Roman"/>
          <w:szCs w:val="24"/>
        </w:rPr>
        <w:t>10</w:t>
      </w:r>
      <w:r w:rsidR="00A30961">
        <w:rPr>
          <w:rFonts w:cs="Times New Roman"/>
          <w:szCs w:val="24"/>
        </w:rPr>
        <w:t>0</w:t>
      </w:r>
      <w:r w:rsidR="008F445E">
        <w:rPr>
          <w:rFonts w:cs="Times New Roman"/>
          <w:szCs w:val="24"/>
        </w:rPr>
        <w:t>-10</w:t>
      </w:r>
      <w:r w:rsidR="00A30961">
        <w:rPr>
          <w:rFonts w:cs="Times New Roman"/>
          <w:szCs w:val="24"/>
        </w:rPr>
        <w:t>4</w:t>
      </w:r>
      <w:r w:rsidR="00141532">
        <w:rPr>
          <w:rFonts w:cs="Times New Roman"/>
          <w:szCs w:val="24"/>
        </w:rPr>
        <w:t>) and copied below.</w:t>
      </w:r>
    </w:p>
    <w:p w14:paraId="7FAD6C38" w14:textId="725CED0B" w:rsidR="00141532" w:rsidRPr="00141532" w:rsidRDefault="00141532" w:rsidP="002577C3">
      <w:pPr>
        <w:ind w:left="426" w:right="662"/>
        <w:jc w:val="both"/>
        <w:rPr>
          <w:rFonts w:cs="Times New Roman"/>
          <w:i/>
          <w:iCs/>
          <w:szCs w:val="24"/>
        </w:rPr>
      </w:pPr>
      <w:r w:rsidRPr="00141532">
        <w:rPr>
          <w:rFonts w:cs="Times New Roman"/>
          <w:i/>
          <w:iCs/>
          <w:szCs w:val="24"/>
        </w:rPr>
        <w:t>the ability of a probiotic to colonise and persist in an individual may depend on the presence of secreted glycans and the ability of the introduced bacterial strain to utilize them. This is supported by studies identifying increased persistence of such glycan-utilising species when supplemented with exogenous oligosaccharides (20, 21).</w:t>
      </w:r>
    </w:p>
    <w:p w14:paraId="6355F230" w14:textId="77777777" w:rsidR="00284A8F" w:rsidRPr="001A3FD1" w:rsidRDefault="00284A8F" w:rsidP="002577C3">
      <w:pPr>
        <w:jc w:val="both"/>
        <w:rPr>
          <w:rFonts w:cs="Times New Roman"/>
          <w:szCs w:val="24"/>
        </w:rPr>
      </w:pPr>
    </w:p>
    <w:p w14:paraId="6FA353D8" w14:textId="7C1BF01F" w:rsidR="00AF4A7F" w:rsidRPr="00244F17" w:rsidRDefault="00FD3C5F" w:rsidP="002577C3">
      <w:pPr>
        <w:jc w:val="both"/>
        <w:rPr>
          <w:rFonts w:cs="Times New Roman"/>
          <w:color w:val="4472C4" w:themeColor="accent1"/>
          <w:szCs w:val="24"/>
        </w:rPr>
      </w:pPr>
      <w:r w:rsidRPr="00C72CB7">
        <w:rPr>
          <w:rFonts w:cs="Times New Roman"/>
          <w:b/>
          <w:bCs w:val="0"/>
          <w:color w:val="4472C4" w:themeColor="accent1"/>
          <w:szCs w:val="24"/>
        </w:rPr>
        <w:t xml:space="preserve">C6: </w:t>
      </w:r>
      <w:r w:rsidR="00AF4A7F" w:rsidRPr="00C72CB7">
        <w:rPr>
          <w:rFonts w:cs="Times New Roman"/>
          <w:color w:val="4472C4" w:themeColor="accent1"/>
          <w:szCs w:val="24"/>
        </w:rPr>
        <w:t xml:space="preserve">Results: To the referee's knowledge, glycoside hydrolases that can </w:t>
      </w:r>
      <w:proofErr w:type="spellStart"/>
      <w:r w:rsidR="00AF4A7F" w:rsidRPr="00C72CB7">
        <w:rPr>
          <w:rFonts w:cs="Times New Roman"/>
          <w:color w:val="4472C4" w:themeColor="accent1"/>
          <w:szCs w:val="24"/>
        </w:rPr>
        <w:t>hydrolyze</w:t>
      </w:r>
      <w:proofErr w:type="spellEnd"/>
      <w:r w:rsidR="00AF4A7F" w:rsidRPr="00C72CB7">
        <w:rPr>
          <w:rFonts w:cs="Times New Roman"/>
          <w:color w:val="4472C4" w:themeColor="accent1"/>
          <w:szCs w:val="24"/>
        </w:rPr>
        <w:t xml:space="preserve"> H-antigens are classified into GH29, GH95, and GH151 in the </w:t>
      </w:r>
      <w:proofErr w:type="spellStart"/>
      <w:r w:rsidR="00AF4A7F" w:rsidRPr="00C72CB7">
        <w:rPr>
          <w:rFonts w:cs="Times New Roman"/>
          <w:color w:val="4472C4" w:themeColor="accent1"/>
          <w:szCs w:val="24"/>
        </w:rPr>
        <w:t>CAZy</w:t>
      </w:r>
      <w:proofErr w:type="spellEnd"/>
      <w:r w:rsidR="00AF4A7F" w:rsidRPr="00C72CB7">
        <w:rPr>
          <w:rFonts w:cs="Times New Roman"/>
          <w:color w:val="4472C4" w:themeColor="accent1"/>
          <w:szCs w:val="24"/>
        </w:rPr>
        <w:t xml:space="preserve"> database. The authors can extend their findings by examining the prevalence of these GHs in the genomes of each taxa whose abundance increased or decreased (whose persistence prolonged or not) by the secretor status, prebiotic supplementation (2'-FL) to the </w:t>
      </w:r>
      <w:proofErr w:type="spellStart"/>
      <w:r w:rsidR="00AF4A7F" w:rsidRPr="00C72CB7">
        <w:rPr>
          <w:rFonts w:cs="Times New Roman"/>
          <w:color w:val="4472C4" w:themeColor="accent1"/>
          <w:szCs w:val="24"/>
        </w:rPr>
        <w:t>fecal</w:t>
      </w:r>
      <w:proofErr w:type="spellEnd"/>
      <w:r w:rsidR="00AF4A7F" w:rsidRPr="00C72CB7">
        <w:rPr>
          <w:rFonts w:cs="Times New Roman"/>
          <w:color w:val="4472C4" w:themeColor="accent1"/>
          <w:szCs w:val="24"/>
        </w:rPr>
        <w:t xml:space="preserve"> cultures, or probiotic administration to mice. For example, </w:t>
      </w:r>
      <w:proofErr w:type="spellStart"/>
      <w:r w:rsidR="00AF4A7F" w:rsidRPr="00C72CB7">
        <w:rPr>
          <w:rFonts w:cs="Times New Roman"/>
          <w:i/>
          <w:iCs/>
          <w:color w:val="4472C4" w:themeColor="accent1"/>
          <w:szCs w:val="24"/>
        </w:rPr>
        <w:t>Candidatus</w:t>
      </w:r>
      <w:proofErr w:type="spellEnd"/>
      <w:r w:rsidR="00AF4A7F" w:rsidRPr="00C72CB7">
        <w:rPr>
          <w:rFonts w:cs="Times New Roman"/>
          <w:i/>
          <w:iCs/>
          <w:color w:val="4472C4" w:themeColor="accent1"/>
          <w:szCs w:val="24"/>
        </w:rPr>
        <w:t xml:space="preserve"> </w:t>
      </w:r>
      <w:proofErr w:type="spellStart"/>
      <w:r w:rsidR="00AF4A7F" w:rsidRPr="00C72CB7">
        <w:rPr>
          <w:rFonts w:cs="Times New Roman"/>
          <w:i/>
          <w:iCs/>
          <w:color w:val="4472C4" w:themeColor="accent1"/>
          <w:szCs w:val="24"/>
        </w:rPr>
        <w:t>Arthoromitus</w:t>
      </w:r>
      <w:proofErr w:type="spellEnd"/>
      <w:r w:rsidR="00AF4A7F" w:rsidRPr="00C72CB7">
        <w:rPr>
          <w:rFonts w:cs="Times New Roman"/>
          <w:color w:val="4472C4" w:themeColor="accent1"/>
          <w:szCs w:val="24"/>
        </w:rPr>
        <w:t xml:space="preserve"> possesses GH151.</w:t>
      </w:r>
    </w:p>
    <w:p w14:paraId="534120CE" w14:textId="655BFEDB" w:rsidR="005D4BAB" w:rsidRPr="001173BC" w:rsidRDefault="00284A8F" w:rsidP="002577C3">
      <w:pPr>
        <w:jc w:val="both"/>
        <w:rPr>
          <w:rFonts w:cs="Times New Roman"/>
          <w:szCs w:val="24"/>
        </w:rPr>
      </w:pPr>
      <w:r w:rsidRPr="001173BC">
        <w:rPr>
          <w:rFonts w:cs="Times New Roman"/>
          <w:b/>
          <w:bCs w:val="0"/>
          <w:szCs w:val="24"/>
        </w:rPr>
        <w:t xml:space="preserve">R6: </w:t>
      </w:r>
      <w:r w:rsidR="00103562" w:rsidRPr="001173BC">
        <w:rPr>
          <w:rFonts w:cs="Times New Roman"/>
          <w:szCs w:val="24"/>
        </w:rPr>
        <w:t>We appreciate the reviewer’s insight</w:t>
      </w:r>
      <w:r w:rsidR="00877865" w:rsidRPr="001173BC">
        <w:rPr>
          <w:rFonts w:cs="Times New Roman"/>
          <w:szCs w:val="24"/>
        </w:rPr>
        <w:t xml:space="preserve"> and </w:t>
      </w:r>
      <w:r w:rsidR="00EB466C" w:rsidRPr="001173BC">
        <w:rPr>
          <w:rFonts w:cs="Times New Roman"/>
          <w:szCs w:val="24"/>
        </w:rPr>
        <w:t xml:space="preserve">acknowledge that </w:t>
      </w:r>
      <w:r w:rsidR="00B618DC" w:rsidRPr="001173BC">
        <w:rPr>
          <w:rFonts w:cs="Times New Roman"/>
          <w:szCs w:val="24"/>
        </w:rPr>
        <w:t xml:space="preserve">our expertise is not primarily in the field of </w:t>
      </w:r>
      <w:bookmarkStart w:id="1" w:name="_Hlk164769018"/>
      <w:r w:rsidR="00EB466C" w:rsidRPr="001173BC">
        <w:rPr>
          <w:rFonts w:cs="Times New Roman"/>
          <w:szCs w:val="24"/>
        </w:rPr>
        <w:t>glycoside hydrolase</w:t>
      </w:r>
      <w:r w:rsidR="00B618DC" w:rsidRPr="001173BC">
        <w:rPr>
          <w:rFonts w:cs="Times New Roman"/>
          <w:szCs w:val="24"/>
        </w:rPr>
        <w:t>s</w:t>
      </w:r>
      <w:r w:rsidR="00EB466C" w:rsidRPr="001173BC">
        <w:rPr>
          <w:rFonts w:cs="Times New Roman"/>
          <w:szCs w:val="24"/>
        </w:rPr>
        <w:t xml:space="preserve"> (GH)</w:t>
      </w:r>
      <w:bookmarkEnd w:id="1"/>
      <w:r w:rsidR="00EB466C" w:rsidRPr="001173BC">
        <w:rPr>
          <w:rFonts w:cs="Times New Roman"/>
          <w:szCs w:val="24"/>
        </w:rPr>
        <w:t xml:space="preserve">. </w:t>
      </w:r>
      <w:r w:rsidR="006644B3" w:rsidRPr="001173BC">
        <w:rPr>
          <w:rFonts w:cs="Times New Roman"/>
          <w:szCs w:val="24"/>
        </w:rPr>
        <w:t xml:space="preserve">We </w:t>
      </w:r>
      <w:r w:rsidR="00EE47C9" w:rsidRPr="001173BC">
        <w:rPr>
          <w:rFonts w:cs="Times New Roman"/>
          <w:szCs w:val="24"/>
        </w:rPr>
        <w:t>a</w:t>
      </w:r>
      <w:r w:rsidR="006644B3" w:rsidRPr="001173BC">
        <w:rPr>
          <w:rFonts w:cs="Times New Roman"/>
          <w:szCs w:val="24"/>
        </w:rPr>
        <w:t xml:space="preserve">re familiar with GH29 and GH95 </w:t>
      </w:r>
      <w:r w:rsidR="00EE47C9" w:rsidRPr="001173BC">
        <w:rPr>
          <w:rFonts w:cs="Times New Roman"/>
          <w:szCs w:val="24"/>
        </w:rPr>
        <w:t xml:space="preserve">families </w:t>
      </w:r>
      <w:r w:rsidR="006644B3" w:rsidRPr="001173BC">
        <w:rPr>
          <w:rFonts w:cs="Times New Roman"/>
          <w:szCs w:val="24"/>
        </w:rPr>
        <w:t xml:space="preserve">in H-antigen </w:t>
      </w:r>
      <w:proofErr w:type="gramStart"/>
      <w:r w:rsidR="006644B3" w:rsidRPr="001173BC">
        <w:rPr>
          <w:rFonts w:cs="Times New Roman"/>
          <w:szCs w:val="24"/>
        </w:rPr>
        <w:t>hydrolysis, but</w:t>
      </w:r>
      <w:proofErr w:type="gramEnd"/>
      <w:r w:rsidR="006644B3" w:rsidRPr="001173BC">
        <w:rPr>
          <w:rFonts w:cs="Times New Roman"/>
          <w:szCs w:val="24"/>
        </w:rPr>
        <w:t xml:space="preserve"> were unfamiliar of the more recent classification of GH151 as another H-antigen </w:t>
      </w:r>
      <w:r w:rsidR="00D15C2B" w:rsidRPr="001173BC">
        <w:rPr>
          <w:rFonts w:cs="Times New Roman"/>
          <w:szCs w:val="24"/>
        </w:rPr>
        <w:t>GH family</w:t>
      </w:r>
      <w:r w:rsidR="006644B3" w:rsidRPr="001173BC">
        <w:rPr>
          <w:rFonts w:cs="Times New Roman"/>
          <w:szCs w:val="24"/>
        </w:rPr>
        <w:t xml:space="preserve">. </w:t>
      </w:r>
      <w:r w:rsidR="005A1787" w:rsidRPr="001173BC">
        <w:rPr>
          <w:rFonts w:cs="Times New Roman"/>
          <w:szCs w:val="24"/>
        </w:rPr>
        <w:t xml:space="preserve">We </w:t>
      </w:r>
      <w:r w:rsidR="005D4BAB" w:rsidRPr="001173BC">
        <w:rPr>
          <w:rFonts w:cs="Times New Roman"/>
          <w:szCs w:val="24"/>
        </w:rPr>
        <w:t xml:space="preserve">agree that </w:t>
      </w:r>
      <w:r w:rsidR="00EE47C9" w:rsidRPr="001173BC">
        <w:rPr>
          <w:rFonts w:cs="Times New Roman"/>
          <w:szCs w:val="24"/>
        </w:rPr>
        <w:t>describing GH capabilities of taxa</w:t>
      </w:r>
      <w:r w:rsidR="005D4BAB" w:rsidRPr="001173BC">
        <w:rPr>
          <w:rFonts w:cs="Times New Roman"/>
          <w:szCs w:val="24"/>
        </w:rPr>
        <w:t xml:space="preserve"> </w:t>
      </w:r>
      <w:r w:rsidR="00EE47C9" w:rsidRPr="001173BC">
        <w:rPr>
          <w:rFonts w:cs="Times New Roman"/>
          <w:szCs w:val="24"/>
        </w:rPr>
        <w:t xml:space="preserve">provides </w:t>
      </w:r>
      <w:r w:rsidR="005D4BAB" w:rsidRPr="001173BC">
        <w:rPr>
          <w:rFonts w:cs="Times New Roman"/>
          <w:szCs w:val="24"/>
        </w:rPr>
        <w:t>important context</w:t>
      </w:r>
      <w:r w:rsidR="00EE47C9" w:rsidRPr="001173BC">
        <w:rPr>
          <w:rFonts w:cs="Times New Roman"/>
          <w:szCs w:val="24"/>
        </w:rPr>
        <w:t xml:space="preserve"> for this </w:t>
      </w:r>
      <w:r w:rsidR="005D4BAB" w:rsidRPr="001173BC">
        <w:rPr>
          <w:rFonts w:cs="Times New Roman"/>
          <w:szCs w:val="24"/>
        </w:rPr>
        <w:t>manuscript.</w:t>
      </w:r>
    </w:p>
    <w:p w14:paraId="06D403D4" w14:textId="25D52F91" w:rsidR="00EE47C9" w:rsidRPr="001173BC" w:rsidRDefault="005D4BAB" w:rsidP="002577C3">
      <w:pPr>
        <w:jc w:val="both"/>
        <w:rPr>
          <w:rFonts w:cs="Times New Roman"/>
          <w:szCs w:val="24"/>
        </w:rPr>
      </w:pPr>
      <w:r w:rsidRPr="001173BC">
        <w:rPr>
          <w:rFonts w:cs="Times New Roman"/>
          <w:szCs w:val="24"/>
        </w:rPr>
        <w:t xml:space="preserve">In response to </w:t>
      </w:r>
      <w:r w:rsidR="00B618DC" w:rsidRPr="001173BC">
        <w:rPr>
          <w:rFonts w:cs="Times New Roman"/>
          <w:szCs w:val="24"/>
        </w:rPr>
        <w:t>the reviewer’s</w:t>
      </w:r>
      <w:r w:rsidRPr="001173BC">
        <w:rPr>
          <w:rFonts w:cs="Times New Roman"/>
          <w:szCs w:val="24"/>
        </w:rPr>
        <w:t xml:space="preserve"> comment, we have </w:t>
      </w:r>
      <w:r w:rsidR="00B618DC" w:rsidRPr="001173BC">
        <w:rPr>
          <w:rFonts w:cs="Times New Roman"/>
          <w:szCs w:val="24"/>
        </w:rPr>
        <w:t xml:space="preserve">now </w:t>
      </w:r>
      <w:r w:rsidR="00EE47C9" w:rsidRPr="001173BC">
        <w:rPr>
          <w:rFonts w:cs="Times New Roman"/>
          <w:szCs w:val="24"/>
        </w:rPr>
        <w:t xml:space="preserve">included in the following sections: </w:t>
      </w:r>
    </w:p>
    <w:p w14:paraId="717261BE" w14:textId="2CFB7A14" w:rsidR="00EE47C9" w:rsidRPr="001173BC" w:rsidRDefault="00EE47C9" w:rsidP="002577C3">
      <w:pPr>
        <w:pStyle w:val="ListParagraph"/>
        <w:numPr>
          <w:ilvl w:val="0"/>
          <w:numId w:val="3"/>
        </w:numPr>
        <w:jc w:val="both"/>
        <w:rPr>
          <w:rFonts w:cs="Times New Roman"/>
          <w:szCs w:val="24"/>
        </w:rPr>
      </w:pPr>
      <w:r w:rsidRPr="001173BC">
        <w:rPr>
          <w:rFonts w:cs="Times New Roman"/>
          <w:szCs w:val="24"/>
          <w:u w:val="single"/>
        </w:rPr>
        <w:t>Introduction</w:t>
      </w:r>
      <w:r w:rsidRPr="001173BC">
        <w:rPr>
          <w:rFonts w:cs="Times New Roman"/>
          <w:szCs w:val="24"/>
        </w:rPr>
        <w:t xml:space="preserve">: a description of the relevant GHs (lines </w:t>
      </w:r>
      <w:r w:rsidR="006661C8">
        <w:rPr>
          <w:rFonts w:cs="Times New Roman"/>
          <w:szCs w:val="24"/>
        </w:rPr>
        <w:t>98-100</w:t>
      </w:r>
      <w:r w:rsidRPr="001173BC">
        <w:rPr>
          <w:rFonts w:cs="Times New Roman"/>
          <w:szCs w:val="24"/>
        </w:rPr>
        <w:t>)</w:t>
      </w:r>
    </w:p>
    <w:p w14:paraId="54853CF0" w14:textId="2E38697D" w:rsidR="00EE47C9" w:rsidRPr="001173BC" w:rsidRDefault="00EE47C9" w:rsidP="002577C3">
      <w:pPr>
        <w:pStyle w:val="ListParagraph"/>
        <w:numPr>
          <w:ilvl w:val="0"/>
          <w:numId w:val="3"/>
        </w:numPr>
        <w:jc w:val="both"/>
        <w:rPr>
          <w:rFonts w:cs="Times New Roman"/>
          <w:szCs w:val="24"/>
        </w:rPr>
      </w:pPr>
      <w:r w:rsidRPr="001173BC">
        <w:rPr>
          <w:rFonts w:cs="Times New Roman"/>
          <w:szCs w:val="24"/>
          <w:u w:val="single"/>
        </w:rPr>
        <w:t>Methods</w:t>
      </w:r>
      <w:r w:rsidRPr="001173BC">
        <w:rPr>
          <w:rFonts w:cs="Times New Roman"/>
          <w:szCs w:val="24"/>
        </w:rPr>
        <w:t xml:space="preserve">: an expanded description of why the three </w:t>
      </w:r>
      <w:r w:rsidRPr="001173BC">
        <w:rPr>
          <w:rFonts w:cs="Times New Roman"/>
          <w:i/>
          <w:iCs/>
          <w:szCs w:val="24"/>
        </w:rPr>
        <w:t>Bifidobacterium</w:t>
      </w:r>
      <w:r w:rsidRPr="001173BC">
        <w:rPr>
          <w:rFonts w:cs="Times New Roman"/>
          <w:szCs w:val="24"/>
        </w:rPr>
        <w:t xml:space="preserve"> species were selected based on their GH capabilities (lines </w:t>
      </w:r>
      <w:r w:rsidR="00D60A56">
        <w:rPr>
          <w:rFonts w:cs="Times New Roman"/>
          <w:szCs w:val="24"/>
        </w:rPr>
        <w:t>16</w:t>
      </w:r>
      <w:r w:rsidR="006661C8">
        <w:rPr>
          <w:rFonts w:cs="Times New Roman"/>
          <w:szCs w:val="24"/>
        </w:rPr>
        <w:t>3</w:t>
      </w:r>
      <w:r w:rsidR="00D60A56">
        <w:rPr>
          <w:rFonts w:cs="Times New Roman"/>
          <w:szCs w:val="24"/>
        </w:rPr>
        <w:t>-1</w:t>
      </w:r>
      <w:r w:rsidR="006661C8">
        <w:rPr>
          <w:rFonts w:cs="Times New Roman"/>
          <w:szCs w:val="24"/>
        </w:rPr>
        <w:t>68</w:t>
      </w:r>
      <w:r w:rsidRPr="001173BC">
        <w:rPr>
          <w:rFonts w:cs="Times New Roman"/>
          <w:szCs w:val="24"/>
        </w:rPr>
        <w:t>)</w:t>
      </w:r>
      <w:r w:rsidR="0056551C" w:rsidRPr="001173BC">
        <w:rPr>
          <w:rFonts w:cs="Times New Roman"/>
          <w:szCs w:val="24"/>
        </w:rPr>
        <w:t xml:space="preserve">, as well as a description of our alignment of taxa names to H-antigen hydrolysis capacity (lines </w:t>
      </w:r>
      <w:r w:rsidR="00D60A56">
        <w:rPr>
          <w:rFonts w:cs="Times New Roman"/>
          <w:szCs w:val="24"/>
        </w:rPr>
        <w:t>22</w:t>
      </w:r>
      <w:r w:rsidR="006661C8">
        <w:rPr>
          <w:rFonts w:cs="Times New Roman"/>
          <w:szCs w:val="24"/>
        </w:rPr>
        <w:t>3</w:t>
      </w:r>
      <w:r w:rsidR="00D60A56">
        <w:rPr>
          <w:rFonts w:cs="Times New Roman"/>
          <w:szCs w:val="24"/>
        </w:rPr>
        <w:t>-22</w:t>
      </w:r>
      <w:r w:rsidR="006661C8">
        <w:rPr>
          <w:rFonts w:cs="Times New Roman"/>
          <w:szCs w:val="24"/>
        </w:rPr>
        <w:t>5</w:t>
      </w:r>
      <w:r w:rsidR="0056551C" w:rsidRPr="001173BC">
        <w:rPr>
          <w:rFonts w:cs="Times New Roman"/>
          <w:szCs w:val="24"/>
        </w:rPr>
        <w:t>).</w:t>
      </w:r>
    </w:p>
    <w:p w14:paraId="77A575E4" w14:textId="791E50D3" w:rsidR="00EE47C9" w:rsidRPr="001173BC" w:rsidRDefault="00EE47C9" w:rsidP="002577C3">
      <w:pPr>
        <w:pStyle w:val="ListParagraph"/>
        <w:numPr>
          <w:ilvl w:val="0"/>
          <w:numId w:val="3"/>
        </w:numPr>
        <w:jc w:val="both"/>
        <w:rPr>
          <w:rFonts w:cs="Times New Roman"/>
          <w:szCs w:val="24"/>
        </w:rPr>
      </w:pPr>
      <w:r w:rsidRPr="001173BC">
        <w:rPr>
          <w:rFonts w:cs="Times New Roman"/>
          <w:szCs w:val="24"/>
          <w:u w:val="single"/>
        </w:rPr>
        <w:t>Results</w:t>
      </w:r>
      <w:r w:rsidRPr="001173BC">
        <w:rPr>
          <w:rFonts w:cs="Times New Roman"/>
          <w:szCs w:val="24"/>
        </w:rPr>
        <w:t xml:space="preserve">: presentation of the baseline stool and tissue microbiota in the context of their GH function (lines </w:t>
      </w:r>
      <w:r w:rsidR="00D60A56">
        <w:rPr>
          <w:rFonts w:cs="Times New Roman"/>
          <w:szCs w:val="24"/>
        </w:rPr>
        <w:t>29</w:t>
      </w:r>
      <w:r w:rsidR="006661C8">
        <w:rPr>
          <w:rFonts w:cs="Times New Roman"/>
          <w:szCs w:val="24"/>
        </w:rPr>
        <w:t>7</w:t>
      </w:r>
      <w:r w:rsidR="00D60A56">
        <w:rPr>
          <w:rFonts w:cs="Times New Roman"/>
          <w:szCs w:val="24"/>
        </w:rPr>
        <w:t>-</w:t>
      </w:r>
      <w:r w:rsidR="006661C8">
        <w:rPr>
          <w:rFonts w:cs="Times New Roman"/>
          <w:szCs w:val="24"/>
        </w:rPr>
        <w:t>298</w:t>
      </w:r>
      <w:r w:rsidRPr="001173BC">
        <w:rPr>
          <w:rFonts w:cs="Times New Roman"/>
          <w:szCs w:val="24"/>
        </w:rPr>
        <w:t>)</w:t>
      </w:r>
    </w:p>
    <w:p w14:paraId="34B2CE9F" w14:textId="7F38BA6B" w:rsidR="00EE47C9" w:rsidRPr="001173BC" w:rsidRDefault="00EE47C9" w:rsidP="002577C3">
      <w:pPr>
        <w:pStyle w:val="ListParagraph"/>
        <w:numPr>
          <w:ilvl w:val="0"/>
          <w:numId w:val="3"/>
        </w:numPr>
        <w:jc w:val="both"/>
        <w:rPr>
          <w:rFonts w:cs="Times New Roman"/>
          <w:szCs w:val="24"/>
        </w:rPr>
      </w:pPr>
      <w:r w:rsidRPr="001173BC">
        <w:rPr>
          <w:rFonts w:cs="Times New Roman"/>
          <w:szCs w:val="24"/>
          <w:u w:val="single"/>
        </w:rPr>
        <w:t>Discussion</w:t>
      </w:r>
      <w:r w:rsidRPr="001173BC">
        <w:rPr>
          <w:rFonts w:cs="Times New Roman"/>
          <w:szCs w:val="24"/>
        </w:rPr>
        <w:t xml:space="preserve">: </w:t>
      </w:r>
      <w:r w:rsidR="00144711" w:rsidRPr="001173BC">
        <w:rPr>
          <w:rFonts w:cs="Times New Roman"/>
          <w:szCs w:val="24"/>
        </w:rPr>
        <w:t xml:space="preserve">a more comprehensive explanation of the </w:t>
      </w:r>
      <w:proofErr w:type="gramStart"/>
      <w:r w:rsidR="00144711" w:rsidRPr="001173BC">
        <w:rPr>
          <w:rFonts w:cs="Times New Roman"/>
          <w:szCs w:val="24"/>
        </w:rPr>
        <w:t>particular α-1</w:t>
      </w:r>
      <w:proofErr w:type="gramEnd"/>
      <w:r w:rsidR="00144711" w:rsidRPr="001173BC">
        <w:rPr>
          <w:rFonts w:cs="Times New Roman"/>
          <w:szCs w:val="24"/>
        </w:rPr>
        <w:t xml:space="preserve">,2-L-fucosidases in each species and what this means for </w:t>
      </w:r>
      <w:proofErr w:type="spellStart"/>
      <w:r w:rsidR="00144711" w:rsidRPr="001173BC">
        <w:rPr>
          <w:rFonts w:cs="Times New Roman"/>
          <w:szCs w:val="24"/>
        </w:rPr>
        <w:t>bifidobacterium</w:t>
      </w:r>
      <w:proofErr w:type="spellEnd"/>
      <w:r w:rsidR="00144711" w:rsidRPr="001173BC">
        <w:rPr>
          <w:rFonts w:cs="Times New Roman"/>
          <w:szCs w:val="24"/>
        </w:rPr>
        <w:t xml:space="preserve"> persistence (lines </w:t>
      </w:r>
      <w:r w:rsidR="00D60A56">
        <w:rPr>
          <w:rFonts w:cs="Times New Roman"/>
          <w:szCs w:val="24"/>
        </w:rPr>
        <w:t>41</w:t>
      </w:r>
      <w:r w:rsidR="00A35E9F">
        <w:rPr>
          <w:rFonts w:cs="Times New Roman"/>
          <w:szCs w:val="24"/>
        </w:rPr>
        <w:t>1</w:t>
      </w:r>
      <w:r w:rsidR="00D60A56">
        <w:rPr>
          <w:rFonts w:cs="Times New Roman"/>
          <w:szCs w:val="24"/>
        </w:rPr>
        <w:t>-4</w:t>
      </w:r>
      <w:r w:rsidR="00A35E9F">
        <w:rPr>
          <w:rFonts w:cs="Times New Roman"/>
          <w:szCs w:val="24"/>
        </w:rPr>
        <w:t>27</w:t>
      </w:r>
      <w:r w:rsidR="00144711" w:rsidRPr="001173BC">
        <w:rPr>
          <w:rFonts w:cs="Times New Roman"/>
          <w:szCs w:val="24"/>
        </w:rPr>
        <w:t>).</w:t>
      </w:r>
    </w:p>
    <w:p w14:paraId="2299F6DC" w14:textId="0F3DD4B7" w:rsidR="00426776" w:rsidRPr="001173BC" w:rsidRDefault="00B618DC" w:rsidP="002577C3">
      <w:pPr>
        <w:jc w:val="both"/>
        <w:rPr>
          <w:rFonts w:cs="Times New Roman"/>
          <w:szCs w:val="24"/>
        </w:rPr>
      </w:pPr>
      <w:r w:rsidRPr="001173BC">
        <w:rPr>
          <w:rFonts w:cs="Times New Roman"/>
          <w:szCs w:val="24"/>
        </w:rPr>
        <w:t>In relation to the i</w:t>
      </w:r>
      <w:r w:rsidR="008F445E" w:rsidRPr="001173BC">
        <w:rPr>
          <w:rFonts w:cs="Times New Roman"/>
          <w:szCs w:val="24"/>
        </w:rPr>
        <w:t xml:space="preserve">nclusion of </w:t>
      </w:r>
      <w:bookmarkStart w:id="2" w:name="_Hlk164849748"/>
      <w:r w:rsidR="008F445E" w:rsidRPr="001173BC">
        <w:rPr>
          <w:rFonts w:cs="Times New Roman"/>
          <w:szCs w:val="24"/>
        </w:rPr>
        <w:t xml:space="preserve">α-1,2-L-fucosidase capacity </w:t>
      </w:r>
      <w:bookmarkEnd w:id="2"/>
      <w:r w:rsidR="008F445E" w:rsidRPr="001173BC">
        <w:rPr>
          <w:rFonts w:cs="Times New Roman"/>
          <w:szCs w:val="24"/>
        </w:rPr>
        <w:t>in the</w:t>
      </w:r>
      <w:r w:rsidR="00EE47C9" w:rsidRPr="001173BC">
        <w:rPr>
          <w:rFonts w:cs="Times New Roman"/>
          <w:szCs w:val="24"/>
        </w:rPr>
        <w:t xml:space="preserve"> results section, </w:t>
      </w:r>
      <w:r w:rsidR="001173BC">
        <w:rPr>
          <w:rFonts w:cs="Times New Roman"/>
          <w:szCs w:val="24"/>
        </w:rPr>
        <w:t xml:space="preserve">this was determined by </w:t>
      </w:r>
      <w:r w:rsidR="001173BC" w:rsidRPr="001173BC">
        <w:rPr>
          <w:rFonts w:cs="Times New Roman"/>
          <w:szCs w:val="24"/>
        </w:rPr>
        <w:t xml:space="preserve">comparing the genus-level taxonomic classification to genomes identified by </w:t>
      </w:r>
      <w:proofErr w:type="spellStart"/>
      <w:r w:rsidR="001173BC" w:rsidRPr="001173BC">
        <w:rPr>
          <w:rFonts w:cs="Times New Roman"/>
          <w:szCs w:val="24"/>
        </w:rPr>
        <w:t>CAZy</w:t>
      </w:r>
      <w:proofErr w:type="spellEnd"/>
      <w:r w:rsidR="001173BC" w:rsidRPr="001173BC">
        <w:rPr>
          <w:rFonts w:cs="Times New Roman"/>
          <w:szCs w:val="24"/>
        </w:rPr>
        <w:t xml:space="preserve"> as carrying either the GH29, GH95, or GH151 enzyme families. </w:t>
      </w:r>
      <w:r w:rsidR="001173BC">
        <w:rPr>
          <w:rFonts w:cs="Times New Roman"/>
          <w:szCs w:val="24"/>
        </w:rPr>
        <w:t xml:space="preserve">We </w:t>
      </w:r>
      <w:r w:rsidR="00426776" w:rsidRPr="001173BC">
        <w:rPr>
          <w:rFonts w:cs="Times New Roman"/>
          <w:szCs w:val="24"/>
        </w:rPr>
        <w:t xml:space="preserve">performed </w:t>
      </w:r>
      <w:r w:rsidR="001173BC">
        <w:rPr>
          <w:rFonts w:cs="Times New Roman"/>
          <w:szCs w:val="24"/>
        </w:rPr>
        <w:t xml:space="preserve">this </w:t>
      </w:r>
      <w:r w:rsidR="00426776" w:rsidRPr="001173BC">
        <w:rPr>
          <w:rFonts w:cs="Times New Roman"/>
          <w:szCs w:val="24"/>
        </w:rPr>
        <w:t xml:space="preserve">at the genus level </w:t>
      </w:r>
      <w:r w:rsidR="00553FAD" w:rsidRPr="001173BC">
        <w:rPr>
          <w:rFonts w:cs="Times New Roman"/>
          <w:szCs w:val="24"/>
        </w:rPr>
        <w:t>due to</w:t>
      </w:r>
      <w:r w:rsidR="00426776" w:rsidRPr="001173BC">
        <w:rPr>
          <w:rFonts w:cs="Times New Roman"/>
          <w:szCs w:val="24"/>
        </w:rPr>
        <w:t xml:space="preserve"> the resolution constraints of </w:t>
      </w:r>
      <w:r w:rsidR="005D4BAB" w:rsidRPr="001173BC">
        <w:rPr>
          <w:rFonts w:cs="Times New Roman"/>
          <w:szCs w:val="24"/>
        </w:rPr>
        <w:t xml:space="preserve">16S </w:t>
      </w:r>
      <w:r w:rsidR="00426776" w:rsidRPr="001173BC">
        <w:rPr>
          <w:rFonts w:cs="Times New Roman"/>
          <w:szCs w:val="24"/>
        </w:rPr>
        <w:t xml:space="preserve">V4 </w:t>
      </w:r>
      <w:r w:rsidR="005D4BAB" w:rsidRPr="001173BC">
        <w:rPr>
          <w:rFonts w:cs="Times New Roman"/>
          <w:szCs w:val="24"/>
        </w:rPr>
        <w:t xml:space="preserve">amplicon sequencing, </w:t>
      </w:r>
      <w:r w:rsidR="00426776" w:rsidRPr="001173BC">
        <w:rPr>
          <w:rFonts w:cs="Times New Roman"/>
          <w:szCs w:val="24"/>
        </w:rPr>
        <w:t xml:space="preserve">meaning that GH variation that exists between species within a single genus could not be captured. Similarly, some of the identified taxa were only assigned to the family level (e.g. </w:t>
      </w:r>
      <w:proofErr w:type="spellStart"/>
      <w:r w:rsidR="00426776" w:rsidRPr="00121F87">
        <w:rPr>
          <w:rFonts w:cs="Times New Roman"/>
          <w:i/>
          <w:iCs/>
          <w:szCs w:val="24"/>
        </w:rPr>
        <w:t>Lachnospiraceae</w:t>
      </w:r>
      <w:proofErr w:type="spellEnd"/>
      <w:r w:rsidR="00426776" w:rsidRPr="001173BC">
        <w:rPr>
          <w:rFonts w:cs="Times New Roman"/>
          <w:szCs w:val="24"/>
        </w:rPr>
        <w:t xml:space="preserve"> (UCG006) or </w:t>
      </w:r>
      <w:proofErr w:type="spellStart"/>
      <w:r w:rsidR="00426776" w:rsidRPr="00121F87">
        <w:rPr>
          <w:rFonts w:cs="Times New Roman"/>
          <w:i/>
          <w:iCs/>
          <w:szCs w:val="24"/>
        </w:rPr>
        <w:t>Oscillospiraceae</w:t>
      </w:r>
      <w:proofErr w:type="spellEnd"/>
      <w:r w:rsidR="00426776" w:rsidRPr="001173BC">
        <w:rPr>
          <w:rFonts w:cs="Times New Roman"/>
          <w:szCs w:val="24"/>
        </w:rPr>
        <w:t xml:space="preserve"> (uncultured)), further limiting the accurate description of H</w:t>
      </w:r>
      <w:r w:rsidR="0056551C" w:rsidRPr="001173BC">
        <w:rPr>
          <w:rFonts w:cs="Times New Roman"/>
          <w:szCs w:val="24"/>
        </w:rPr>
        <w:t>-antigen hydrolysis</w:t>
      </w:r>
      <w:r w:rsidR="00426776" w:rsidRPr="001173BC">
        <w:rPr>
          <w:rFonts w:cs="Times New Roman"/>
          <w:szCs w:val="24"/>
        </w:rPr>
        <w:t xml:space="preserve"> capa</w:t>
      </w:r>
      <w:r w:rsidR="0056551C" w:rsidRPr="001173BC">
        <w:rPr>
          <w:rFonts w:cs="Times New Roman"/>
          <w:szCs w:val="24"/>
        </w:rPr>
        <w:t>bili</w:t>
      </w:r>
      <w:r w:rsidR="00426776" w:rsidRPr="001173BC">
        <w:rPr>
          <w:rFonts w:cs="Times New Roman"/>
          <w:szCs w:val="24"/>
        </w:rPr>
        <w:t xml:space="preserve">ty of the microbiome. </w:t>
      </w:r>
      <w:r w:rsidR="0056551C" w:rsidRPr="001173BC">
        <w:rPr>
          <w:rFonts w:cs="Times New Roman"/>
          <w:szCs w:val="24"/>
        </w:rPr>
        <w:t>Extensive c</w:t>
      </w:r>
      <w:r w:rsidR="00426776" w:rsidRPr="001173BC">
        <w:rPr>
          <w:rFonts w:cs="Times New Roman"/>
          <w:szCs w:val="24"/>
        </w:rPr>
        <w:t xml:space="preserve">ulture-based analysis or metagenomic sequencing would be </w:t>
      </w:r>
      <w:r w:rsidR="0056551C" w:rsidRPr="001173BC">
        <w:rPr>
          <w:rFonts w:cs="Times New Roman"/>
          <w:szCs w:val="24"/>
        </w:rPr>
        <w:t>required for accurate GH characterisation.</w:t>
      </w:r>
    </w:p>
    <w:p w14:paraId="59E8FB5F" w14:textId="74086A81" w:rsidR="0056551C" w:rsidRDefault="0056551C" w:rsidP="002577C3">
      <w:pPr>
        <w:jc w:val="both"/>
        <w:rPr>
          <w:rFonts w:cs="Times New Roman"/>
          <w:szCs w:val="24"/>
        </w:rPr>
      </w:pPr>
      <w:r w:rsidRPr="001173BC">
        <w:rPr>
          <w:rFonts w:cs="Times New Roman"/>
          <w:szCs w:val="24"/>
        </w:rPr>
        <w:lastRenderedPageBreak/>
        <w:t xml:space="preserve">In undertaking this analysis, we note multiple taxa with either GH29, GH95, or GH151, which we present in </w:t>
      </w:r>
      <w:r w:rsidR="009D0741" w:rsidRPr="001173BC">
        <w:rPr>
          <w:rFonts w:cs="Times New Roman"/>
          <w:szCs w:val="24"/>
        </w:rPr>
        <w:t xml:space="preserve">Supplementary </w:t>
      </w:r>
      <w:r w:rsidRPr="001173BC">
        <w:rPr>
          <w:rFonts w:cs="Times New Roman"/>
          <w:szCs w:val="24"/>
        </w:rPr>
        <w:t>Table</w:t>
      </w:r>
      <w:r w:rsidR="009D0741" w:rsidRPr="001173BC">
        <w:rPr>
          <w:rFonts w:cs="Times New Roman"/>
          <w:szCs w:val="24"/>
        </w:rPr>
        <w:t xml:space="preserve"> S4</w:t>
      </w:r>
      <w:r w:rsidRPr="001173BC">
        <w:rPr>
          <w:rFonts w:cs="Times New Roman"/>
          <w:szCs w:val="24"/>
        </w:rPr>
        <w:t xml:space="preserve">. However, our analysis did not identify </w:t>
      </w:r>
      <w:proofErr w:type="spellStart"/>
      <w:r w:rsidRPr="001173BC">
        <w:rPr>
          <w:rFonts w:cs="Times New Roman"/>
          <w:i/>
          <w:iCs/>
          <w:szCs w:val="24"/>
        </w:rPr>
        <w:t>Candidatus</w:t>
      </w:r>
      <w:proofErr w:type="spellEnd"/>
      <w:r w:rsidRPr="001173BC">
        <w:rPr>
          <w:rFonts w:cs="Times New Roman"/>
          <w:i/>
          <w:iCs/>
          <w:szCs w:val="24"/>
        </w:rPr>
        <w:t xml:space="preserve"> </w:t>
      </w:r>
      <w:proofErr w:type="spellStart"/>
      <w:r w:rsidRPr="001173BC">
        <w:rPr>
          <w:rFonts w:cs="Times New Roman"/>
          <w:i/>
          <w:iCs/>
          <w:szCs w:val="24"/>
        </w:rPr>
        <w:t>Arthoromitus</w:t>
      </w:r>
      <w:proofErr w:type="spellEnd"/>
      <w:r w:rsidRPr="001173BC">
        <w:rPr>
          <w:rFonts w:cs="Times New Roman"/>
          <w:szCs w:val="24"/>
        </w:rPr>
        <w:t xml:space="preserve"> as possessing GH151, as the reviewer notes. As evidenced, the </w:t>
      </w:r>
      <w:proofErr w:type="spellStart"/>
      <w:r w:rsidRPr="001173BC">
        <w:rPr>
          <w:rFonts w:cs="Times New Roman"/>
          <w:szCs w:val="24"/>
        </w:rPr>
        <w:t>CAZy</w:t>
      </w:r>
      <w:proofErr w:type="spellEnd"/>
      <w:r w:rsidRPr="001173BC">
        <w:rPr>
          <w:rFonts w:cs="Times New Roman"/>
          <w:szCs w:val="24"/>
        </w:rPr>
        <w:t xml:space="preserve"> database does not show </w:t>
      </w:r>
      <w:r w:rsidR="001D45D6" w:rsidRPr="001173BC">
        <w:rPr>
          <w:rFonts w:cs="Times New Roman"/>
          <w:szCs w:val="24"/>
        </w:rPr>
        <w:t xml:space="preserve">any of the three GHs </w:t>
      </w:r>
      <w:r w:rsidRPr="001173BC">
        <w:rPr>
          <w:rFonts w:cs="Times New Roman"/>
          <w:szCs w:val="24"/>
        </w:rPr>
        <w:t xml:space="preserve">as a component of the </w:t>
      </w:r>
      <w:proofErr w:type="spellStart"/>
      <w:r w:rsidRPr="001173BC">
        <w:rPr>
          <w:rFonts w:cs="Times New Roman"/>
          <w:i/>
          <w:iCs/>
          <w:szCs w:val="24"/>
        </w:rPr>
        <w:t>Candidatus</w:t>
      </w:r>
      <w:proofErr w:type="spellEnd"/>
      <w:r w:rsidRPr="001173BC">
        <w:rPr>
          <w:rFonts w:cs="Times New Roman"/>
          <w:i/>
          <w:iCs/>
          <w:szCs w:val="24"/>
        </w:rPr>
        <w:t xml:space="preserve"> </w:t>
      </w:r>
      <w:proofErr w:type="spellStart"/>
      <w:r w:rsidRPr="001173BC">
        <w:rPr>
          <w:rFonts w:cs="Times New Roman"/>
          <w:i/>
          <w:iCs/>
          <w:szCs w:val="24"/>
        </w:rPr>
        <w:t>Arthoromitus</w:t>
      </w:r>
      <w:proofErr w:type="spellEnd"/>
      <w:r w:rsidRPr="001173BC">
        <w:rPr>
          <w:rFonts w:cs="Times New Roman"/>
          <w:szCs w:val="24"/>
        </w:rPr>
        <w:t xml:space="preserve"> genome (</w:t>
      </w:r>
      <w:r w:rsidR="001D45D6" w:rsidRPr="001173BC">
        <w:rPr>
          <w:rFonts w:cs="Times New Roman"/>
          <w:szCs w:val="24"/>
        </w:rPr>
        <w:t xml:space="preserve">e.g. </w:t>
      </w:r>
      <w:r w:rsidRPr="001173BC">
        <w:rPr>
          <w:rFonts w:cs="Times New Roman"/>
          <w:szCs w:val="24"/>
        </w:rPr>
        <w:t>www.cazy.org/b1794.html). A separate detailed search of the literature, including the KEGG pathway database, also did not yield any information relating to this.</w:t>
      </w:r>
    </w:p>
    <w:p w14:paraId="1BAB89F3" w14:textId="77777777" w:rsidR="009755E7" w:rsidRDefault="009755E7" w:rsidP="002577C3">
      <w:pPr>
        <w:jc w:val="both"/>
        <w:rPr>
          <w:rFonts w:cs="Times New Roman"/>
          <w:szCs w:val="24"/>
        </w:rPr>
      </w:pPr>
    </w:p>
    <w:p w14:paraId="5F07AA01" w14:textId="694A6D74" w:rsidR="00AF4A7F" w:rsidRPr="00244F17" w:rsidRDefault="00FD3C5F" w:rsidP="002577C3">
      <w:pPr>
        <w:jc w:val="both"/>
        <w:rPr>
          <w:rFonts w:cs="Times New Roman"/>
          <w:color w:val="4472C4" w:themeColor="accent1"/>
          <w:szCs w:val="24"/>
        </w:rPr>
      </w:pPr>
      <w:r w:rsidRPr="00144711">
        <w:rPr>
          <w:rFonts w:cs="Times New Roman"/>
          <w:b/>
          <w:bCs w:val="0"/>
          <w:color w:val="4472C4" w:themeColor="accent1"/>
          <w:szCs w:val="24"/>
        </w:rPr>
        <w:t>C7</w:t>
      </w:r>
      <w:r w:rsidRPr="00244F17">
        <w:rPr>
          <w:rFonts w:cs="Times New Roman"/>
          <w:b/>
          <w:bCs w:val="0"/>
          <w:color w:val="4472C4" w:themeColor="accent1"/>
          <w:szCs w:val="24"/>
        </w:rPr>
        <w:t xml:space="preserve">: </w:t>
      </w:r>
      <w:r w:rsidR="00AF4A7F" w:rsidRPr="00244F17">
        <w:rPr>
          <w:rFonts w:cs="Times New Roman"/>
          <w:i/>
          <w:iCs/>
          <w:color w:val="4472C4" w:themeColor="accent1"/>
          <w:szCs w:val="24"/>
        </w:rPr>
        <w:t xml:space="preserve">B. bifidum </w:t>
      </w:r>
      <w:r w:rsidR="00AF4A7F" w:rsidRPr="00244F17">
        <w:rPr>
          <w:rFonts w:cs="Times New Roman"/>
          <w:color w:val="4472C4" w:themeColor="accent1"/>
          <w:szCs w:val="24"/>
        </w:rPr>
        <w:t xml:space="preserve">has a pronounced ability to degrade O-glycans </w:t>
      </w:r>
      <w:r w:rsidR="00AF4A7F" w:rsidRPr="00244F17">
        <w:rPr>
          <w:rFonts w:cs="Times New Roman"/>
          <w:i/>
          <w:iCs/>
          <w:color w:val="4472C4" w:themeColor="accent1"/>
          <w:szCs w:val="24"/>
        </w:rPr>
        <w:t>in vivo</w:t>
      </w:r>
      <w:r w:rsidR="00AF4A7F" w:rsidRPr="00244F17">
        <w:rPr>
          <w:rFonts w:cs="Times New Roman"/>
          <w:color w:val="4472C4" w:themeColor="accent1"/>
          <w:szCs w:val="24"/>
        </w:rPr>
        <w:t xml:space="preserve"> by its extracellular GHs (PMID: 36864192). By contrast, it is believed that </w:t>
      </w:r>
      <w:r w:rsidR="00AF4A7F" w:rsidRPr="00244F17">
        <w:rPr>
          <w:rFonts w:cs="Times New Roman"/>
          <w:i/>
          <w:iCs/>
          <w:color w:val="4472C4" w:themeColor="accent1"/>
          <w:szCs w:val="24"/>
        </w:rPr>
        <w:t>B. infantis</w:t>
      </w:r>
      <w:r w:rsidR="00AF4A7F" w:rsidRPr="00244F17">
        <w:rPr>
          <w:rFonts w:cs="Times New Roman"/>
          <w:color w:val="4472C4" w:themeColor="accent1"/>
          <w:szCs w:val="24"/>
        </w:rPr>
        <w:t xml:space="preserve"> does not degrade O-glycans, as it has no responsible extracellular GHs. Increase in the abundance of </w:t>
      </w:r>
      <w:r w:rsidR="00AF4A7F" w:rsidRPr="00244F17">
        <w:rPr>
          <w:rFonts w:cs="Times New Roman"/>
          <w:i/>
          <w:iCs/>
          <w:color w:val="4472C4" w:themeColor="accent1"/>
          <w:szCs w:val="24"/>
        </w:rPr>
        <w:t xml:space="preserve">B. infantis </w:t>
      </w:r>
      <w:r w:rsidR="00AF4A7F" w:rsidRPr="00244F17">
        <w:rPr>
          <w:rFonts w:cs="Times New Roman"/>
          <w:color w:val="4472C4" w:themeColor="accent1"/>
          <w:szCs w:val="24"/>
        </w:rPr>
        <w:t>may rely on cross-feeding by other gut microbes that can release mucin O-glycan oligosaccharides by the action of GH16 endo-O-</w:t>
      </w:r>
      <w:proofErr w:type="spellStart"/>
      <w:r w:rsidR="00AF4A7F" w:rsidRPr="00244F17">
        <w:rPr>
          <w:rFonts w:cs="Times New Roman"/>
          <w:color w:val="4472C4" w:themeColor="accent1"/>
          <w:szCs w:val="24"/>
        </w:rPr>
        <w:t>glycanases</w:t>
      </w:r>
      <w:proofErr w:type="spellEnd"/>
      <w:r w:rsidR="00AF4A7F" w:rsidRPr="00244F17">
        <w:rPr>
          <w:rFonts w:cs="Times New Roman"/>
          <w:color w:val="4472C4" w:themeColor="accent1"/>
          <w:szCs w:val="24"/>
        </w:rPr>
        <w:t xml:space="preserve">. The authors can discuss the underlying mechanisms of the </w:t>
      </w:r>
      <w:proofErr w:type="spellStart"/>
      <w:r w:rsidR="00AF4A7F" w:rsidRPr="00244F17">
        <w:rPr>
          <w:rFonts w:cs="Times New Roman"/>
          <w:color w:val="4472C4" w:themeColor="accent1"/>
          <w:szCs w:val="24"/>
        </w:rPr>
        <w:t>behavioral</w:t>
      </w:r>
      <w:proofErr w:type="spellEnd"/>
      <w:r w:rsidR="00AF4A7F" w:rsidRPr="00244F17">
        <w:rPr>
          <w:rFonts w:cs="Times New Roman"/>
          <w:color w:val="4472C4" w:themeColor="accent1"/>
          <w:szCs w:val="24"/>
        </w:rPr>
        <w:t xml:space="preserve"> difference observed for these bacteria.</w:t>
      </w:r>
    </w:p>
    <w:p w14:paraId="4411E173" w14:textId="4190B9C9" w:rsidR="00AF4A7F" w:rsidRPr="009001BE" w:rsidRDefault="00284A8F" w:rsidP="002577C3">
      <w:pPr>
        <w:jc w:val="both"/>
        <w:rPr>
          <w:rFonts w:cs="Times New Roman"/>
          <w:szCs w:val="24"/>
        </w:rPr>
      </w:pPr>
      <w:r w:rsidRPr="00BC4C1B">
        <w:rPr>
          <w:rFonts w:cs="Times New Roman"/>
          <w:b/>
          <w:bCs w:val="0"/>
          <w:szCs w:val="24"/>
        </w:rPr>
        <w:t>R</w:t>
      </w:r>
      <w:r w:rsidR="00153EAE" w:rsidRPr="00BC4C1B">
        <w:rPr>
          <w:rFonts w:cs="Times New Roman"/>
          <w:b/>
          <w:bCs w:val="0"/>
          <w:szCs w:val="24"/>
        </w:rPr>
        <w:t>7</w:t>
      </w:r>
      <w:r w:rsidRPr="00BC4C1B">
        <w:rPr>
          <w:rFonts w:cs="Times New Roman"/>
          <w:b/>
          <w:bCs w:val="0"/>
          <w:szCs w:val="24"/>
        </w:rPr>
        <w:t>:</w:t>
      </w:r>
      <w:r w:rsidR="009001BE" w:rsidRPr="00BC4C1B">
        <w:rPr>
          <w:rFonts w:cs="Times New Roman"/>
          <w:b/>
          <w:bCs w:val="0"/>
          <w:szCs w:val="24"/>
        </w:rPr>
        <w:t xml:space="preserve"> </w:t>
      </w:r>
      <w:r w:rsidR="00502D3E" w:rsidRPr="00BC4C1B">
        <w:rPr>
          <w:rFonts w:cs="Times New Roman"/>
          <w:szCs w:val="24"/>
        </w:rPr>
        <w:t xml:space="preserve">The reviewer is correct in their description of intracellular versus extracellular localisation of GHs between species. While </w:t>
      </w:r>
      <w:r w:rsidR="00502D3E" w:rsidRPr="00BC4C1B">
        <w:rPr>
          <w:rFonts w:cs="Times New Roman"/>
          <w:i/>
          <w:iCs/>
          <w:szCs w:val="24"/>
        </w:rPr>
        <w:t>B. infantis</w:t>
      </w:r>
      <w:r w:rsidR="00502D3E" w:rsidRPr="00BC4C1B">
        <w:rPr>
          <w:rFonts w:cs="Times New Roman"/>
          <w:szCs w:val="24"/>
        </w:rPr>
        <w:t xml:space="preserve"> also has transporters to enable internalisation of glycans (PMID: 31489370), this is still dependent on the release of oligosaccharides from the larger glycoproteins/glycolipids. It has been shown that, following antibiotics, there is an abundance of liberated sugars (PMID: 23995682), which may explain the results of enhanced </w:t>
      </w:r>
      <w:r w:rsidR="00502D3E" w:rsidRPr="00BC4C1B">
        <w:rPr>
          <w:rFonts w:cs="Times New Roman"/>
          <w:i/>
          <w:iCs/>
          <w:szCs w:val="24"/>
        </w:rPr>
        <w:t>B. infantis</w:t>
      </w:r>
      <w:r w:rsidR="00502D3E" w:rsidRPr="00BC4C1B">
        <w:rPr>
          <w:rFonts w:cs="Times New Roman"/>
          <w:szCs w:val="24"/>
        </w:rPr>
        <w:t xml:space="preserve"> persistence following antibiotics, presented here.</w:t>
      </w:r>
      <w:r w:rsidR="004907CE" w:rsidRPr="00BC4C1B">
        <w:rPr>
          <w:rFonts w:cs="Times New Roman"/>
          <w:szCs w:val="24"/>
        </w:rPr>
        <w:t xml:space="preserve"> We have included a discussion of the various potential underlying mechanisms that explain persistence dynamics with and without antibiotics, and the role H antigens play in this process</w:t>
      </w:r>
      <w:r w:rsidR="004907CE">
        <w:rPr>
          <w:rFonts w:cs="Times New Roman"/>
          <w:szCs w:val="24"/>
        </w:rPr>
        <w:t xml:space="preserve"> (lines </w:t>
      </w:r>
      <w:r w:rsidR="00D60A56">
        <w:rPr>
          <w:rFonts w:cs="Times New Roman"/>
          <w:szCs w:val="24"/>
        </w:rPr>
        <w:t>41</w:t>
      </w:r>
      <w:r w:rsidR="001403FC">
        <w:rPr>
          <w:rFonts w:cs="Times New Roman"/>
          <w:szCs w:val="24"/>
        </w:rPr>
        <w:t>1</w:t>
      </w:r>
      <w:r w:rsidR="00D60A56">
        <w:rPr>
          <w:rFonts w:cs="Times New Roman"/>
          <w:szCs w:val="24"/>
        </w:rPr>
        <w:t>-4</w:t>
      </w:r>
      <w:r w:rsidR="001403FC">
        <w:rPr>
          <w:rFonts w:cs="Times New Roman"/>
          <w:szCs w:val="24"/>
        </w:rPr>
        <w:t>27</w:t>
      </w:r>
      <w:r w:rsidR="004907CE">
        <w:rPr>
          <w:rFonts w:cs="Times New Roman"/>
          <w:szCs w:val="24"/>
        </w:rPr>
        <w:t xml:space="preserve"> and copied </w:t>
      </w:r>
      <w:r w:rsidR="004907CE" w:rsidRPr="004871AD">
        <w:rPr>
          <w:rFonts w:cs="Times New Roman"/>
          <w:szCs w:val="24"/>
        </w:rPr>
        <w:t>below</w:t>
      </w:r>
      <w:r w:rsidR="004907CE">
        <w:rPr>
          <w:rFonts w:cs="Times New Roman"/>
          <w:szCs w:val="24"/>
        </w:rPr>
        <w:t>).</w:t>
      </w:r>
    </w:p>
    <w:p w14:paraId="674F4813" w14:textId="641AE9DC" w:rsidR="0057456C" w:rsidRPr="0057456C" w:rsidRDefault="0057456C" w:rsidP="002577C3">
      <w:pPr>
        <w:ind w:left="426" w:right="237"/>
        <w:jc w:val="both"/>
        <w:rPr>
          <w:rFonts w:cs="Times New Roman"/>
          <w:i/>
          <w:iCs/>
          <w:szCs w:val="24"/>
        </w:rPr>
      </w:pPr>
      <w:r w:rsidRPr="00BC4C1B">
        <w:rPr>
          <w:rFonts w:cs="Times New Roman"/>
          <w:i/>
          <w:iCs/>
          <w:szCs w:val="24"/>
        </w:rPr>
        <w:t xml:space="preserve">Bifidobacterial species that are commonly used as probiotics are relatively close phylogenetically but differ in their ability to use glycans, even at a strain level </w:t>
      </w:r>
      <w:r w:rsidR="00D60A56">
        <w:rPr>
          <w:rFonts w:cs="Times New Roman"/>
          <w:i/>
          <w:iCs/>
          <w:szCs w:val="24"/>
        </w:rPr>
        <w:t>(44)</w:t>
      </w:r>
      <w:r w:rsidRPr="00BC4C1B">
        <w:rPr>
          <w:rFonts w:cs="Times New Roman"/>
          <w:i/>
          <w:iCs/>
          <w:szCs w:val="24"/>
        </w:rPr>
        <w:t xml:space="preserve">. We showed that neither B. breve (JCM 1192) nor B. bifidum (JCM 1255) differed in their abundance or persistence between secretor and non-secretor animals. In contrast, B. infantis (JCM 1222) persisted for significantly longer and showed a significantly higher abundance in </w:t>
      </w:r>
      <w:proofErr w:type="spellStart"/>
      <w:r w:rsidRPr="00BC4C1B">
        <w:rPr>
          <w:rFonts w:cs="Times New Roman"/>
          <w:i/>
          <w:iCs/>
          <w:szCs w:val="24"/>
        </w:rPr>
        <w:t>secretor</w:t>
      </w:r>
      <w:proofErr w:type="spellEnd"/>
      <w:r w:rsidRPr="00BC4C1B">
        <w:rPr>
          <w:rFonts w:cs="Times New Roman"/>
          <w:i/>
          <w:iCs/>
          <w:szCs w:val="24"/>
        </w:rPr>
        <w:t xml:space="preserve"> mice compared to non-secretor mice. This </w:t>
      </w:r>
      <w:r w:rsidR="00F81FAF" w:rsidRPr="00BC4C1B">
        <w:rPr>
          <w:rFonts w:cs="Times New Roman"/>
          <w:i/>
          <w:iCs/>
          <w:szCs w:val="24"/>
        </w:rPr>
        <w:t xml:space="preserve">finding </w:t>
      </w:r>
      <w:r w:rsidRPr="00BC4C1B">
        <w:rPr>
          <w:rFonts w:cs="Times New Roman"/>
          <w:i/>
          <w:iCs/>
          <w:szCs w:val="24"/>
        </w:rPr>
        <w:t xml:space="preserve">likely reflects </w:t>
      </w:r>
      <w:r w:rsidR="00F81FAF" w:rsidRPr="00BC4C1B">
        <w:rPr>
          <w:rFonts w:cs="Times New Roman"/>
          <w:i/>
          <w:iCs/>
          <w:szCs w:val="24"/>
        </w:rPr>
        <w:t>differences in</w:t>
      </w:r>
      <w:r w:rsidRPr="00BC4C1B">
        <w:rPr>
          <w:rFonts w:cs="Times New Roman"/>
          <w:i/>
          <w:iCs/>
          <w:szCs w:val="24"/>
        </w:rPr>
        <w:t xml:space="preserve"> H antigen hydrolysis and catabolism capacities between species when administered as a probiotic. For example, B. infantis encodes GH29, GH95, and GH151 family intracellular α-1,2-L-fucosidases, along with fucose transporters to facilitate internalisation (46). While independent hydrolysis and catabolism of mucin-bound H antigens by B. infantis is not hypothesised (26), cross-feeding by organisms with extracellular α-1,2-L-fucosidases is likely, even following antibiotic supplementation (47). In contrast, B. bifidum, while expressing extracellular GH29 and GH95 α-1,2-L-fucosidases, does not consume fucose to facilitate growth (28). Finally, B. breve, encodes a separate GH95 intracellular α-1,2-L-fucosidase along with fucose transporters. While this species </w:t>
      </w:r>
      <w:proofErr w:type="gramStart"/>
      <w:r w:rsidRPr="00BC4C1B">
        <w:rPr>
          <w:rFonts w:cs="Times New Roman"/>
          <w:i/>
          <w:iCs/>
          <w:szCs w:val="24"/>
        </w:rPr>
        <w:t>is capable of utilising</w:t>
      </w:r>
      <w:proofErr w:type="gramEnd"/>
      <w:r w:rsidRPr="00BC4C1B">
        <w:rPr>
          <w:rFonts w:cs="Times New Roman"/>
          <w:i/>
          <w:iCs/>
          <w:szCs w:val="24"/>
        </w:rPr>
        <w:t xml:space="preserve"> the H antigen with support from cross-feeding (48), these findings suggest reduced persistence compared with B. infantis, when administered as a probiotic.</w:t>
      </w:r>
    </w:p>
    <w:p w14:paraId="5CDD83DE" w14:textId="77777777" w:rsidR="009755E7" w:rsidRDefault="009755E7" w:rsidP="002577C3">
      <w:pPr>
        <w:jc w:val="both"/>
        <w:rPr>
          <w:rFonts w:cs="Times New Roman"/>
          <w:color w:val="4472C4" w:themeColor="accent1"/>
          <w:szCs w:val="24"/>
        </w:rPr>
      </w:pPr>
    </w:p>
    <w:p w14:paraId="0686B099" w14:textId="77777777" w:rsidR="009755E7" w:rsidRDefault="009755E7" w:rsidP="002577C3">
      <w:pPr>
        <w:jc w:val="both"/>
        <w:rPr>
          <w:rFonts w:cs="Times New Roman"/>
          <w:color w:val="4472C4" w:themeColor="accent1"/>
          <w:szCs w:val="24"/>
        </w:rPr>
      </w:pPr>
    </w:p>
    <w:p w14:paraId="7D02C0A1" w14:textId="3918C692" w:rsidR="00AF4A7F" w:rsidRPr="00284A8F" w:rsidRDefault="00AF4A7F" w:rsidP="002577C3">
      <w:pPr>
        <w:jc w:val="both"/>
        <w:rPr>
          <w:rFonts w:cs="Times New Roman"/>
          <w:color w:val="4472C4" w:themeColor="accent1"/>
          <w:szCs w:val="24"/>
        </w:rPr>
      </w:pPr>
      <w:r w:rsidRPr="00284A8F">
        <w:rPr>
          <w:rFonts w:cs="Times New Roman"/>
          <w:color w:val="4472C4" w:themeColor="accent1"/>
          <w:szCs w:val="24"/>
        </w:rPr>
        <w:t>Specific comments:</w:t>
      </w:r>
    </w:p>
    <w:p w14:paraId="6DA4E81B" w14:textId="29B18CA7" w:rsidR="00AF4A7F" w:rsidRPr="00284A8F" w:rsidRDefault="00FD3C5F" w:rsidP="002577C3">
      <w:pPr>
        <w:jc w:val="both"/>
        <w:rPr>
          <w:rFonts w:cs="Times New Roman"/>
          <w:color w:val="4472C4" w:themeColor="accent1"/>
          <w:szCs w:val="24"/>
        </w:rPr>
      </w:pPr>
      <w:r w:rsidRPr="00284A8F">
        <w:rPr>
          <w:rFonts w:cs="Times New Roman"/>
          <w:b/>
          <w:bCs w:val="0"/>
          <w:color w:val="4472C4" w:themeColor="accent1"/>
          <w:szCs w:val="24"/>
        </w:rPr>
        <w:lastRenderedPageBreak/>
        <w:t xml:space="preserve">C8: </w:t>
      </w:r>
      <w:r w:rsidR="00AF4A7F" w:rsidRPr="00284A8F">
        <w:rPr>
          <w:rFonts w:cs="Times New Roman"/>
          <w:color w:val="4472C4" w:themeColor="accent1"/>
          <w:szCs w:val="24"/>
        </w:rPr>
        <w:t>Page 4, line 74: It would be better to use the term 'oligosaccharides', instead of polysaccharide, when referring to mucin O-glycans here.</w:t>
      </w:r>
    </w:p>
    <w:p w14:paraId="6A694B51" w14:textId="49BD8941" w:rsidR="00AF4A7F" w:rsidRDefault="00284A8F" w:rsidP="002577C3">
      <w:pPr>
        <w:jc w:val="both"/>
        <w:rPr>
          <w:rFonts w:cs="Times New Roman"/>
          <w:szCs w:val="24"/>
        </w:rPr>
      </w:pPr>
      <w:r w:rsidRPr="00284A8F">
        <w:rPr>
          <w:rFonts w:cs="Times New Roman"/>
          <w:b/>
          <w:bCs w:val="0"/>
          <w:szCs w:val="24"/>
        </w:rPr>
        <w:t>R8:</w:t>
      </w:r>
      <w:r>
        <w:rPr>
          <w:rFonts w:cs="Times New Roman"/>
          <w:szCs w:val="24"/>
        </w:rPr>
        <w:t xml:space="preserve"> This has been amended.</w:t>
      </w:r>
    </w:p>
    <w:p w14:paraId="167A396D" w14:textId="77777777" w:rsidR="006C5B0B" w:rsidRPr="001A3FD1" w:rsidRDefault="006C5B0B" w:rsidP="002577C3">
      <w:pPr>
        <w:jc w:val="both"/>
        <w:rPr>
          <w:rFonts w:cs="Times New Roman"/>
          <w:szCs w:val="24"/>
        </w:rPr>
      </w:pPr>
    </w:p>
    <w:p w14:paraId="647B57D6" w14:textId="163D9D0B" w:rsidR="00AF4A7F" w:rsidRPr="00D62376" w:rsidRDefault="00FD3C5F" w:rsidP="002577C3">
      <w:pPr>
        <w:jc w:val="both"/>
        <w:rPr>
          <w:rFonts w:cs="Times New Roman"/>
          <w:color w:val="4472C4" w:themeColor="accent1"/>
          <w:szCs w:val="24"/>
        </w:rPr>
      </w:pPr>
      <w:r w:rsidRPr="00D62376">
        <w:rPr>
          <w:rFonts w:cs="Times New Roman"/>
          <w:b/>
          <w:bCs w:val="0"/>
          <w:color w:val="4472C4" w:themeColor="accent1"/>
          <w:szCs w:val="24"/>
        </w:rPr>
        <w:t xml:space="preserve">C9: </w:t>
      </w:r>
      <w:r w:rsidR="00AF4A7F" w:rsidRPr="00D62376">
        <w:rPr>
          <w:rFonts w:cs="Times New Roman"/>
          <w:color w:val="4472C4" w:themeColor="accent1"/>
          <w:szCs w:val="24"/>
        </w:rPr>
        <w:t>Page 4, line 87-90: Numerous papers describe differences in gut microbiota composition between secretors and non-secretors, some of which should be cited here.</w:t>
      </w:r>
    </w:p>
    <w:p w14:paraId="6AE59EC8" w14:textId="140929F4" w:rsidR="00AF4A7F" w:rsidRPr="00D62376" w:rsidRDefault="00D62376" w:rsidP="002577C3">
      <w:pPr>
        <w:jc w:val="both"/>
        <w:rPr>
          <w:rFonts w:cs="Times New Roman"/>
          <w:szCs w:val="24"/>
        </w:rPr>
      </w:pPr>
      <w:r w:rsidRPr="00D62376">
        <w:rPr>
          <w:rFonts w:cs="Times New Roman"/>
          <w:b/>
          <w:bCs w:val="0"/>
          <w:szCs w:val="24"/>
        </w:rPr>
        <w:t>R9:</w:t>
      </w:r>
      <w:r>
        <w:rPr>
          <w:rFonts w:cs="Times New Roman"/>
          <w:b/>
          <w:bCs w:val="0"/>
          <w:szCs w:val="24"/>
        </w:rPr>
        <w:t xml:space="preserve"> </w:t>
      </w:r>
      <w:r>
        <w:rPr>
          <w:rFonts w:cs="Times New Roman"/>
          <w:szCs w:val="24"/>
        </w:rPr>
        <w:t>We acknowledge the large body of literature examining the role of secretor status on the composition of the gut microbiota. In response to this comment, we have included a recent, detailed examination of this across 7,738 participants (PMID:</w:t>
      </w:r>
      <w:r w:rsidR="00A83352" w:rsidRPr="00A83352">
        <w:t xml:space="preserve"> </w:t>
      </w:r>
      <w:r w:rsidR="00A83352" w:rsidRPr="00A83352">
        <w:rPr>
          <w:rFonts w:cs="Times New Roman"/>
          <w:szCs w:val="24"/>
        </w:rPr>
        <w:t>35115690</w:t>
      </w:r>
      <w:r w:rsidR="00A83352">
        <w:rPr>
          <w:rFonts w:cs="Times New Roman"/>
          <w:szCs w:val="24"/>
        </w:rPr>
        <w:t>)</w:t>
      </w:r>
      <w:r>
        <w:rPr>
          <w:rFonts w:cs="Times New Roman"/>
          <w:szCs w:val="24"/>
        </w:rPr>
        <w:t xml:space="preserve">, along with a review that summarises </w:t>
      </w:r>
      <w:r w:rsidR="00F74B43">
        <w:rPr>
          <w:rFonts w:cs="Times New Roman"/>
          <w:szCs w:val="24"/>
        </w:rPr>
        <w:t>the wider</w:t>
      </w:r>
      <w:r>
        <w:rPr>
          <w:rFonts w:cs="Times New Roman"/>
          <w:szCs w:val="24"/>
        </w:rPr>
        <w:t xml:space="preserve"> literature</w:t>
      </w:r>
      <w:r w:rsidR="00A83352">
        <w:rPr>
          <w:rFonts w:cs="Times New Roman"/>
          <w:szCs w:val="24"/>
        </w:rPr>
        <w:t xml:space="preserve"> (PMID: </w:t>
      </w:r>
      <w:r w:rsidR="00A83352" w:rsidRPr="00A83352">
        <w:rPr>
          <w:rFonts w:cs="Times New Roman"/>
          <w:szCs w:val="24"/>
        </w:rPr>
        <w:t>29079498</w:t>
      </w:r>
      <w:r w:rsidR="00A83352">
        <w:rPr>
          <w:rFonts w:cs="Times New Roman"/>
          <w:szCs w:val="24"/>
        </w:rPr>
        <w:t>)</w:t>
      </w:r>
      <w:r>
        <w:rPr>
          <w:rFonts w:cs="Times New Roman"/>
          <w:szCs w:val="24"/>
        </w:rPr>
        <w:t>.</w:t>
      </w:r>
    </w:p>
    <w:p w14:paraId="63264327" w14:textId="77777777" w:rsidR="00D62376" w:rsidRPr="001A3FD1" w:rsidRDefault="00D62376" w:rsidP="002577C3">
      <w:pPr>
        <w:jc w:val="both"/>
        <w:rPr>
          <w:rFonts w:cs="Times New Roman"/>
          <w:szCs w:val="24"/>
        </w:rPr>
      </w:pPr>
    </w:p>
    <w:p w14:paraId="06094A08" w14:textId="2643EB37" w:rsidR="00AF4A7F" w:rsidRPr="00E349F1" w:rsidRDefault="00FD3C5F" w:rsidP="002577C3">
      <w:pPr>
        <w:jc w:val="both"/>
        <w:rPr>
          <w:rFonts w:cs="Times New Roman"/>
          <w:color w:val="4472C4" w:themeColor="accent1"/>
          <w:szCs w:val="24"/>
        </w:rPr>
      </w:pPr>
      <w:r w:rsidRPr="00E349F1">
        <w:rPr>
          <w:rFonts w:cs="Times New Roman"/>
          <w:b/>
          <w:bCs w:val="0"/>
          <w:color w:val="4472C4" w:themeColor="accent1"/>
          <w:szCs w:val="24"/>
        </w:rPr>
        <w:t xml:space="preserve">C10: </w:t>
      </w:r>
      <w:r w:rsidR="00AF4A7F" w:rsidRPr="00E349F1">
        <w:rPr>
          <w:rFonts w:cs="Times New Roman"/>
          <w:color w:val="4472C4" w:themeColor="accent1"/>
          <w:szCs w:val="24"/>
        </w:rPr>
        <w:t>Page 9, line 189: It would be better to mention average read counts of NGS analysis.</w:t>
      </w:r>
    </w:p>
    <w:p w14:paraId="2D69D39F" w14:textId="3EAC1897" w:rsidR="00AF4A7F" w:rsidRDefault="00D379E4" w:rsidP="002577C3">
      <w:pPr>
        <w:jc w:val="both"/>
        <w:rPr>
          <w:rFonts w:cs="Times New Roman"/>
          <w:szCs w:val="24"/>
        </w:rPr>
      </w:pPr>
      <w:r w:rsidRPr="00E349F1">
        <w:rPr>
          <w:rFonts w:cs="Times New Roman"/>
          <w:b/>
          <w:bCs w:val="0"/>
          <w:szCs w:val="24"/>
        </w:rPr>
        <w:t xml:space="preserve">R10: </w:t>
      </w:r>
      <w:r>
        <w:rPr>
          <w:rFonts w:cs="Times New Roman"/>
          <w:szCs w:val="24"/>
        </w:rPr>
        <w:t>We have now included this</w:t>
      </w:r>
      <w:r w:rsidR="00F74B43">
        <w:rPr>
          <w:rFonts w:cs="Times New Roman"/>
          <w:szCs w:val="24"/>
        </w:rPr>
        <w:t xml:space="preserve"> information </w:t>
      </w:r>
      <w:r>
        <w:rPr>
          <w:rFonts w:cs="Times New Roman"/>
          <w:szCs w:val="24"/>
        </w:rPr>
        <w:t xml:space="preserve">(line </w:t>
      </w:r>
      <w:r w:rsidR="00D60A56">
        <w:rPr>
          <w:rFonts w:cs="Times New Roman"/>
          <w:szCs w:val="24"/>
        </w:rPr>
        <w:t>20</w:t>
      </w:r>
      <w:r w:rsidR="00162D29">
        <w:rPr>
          <w:rFonts w:cs="Times New Roman"/>
          <w:szCs w:val="24"/>
        </w:rPr>
        <w:t>6</w:t>
      </w:r>
      <w:r w:rsidR="00D60A56">
        <w:rPr>
          <w:rFonts w:cs="Times New Roman"/>
          <w:szCs w:val="24"/>
        </w:rPr>
        <w:t>-20</w:t>
      </w:r>
      <w:r w:rsidR="00162D29">
        <w:rPr>
          <w:rFonts w:cs="Times New Roman"/>
          <w:szCs w:val="24"/>
        </w:rPr>
        <w:t>7</w:t>
      </w:r>
      <w:r>
        <w:rPr>
          <w:rFonts w:cs="Times New Roman"/>
          <w:szCs w:val="24"/>
        </w:rPr>
        <w:t>).</w:t>
      </w:r>
    </w:p>
    <w:p w14:paraId="4DC7C02C" w14:textId="77777777" w:rsidR="00D379E4" w:rsidRPr="001A3FD1" w:rsidRDefault="00D379E4" w:rsidP="002577C3">
      <w:pPr>
        <w:jc w:val="both"/>
        <w:rPr>
          <w:rFonts w:cs="Times New Roman"/>
          <w:szCs w:val="24"/>
        </w:rPr>
      </w:pPr>
    </w:p>
    <w:p w14:paraId="4FE855E0" w14:textId="37597D5F" w:rsidR="00AF4A7F" w:rsidRPr="00E349F1" w:rsidRDefault="00FD3C5F" w:rsidP="002577C3">
      <w:pPr>
        <w:jc w:val="both"/>
        <w:rPr>
          <w:rFonts w:cs="Times New Roman"/>
          <w:color w:val="4472C4" w:themeColor="accent1"/>
          <w:szCs w:val="24"/>
        </w:rPr>
      </w:pPr>
      <w:r w:rsidRPr="00E349F1">
        <w:rPr>
          <w:rFonts w:cs="Times New Roman"/>
          <w:b/>
          <w:bCs w:val="0"/>
          <w:color w:val="4472C4" w:themeColor="accent1"/>
          <w:szCs w:val="24"/>
        </w:rPr>
        <w:t xml:space="preserve">C11: </w:t>
      </w:r>
      <w:r w:rsidR="00AF4A7F" w:rsidRPr="00E349F1">
        <w:rPr>
          <w:rFonts w:cs="Times New Roman"/>
          <w:color w:val="4472C4" w:themeColor="accent1"/>
          <w:szCs w:val="24"/>
        </w:rPr>
        <w:t xml:space="preserve">Page 11, line 238: </w:t>
      </w:r>
      <w:proofErr w:type="spellStart"/>
      <w:r w:rsidR="00AF4A7F" w:rsidRPr="00E349F1">
        <w:rPr>
          <w:rFonts w:cs="Times New Roman"/>
          <w:color w:val="4472C4" w:themeColor="accent1"/>
          <w:szCs w:val="24"/>
        </w:rPr>
        <w:t>mBasal</w:t>
      </w:r>
      <w:proofErr w:type="spellEnd"/>
      <w:r w:rsidR="00AF4A7F" w:rsidRPr="00E349F1">
        <w:rPr>
          <w:rFonts w:cs="Times New Roman"/>
          <w:color w:val="4472C4" w:themeColor="accent1"/>
          <w:szCs w:val="24"/>
        </w:rPr>
        <w:t xml:space="preserve"> is not a minimal medium. Minimal media are synthetic media consisting of defined chemical composition.</w:t>
      </w:r>
    </w:p>
    <w:p w14:paraId="18C8FD3E" w14:textId="006B5A29" w:rsidR="00E349F1" w:rsidRPr="001A3FD1" w:rsidRDefault="00E349F1" w:rsidP="002577C3">
      <w:pPr>
        <w:jc w:val="both"/>
        <w:rPr>
          <w:rFonts w:cs="Times New Roman"/>
          <w:szCs w:val="24"/>
        </w:rPr>
      </w:pPr>
      <w:r w:rsidRPr="00E349F1">
        <w:rPr>
          <w:rFonts w:cs="Times New Roman"/>
          <w:b/>
          <w:bCs w:val="0"/>
          <w:szCs w:val="24"/>
        </w:rPr>
        <w:t xml:space="preserve">R11: </w:t>
      </w:r>
      <w:r>
        <w:rPr>
          <w:rFonts w:cs="Times New Roman"/>
          <w:szCs w:val="24"/>
        </w:rPr>
        <w:t>We have removed</w:t>
      </w:r>
      <w:r w:rsidR="00153EAE">
        <w:rPr>
          <w:rFonts w:cs="Times New Roman"/>
          <w:szCs w:val="24"/>
        </w:rPr>
        <w:t xml:space="preserve"> all</w:t>
      </w:r>
      <w:r>
        <w:rPr>
          <w:rFonts w:cs="Times New Roman"/>
          <w:szCs w:val="24"/>
        </w:rPr>
        <w:t xml:space="preserve"> </w:t>
      </w:r>
      <w:r w:rsidR="008A6F5E">
        <w:rPr>
          <w:rFonts w:cs="Times New Roman"/>
          <w:szCs w:val="24"/>
        </w:rPr>
        <w:t>references to</w:t>
      </w:r>
      <w:r w:rsidR="00153EAE">
        <w:rPr>
          <w:rFonts w:cs="Times New Roman"/>
          <w:szCs w:val="24"/>
        </w:rPr>
        <w:t xml:space="preserve"> </w:t>
      </w:r>
      <w:proofErr w:type="spellStart"/>
      <w:r>
        <w:rPr>
          <w:rFonts w:cs="Times New Roman"/>
          <w:szCs w:val="24"/>
        </w:rPr>
        <w:t>mBasal</w:t>
      </w:r>
      <w:proofErr w:type="spellEnd"/>
      <w:r>
        <w:rPr>
          <w:rFonts w:cs="Times New Roman"/>
          <w:szCs w:val="24"/>
        </w:rPr>
        <w:t xml:space="preserve"> as a minimal media.</w:t>
      </w:r>
    </w:p>
    <w:p w14:paraId="1F33476C" w14:textId="77777777" w:rsidR="00AF4A7F" w:rsidRPr="001A3FD1" w:rsidRDefault="00AF4A7F" w:rsidP="002577C3">
      <w:pPr>
        <w:jc w:val="both"/>
        <w:rPr>
          <w:rFonts w:cs="Times New Roman"/>
          <w:szCs w:val="24"/>
        </w:rPr>
      </w:pPr>
    </w:p>
    <w:p w14:paraId="12CE860F" w14:textId="641A19A0" w:rsidR="00AF4A7F" w:rsidRPr="004A254F" w:rsidRDefault="009755E7" w:rsidP="002577C3">
      <w:pPr>
        <w:jc w:val="both"/>
        <w:rPr>
          <w:rFonts w:cs="Times New Roman"/>
          <w:color w:val="4472C4" w:themeColor="accent1"/>
          <w:szCs w:val="24"/>
          <w:u w:val="single"/>
        </w:rPr>
      </w:pPr>
      <w:r w:rsidRPr="004A254F">
        <w:rPr>
          <w:rFonts w:cs="Times New Roman"/>
          <w:b/>
          <w:bCs w:val="0"/>
          <w:color w:val="4472C4" w:themeColor="accent1"/>
          <w:szCs w:val="24"/>
          <w:u w:val="single"/>
        </w:rPr>
        <w:t xml:space="preserve">REVIEWER </w:t>
      </w:r>
      <w:r w:rsidR="00AF4A7F" w:rsidRPr="004A254F">
        <w:rPr>
          <w:rFonts w:cs="Times New Roman"/>
          <w:b/>
          <w:bCs w:val="0"/>
          <w:color w:val="4472C4" w:themeColor="accent1"/>
          <w:szCs w:val="24"/>
          <w:u w:val="single"/>
        </w:rPr>
        <w:t>#2</w:t>
      </w:r>
    </w:p>
    <w:p w14:paraId="17F9A3B3" w14:textId="03EA345C" w:rsidR="00AF4A7F" w:rsidRPr="00FE7DC6" w:rsidRDefault="00FE7DC6" w:rsidP="002577C3">
      <w:pPr>
        <w:jc w:val="both"/>
        <w:rPr>
          <w:rFonts w:cs="Times New Roman"/>
          <w:color w:val="4472C4" w:themeColor="accent1"/>
          <w:szCs w:val="24"/>
        </w:rPr>
      </w:pPr>
      <w:r w:rsidRPr="00FE7DC6">
        <w:rPr>
          <w:rFonts w:cs="Times New Roman"/>
          <w:b/>
          <w:bCs w:val="0"/>
          <w:color w:val="4472C4" w:themeColor="accent1"/>
          <w:szCs w:val="24"/>
        </w:rPr>
        <w:t xml:space="preserve">C12: </w:t>
      </w:r>
      <w:r w:rsidR="00AF4A7F" w:rsidRPr="00FE7DC6">
        <w:rPr>
          <w:rFonts w:cs="Times New Roman"/>
          <w:color w:val="4472C4" w:themeColor="accent1"/>
          <w:szCs w:val="24"/>
        </w:rPr>
        <w:t xml:space="preserve">This quite exhaustive and multi-faceted manuscript addresses whether genetic variation at the FUT2 allele can be linked to probiotic engraftment efficiency. It is a topical question, with a few large microbiome GWAS studies recently published, highlighting the role of secretor status and ABO in shaping microbiome composition and structure, in pigs and in humans. This manuscript specifically looks at bifidobacterial persistence after experimental colonization (by gavage) in KO FUT2 mutants in a mice line, which the authors create for this manuscript. A lot of valuable in vitro testing on glycan degradation vs the microbiota is shown. While it has been known for 10+ years that FUT2 polymorphism is associated with </w:t>
      </w:r>
      <w:r w:rsidR="00AF4A7F" w:rsidRPr="00FE7DC6">
        <w:rPr>
          <w:rFonts w:cs="Times New Roman"/>
          <w:i/>
          <w:iCs/>
          <w:color w:val="4472C4" w:themeColor="accent1"/>
          <w:szCs w:val="24"/>
        </w:rPr>
        <w:t>Bifidobacterium</w:t>
      </w:r>
      <w:r w:rsidR="00AF4A7F" w:rsidRPr="00FE7DC6">
        <w:rPr>
          <w:rFonts w:cs="Times New Roman"/>
          <w:color w:val="4472C4" w:themeColor="accent1"/>
          <w:szCs w:val="24"/>
        </w:rPr>
        <w:t xml:space="preserve"> colonization in the human gut, a more precise foray into specific species and their metabolic abilities, or the role of antibiotics, is an interesting aspect of this present manuscript. I also appreciated the study of microbiota from faeces but also small and large intestines.</w:t>
      </w:r>
    </w:p>
    <w:p w14:paraId="5F09D0FC" w14:textId="73B4A8F7" w:rsidR="00AF4A7F" w:rsidRDefault="00FE7DC6" w:rsidP="002577C3">
      <w:pPr>
        <w:jc w:val="both"/>
        <w:rPr>
          <w:rFonts w:cs="Times New Roman"/>
          <w:szCs w:val="24"/>
        </w:rPr>
      </w:pPr>
      <w:r>
        <w:rPr>
          <w:rFonts w:cs="Times New Roman"/>
          <w:szCs w:val="24"/>
        </w:rPr>
        <w:t xml:space="preserve">R12: We thank the </w:t>
      </w:r>
      <w:r w:rsidR="003F04ED">
        <w:rPr>
          <w:rFonts w:cs="Times New Roman"/>
          <w:szCs w:val="24"/>
        </w:rPr>
        <w:t>reviewer for their comments and interest in this work.</w:t>
      </w:r>
    </w:p>
    <w:p w14:paraId="2B8571D2" w14:textId="77777777" w:rsidR="00FE7DC6" w:rsidRPr="001A3FD1" w:rsidRDefault="00FE7DC6" w:rsidP="002577C3">
      <w:pPr>
        <w:jc w:val="both"/>
        <w:rPr>
          <w:rFonts w:cs="Times New Roman"/>
          <w:szCs w:val="24"/>
        </w:rPr>
      </w:pPr>
    </w:p>
    <w:p w14:paraId="16A32DEA" w14:textId="77777777" w:rsidR="00AF4A7F" w:rsidRPr="00244F17" w:rsidRDefault="00AF4A7F" w:rsidP="002577C3">
      <w:pPr>
        <w:jc w:val="both"/>
        <w:rPr>
          <w:rFonts w:cs="Times New Roman"/>
          <w:color w:val="4472C4" w:themeColor="accent1"/>
          <w:szCs w:val="24"/>
        </w:rPr>
      </w:pPr>
      <w:r w:rsidRPr="00244F17">
        <w:rPr>
          <w:rFonts w:cs="Times New Roman"/>
          <w:color w:val="4472C4" w:themeColor="accent1"/>
          <w:szCs w:val="24"/>
        </w:rPr>
        <w:t>General comment:</w:t>
      </w:r>
    </w:p>
    <w:p w14:paraId="643F2BD6" w14:textId="4D2EA51B" w:rsidR="00AF4A7F" w:rsidRPr="00244F17" w:rsidRDefault="003F04ED" w:rsidP="002577C3">
      <w:pPr>
        <w:jc w:val="both"/>
        <w:rPr>
          <w:rFonts w:cs="Times New Roman"/>
          <w:color w:val="4472C4" w:themeColor="accent1"/>
          <w:szCs w:val="24"/>
        </w:rPr>
      </w:pPr>
      <w:r w:rsidRPr="00ED6BDC">
        <w:rPr>
          <w:rFonts w:cs="Times New Roman"/>
          <w:b/>
          <w:bCs w:val="0"/>
          <w:color w:val="4472C4" w:themeColor="accent1"/>
          <w:szCs w:val="24"/>
        </w:rPr>
        <w:t>C13</w:t>
      </w:r>
      <w:r w:rsidRPr="00244F17">
        <w:rPr>
          <w:rFonts w:cs="Times New Roman"/>
          <w:b/>
          <w:bCs w:val="0"/>
          <w:color w:val="4472C4" w:themeColor="accent1"/>
          <w:szCs w:val="24"/>
        </w:rPr>
        <w:t xml:space="preserve">: </w:t>
      </w:r>
      <w:r w:rsidR="00AF4A7F" w:rsidRPr="00244F17">
        <w:rPr>
          <w:rFonts w:cs="Times New Roman"/>
          <w:color w:val="4472C4" w:themeColor="accent1"/>
          <w:szCs w:val="24"/>
        </w:rPr>
        <w:t xml:space="preserve">I found the absence of consideration of blood antigens/ABO phenotypes in the interpretation a bit puzzling. (For instance, at lines 79-81 when authors say that "FUT2 controls the nature of the glycans secreted by mucosal surfaces". It does but it also doesn't, as it very much depends on what glycans there are to secrete). Indeed, a lot of the current </w:t>
      </w:r>
      <w:r w:rsidR="00AF4A7F" w:rsidRPr="00244F17">
        <w:rPr>
          <w:rFonts w:cs="Times New Roman"/>
          <w:color w:val="4472C4" w:themeColor="accent1"/>
          <w:szCs w:val="24"/>
        </w:rPr>
        <w:lastRenderedPageBreak/>
        <w:t xml:space="preserve">FUT2/microbiome hypothesis has to do with the fact that blood antigens (confusingly named as not just from blood cells) are secreted in the gut </w:t>
      </w:r>
      <w:proofErr w:type="gramStart"/>
      <w:r w:rsidR="00AF4A7F" w:rsidRPr="00244F17">
        <w:rPr>
          <w:rFonts w:cs="Times New Roman"/>
          <w:color w:val="4472C4" w:themeColor="accent1"/>
          <w:szCs w:val="24"/>
        </w:rPr>
        <w:t>mucosa, and</w:t>
      </w:r>
      <w:proofErr w:type="gramEnd"/>
      <w:r w:rsidR="00AF4A7F" w:rsidRPr="00244F17">
        <w:rPr>
          <w:rFonts w:cs="Times New Roman"/>
          <w:color w:val="4472C4" w:themeColor="accent1"/>
          <w:szCs w:val="24"/>
        </w:rPr>
        <w:t xml:space="preserve"> used by the microbiota there. It does mean that in blood type O individuals, the secretor status does not influence anything. This has been shown recently in a few publications (Qin et al Nat Gen 2022; Yang et al. Nature 2022; </w:t>
      </w:r>
      <w:proofErr w:type="spellStart"/>
      <w:r w:rsidR="00AF4A7F" w:rsidRPr="00244F17">
        <w:rPr>
          <w:rFonts w:cs="Times New Roman"/>
          <w:color w:val="4472C4" w:themeColor="accent1"/>
          <w:szCs w:val="24"/>
        </w:rPr>
        <w:t>Zhernakova</w:t>
      </w:r>
      <w:proofErr w:type="spellEnd"/>
      <w:r w:rsidR="00AF4A7F" w:rsidRPr="00244F17">
        <w:rPr>
          <w:rFonts w:cs="Times New Roman"/>
          <w:color w:val="4472C4" w:themeColor="accent1"/>
          <w:szCs w:val="24"/>
        </w:rPr>
        <w:t xml:space="preserve"> et al. Nature 2024). I am not familiar with blood types in mice, and authors did test for glycan utilisation in their model of study, but surely there are similarities and parallels to be drawn.</w:t>
      </w:r>
    </w:p>
    <w:p w14:paraId="3F466ED2" w14:textId="2ED77E7A" w:rsidR="001E73EB" w:rsidRPr="00422AC3" w:rsidRDefault="00244F17" w:rsidP="002577C3">
      <w:pPr>
        <w:jc w:val="both"/>
        <w:rPr>
          <w:rFonts w:cs="Times New Roman"/>
          <w:szCs w:val="24"/>
        </w:rPr>
      </w:pPr>
      <w:r w:rsidRPr="00422AC3">
        <w:rPr>
          <w:rFonts w:cs="Times New Roman"/>
          <w:b/>
          <w:bCs w:val="0"/>
          <w:szCs w:val="24"/>
        </w:rPr>
        <w:t>R1</w:t>
      </w:r>
      <w:r w:rsidR="008E621E">
        <w:rPr>
          <w:rFonts w:cs="Times New Roman"/>
          <w:b/>
          <w:bCs w:val="0"/>
          <w:szCs w:val="24"/>
        </w:rPr>
        <w:t>3</w:t>
      </w:r>
      <w:r w:rsidRPr="00422AC3">
        <w:rPr>
          <w:rFonts w:cs="Times New Roman"/>
          <w:b/>
          <w:bCs w:val="0"/>
          <w:szCs w:val="24"/>
        </w:rPr>
        <w:t xml:space="preserve">: </w:t>
      </w:r>
      <w:r w:rsidR="00D43AA3" w:rsidRPr="00422AC3">
        <w:rPr>
          <w:rFonts w:cs="Times New Roman"/>
          <w:szCs w:val="24"/>
        </w:rPr>
        <w:t>We</w:t>
      </w:r>
      <w:r w:rsidR="00D43AA3" w:rsidRPr="00422AC3">
        <w:rPr>
          <w:rFonts w:cs="Times New Roman"/>
          <w:b/>
          <w:bCs w:val="0"/>
          <w:szCs w:val="24"/>
        </w:rPr>
        <w:t xml:space="preserve"> </w:t>
      </w:r>
      <w:r w:rsidR="00D43AA3" w:rsidRPr="00422AC3">
        <w:rPr>
          <w:rFonts w:cs="Times New Roman"/>
          <w:szCs w:val="24"/>
        </w:rPr>
        <w:t xml:space="preserve">acknowledge the reviewer’s query and would like to provide further clarification. Indeed, </w:t>
      </w:r>
      <w:r w:rsidR="009E34BE" w:rsidRPr="00422AC3">
        <w:rPr>
          <w:rFonts w:cs="Times New Roman"/>
          <w:szCs w:val="24"/>
        </w:rPr>
        <w:t xml:space="preserve">in humans, </w:t>
      </w:r>
      <w:r w:rsidR="00D43AA3" w:rsidRPr="00422AC3">
        <w:rPr>
          <w:rFonts w:cs="Times New Roman"/>
          <w:i/>
          <w:iCs/>
          <w:szCs w:val="24"/>
        </w:rPr>
        <w:t>F</w:t>
      </w:r>
      <w:r w:rsidR="001E73EB" w:rsidRPr="00422AC3">
        <w:rPr>
          <w:rFonts w:cs="Times New Roman"/>
          <w:i/>
          <w:iCs/>
          <w:szCs w:val="24"/>
        </w:rPr>
        <w:t>UT</w:t>
      </w:r>
      <w:r w:rsidR="00D43AA3" w:rsidRPr="00422AC3">
        <w:rPr>
          <w:rFonts w:cs="Times New Roman"/>
          <w:i/>
          <w:iCs/>
          <w:szCs w:val="24"/>
        </w:rPr>
        <w:t>2</w:t>
      </w:r>
      <w:r w:rsidR="00D43AA3" w:rsidRPr="00422AC3">
        <w:rPr>
          <w:rFonts w:cs="Times New Roman"/>
          <w:szCs w:val="24"/>
        </w:rPr>
        <w:t xml:space="preserve"> is responsible for the generation of the H antigen, which can be further modified to give the </w:t>
      </w:r>
      <w:proofErr w:type="spellStart"/>
      <w:r w:rsidR="009E34BE" w:rsidRPr="00422AC3">
        <w:rPr>
          <w:rFonts w:cs="Times New Roman"/>
          <w:szCs w:val="24"/>
        </w:rPr>
        <w:t>O</w:t>
      </w:r>
      <w:r w:rsidR="00D43AA3" w:rsidRPr="00422AC3">
        <w:rPr>
          <w:rFonts w:cs="Times New Roman"/>
          <w:szCs w:val="24"/>
        </w:rPr>
        <w:t>Lewis</w:t>
      </w:r>
      <w:r w:rsidR="00D43AA3" w:rsidRPr="00422AC3">
        <w:rPr>
          <w:rFonts w:cs="Times New Roman"/>
          <w:szCs w:val="24"/>
          <w:vertAlign w:val="superscript"/>
        </w:rPr>
        <w:t>b</w:t>
      </w:r>
      <w:proofErr w:type="spellEnd"/>
      <w:r w:rsidR="00D43AA3" w:rsidRPr="00422AC3">
        <w:rPr>
          <w:rFonts w:cs="Times New Roman"/>
          <w:szCs w:val="24"/>
        </w:rPr>
        <w:t xml:space="preserve">, </w:t>
      </w:r>
      <w:proofErr w:type="spellStart"/>
      <w:r w:rsidR="00D43AA3" w:rsidRPr="00422AC3">
        <w:rPr>
          <w:rFonts w:cs="Times New Roman"/>
          <w:szCs w:val="24"/>
        </w:rPr>
        <w:t>A</w:t>
      </w:r>
      <w:r w:rsidR="009E34BE" w:rsidRPr="00422AC3">
        <w:rPr>
          <w:rFonts w:cs="Times New Roman"/>
          <w:szCs w:val="24"/>
        </w:rPr>
        <w:t>Lewis</w:t>
      </w:r>
      <w:r w:rsidR="009E34BE" w:rsidRPr="00422AC3">
        <w:rPr>
          <w:rFonts w:cs="Times New Roman"/>
          <w:szCs w:val="24"/>
          <w:vertAlign w:val="superscript"/>
        </w:rPr>
        <w:t>b</w:t>
      </w:r>
      <w:proofErr w:type="spellEnd"/>
      <w:r w:rsidR="00D43AA3" w:rsidRPr="00422AC3">
        <w:rPr>
          <w:rFonts w:cs="Times New Roman"/>
          <w:szCs w:val="24"/>
        </w:rPr>
        <w:t xml:space="preserve">, </w:t>
      </w:r>
      <w:r w:rsidR="009E34BE" w:rsidRPr="00422AC3">
        <w:rPr>
          <w:rFonts w:cs="Times New Roman"/>
          <w:szCs w:val="24"/>
        </w:rPr>
        <w:t xml:space="preserve">or </w:t>
      </w:r>
      <w:proofErr w:type="spellStart"/>
      <w:r w:rsidR="00D43AA3" w:rsidRPr="00422AC3">
        <w:rPr>
          <w:rFonts w:cs="Times New Roman"/>
          <w:szCs w:val="24"/>
        </w:rPr>
        <w:t>B</w:t>
      </w:r>
      <w:r w:rsidR="009E34BE" w:rsidRPr="00422AC3">
        <w:rPr>
          <w:rFonts w:cs="Times New Roman"/>
          <w:szCs w:val="24"/>
        </w:rPr>
        <w:t>Lewis</w:t>
      </w:r>
      <w:r w:rsidR="009E34BE" w:rsidRPr="00422AC3">
        <w:rPr>
          <w:rFonts w:cs="Times New Roman"/>
          <w:szCs w:val="24"/>
          <w:vertAlign w:val="superscript"/>
        </w:rPr>
        <w:t>b</w:t>
      </w:r>
      <w:proofErr w:type="spellEnd"/>
      <w:r w:rsidR="00D43AA3" w:rsidRPr="00422AC3">
        <w:rPr>
          <w:rFonts w:cs="Times New Roman"/>
          <w:szCs w:val="24"/>
        </w:rPr>
        <w:t xml:space="preserve"> antigens (provided in the figure below, PMID: 30845670). </w:t>
      </w:r>
      <w:r w:rsidR="008B02AF" w:rsidRPr="00422AC3">
        <w:rPr>
          <w:rFonts w:cs="Times New Roman"/>
          <w:szCs w:val="24"/>
        </w:rPr>
        <w:t xml:space="preserve">Each of these glycans can modulate the competitive advantage of </w:t>
      </w:r>
      <w:proofErr w:type="gramStart"/>
      <w:r w:rsidR="008B02AF" w:rsidRPr="00422AC3">
        <w:rPr>
          <w:rFonts w:cs="Times New Roman"/>
          <w:szCs w:val="24"/>
        </w:rPr>
        <w:t>particular microbes</w:t>
      </w:r>
      <w:proofErr w:type="gramEnd"/>
      <w:r w:rsidR="009E34BE" w:rsidRPr="00422AC3">
        <w:rPr>
          <w:rFonts w:cs="Times New Roman"/>
          <w:szCs w:val="24"/>
        </w:rPr>
        <w:t xml:space="preserve"> capable of cleaving the oligosaccharide constituents</w:t>
      </w:r>
      <w:r w:rsidR="008B02AF" w:rsidRPr="00422AC3">
        <w:rPr>
          <w:rFonts w:cs="Times New Roman"/>
          <w:szCs w:val="24"/>
        </w:rPr>
        <w:t xml:space="preserve">. </w:t>
      </w:r>
      <w:r w:rsidR="001E73EB" w:rsidRPr="00422AC3">
        <w:rPr>
          <w:rFonts w:cs="Times New Roman"/>
          <w:szCs w:val="24"/>
        </w:rPr>
        <w:t xml:space="preserve">In the absence of </w:t>
      </w:r>
      <w:r w:rsidR="001E73EB" w:rsidRPr="00422AC3">
        <w:rPr>
          <w:rFonts w:cs="Times New Roman"/>
          <w:i/>
          <w:iCs/>
          <w:szCs w:val="24"/>
        </w:rPr>
        <w:t>FUT2</w:t>
      </w:r>
      <w:r w:rsidR="001E73EB" w:rsidRPr="00422AC3">
        <w:rPr>
          <w:rFonts w:cs="Times New Roman"/>
          <w:szCs w:val="24"/>
        </w:rPr>
        <w:t xml:space="preserve">, </w:t>
      </w:r>
      <w:r w:rsidR="009E34BE" w:rsidRPr="00422AC3">
        <w:rPr>
          <w:rFonts w:cs="Times New Roman"/>
          <w:szCs w:val="24"/>
        </w:rPr>
        <w:t xml:space="preserve">these </w:t>
      </w:r>
      <w:proofErr w:type="spellStart"/>
      <w:r w:rsidR="009E34BE" w:rsidRPr="00422AC3">
        <w:rPr>
          <w:rFonts w:cs="Times New Roman"/>
          <w:szCs w:val="24"/>
        </w:rPr>
        <w:t>Lewis</w:t>
      </w:r>
      <w:r w:rsidR="009E34BE" w:rsidRPr="00422AC3">
        <w:rPr>
          <w:rFonts w:cs="Times New Roman"/>
          <w:szCs w:val="24"/>
          <w:vertAlign w:val="superscript"/>
        </w:rPr>
        <w:t>b</w:t>
      </w:r>
      <w:proofErr w:type="spellEnd"/>
      <w:r w:rsidR="009E34BE" w:rsidRPr="00422AC3">
        <w:rPr>
          <w:rFonts w:cs="Times New Roman"/>
          <w:szCs w:val="24"/>
        </w:rPr>
        <w:t xml:space="preserve"> antigens </w:t>
      </w:r>
      <w:r w:rsidR="001E73EB" w:rsidRPr="00422AC3">
        <w:rPr>
          <w:rFonts w:cs="Times New Roman"/>
          <w:szCs w:val="24"/>
        </w:rPr>
        <w:t>are not displayed</w:t>
      </w:r>
      <w:r w:rsidR="004E6FE1" w:rsidRPr="00422AC3">
        <w:rPr>
          <w:rFonts w:cs="Times New Roman"/>
          <w:szCs w:val="24"/>
        </w:rPr>
        <w:t xml:space="preserve">, leading to a </w:t>
      </w:r>
      <w:proofErr w:type="spellStart"/>
      <w:r w:rsidR="004E6FE1" w:rsidRPr="00422AC3">
        <w:rPr>
          <w:rFonts w:cs="Times New Roman"/>
          <w:szCs w:val="24"/>
        </w:rPr>
        <w:t>Lewis</w:t>
      </w:r>
      <w:r w:rsidR="004E6FE1" w:rsidRPr="00422AC3">
        <w:rPr>
          <w:rFonts w:cs="Times New Roman"/>
          <w:szCs w:val="24"/>
          <w:vertAlign w:val="superscript"/>
        </w:rPr>
        <w:t>a</w:t>
      </w:r>
      <w:proofErr w:type="spellEnd"/>
      <w:r w:rsidR="004E6FE1" w:rsidRPr="00422AC3">
        <w:rPr>
          <w:rFonts w:cs="Times New Roman"/>
          <w:szCs w:val="24"/>
        </w:rPr>
        <w:t xml:space="preserve"> antigen</w:t>
      </w:r>
      <w:r w:rsidR="001E73EB" w:rsidRPr="00422AC3">
        <w:rPr>
          <w:rFonts w:cs="Times New Roman"/>
          <w:szCs w:val="24"/>
        </w:rPr>
        <w:t xml:space="preserve">. </w:t>
      </w:r>
    </w:p>
    <w:p w14:paraId="2AF98A6D" w14:textId="26E20823" w:rsidR="00A43E88" w:rsidRPr="00422AC3" w:rsidRDefault="008B02AF" w:rsidP="002577C3">
      <w:pPr>
        <w:jc w:val="both"/>
        <w:rPr>
          <w:rFonts w:cs="Times New Roman"/>
          <w:szCs w:val="24"/>
        </w:rPr>
      </w:pPr>
      <w:r w:rsidRPr="00422AC3">
        <w:rPr>
          <w:rFonts w:cs="Times New Roman"/>
          <w:szCs w:val="24"/>
        </w:rPr>
        <w:t>The reviewer correctly notes that the</w:t>
      </w:r>
      <w:r w:rsidR="001E73EB" w:rsidRPr="00422AC3">
        <w:rPr>
          <w:rFonts w:cs="Times New Roman"/>
          <w:szCs w:val="24"/>
        </w:rPr>
        <w:t xml:space="preserve"> ability to secrete either</w:t>
      </w:r>
      <w:r w:rsidRPr="00422AC3">
        <w:rPr>
          <w:rFonts w:cs="Times New Roman"/>
          <w:szCs w:val="24"/>
        </w:rPr>
        <w:t xml:space="preserve"> A </w:t>
      </w:r>
      <w:r w:rsidR="001E73EB" w:rsidRPr="00422AC3">
        <w:rPr>
          <w:rFonts w:cs="Times New Roman"/>
          <w:szCs w:val="24"/>
        </w:rPr>
        <w:t xml:space="preserve">or </w:t>
      </w:r>
      <w:r w:rsidRPr="00422AC3">
        <w:rPr>
          <w:rFonts w:cs="Times New Roman"/>
          <w:szCs w:val="24"/>
        </w:rPr>
        <w:t>B blood group glycans have been shown to influence</w:t>
      </w:r>
      <w:r w:rsidR="001E73EB" w:rsidRPr="00422AC3">
        <w:rPr>
          <w:rFonts w:cs="Times New Roman"/>
          <w:szCs w:val="24"/>
        </w:rPr>
        <w:t xml:space="preserve"> key members of the gut microbiota</w:t>
      </w:r>
      <w:r w:rsidR="00591367" w:rsidRPr="00422AC3">
        <w:rPr>
          <w:rFonts w:cs="Times New Roman"/>
          <w:szCs w:val="24"/>
        </w:rPr>
        <w:t xml:space="preserve"> in humans</w:t>
      </w:r>
      <w:r w:rsidR="001E73EB" w:rsidRPr="00422AC3">
        <w:rPr>
          <w:rFonts w:cs="Times New Roman"/>
          <w:szCs w:val="24"/>
        </w:rPr>
        <w:t xml:space="preserve">. In mice, </w:t>
      </w:r>
      <w:r w:rsidR="00591367" w:rsidRPr="00422AC3">
        <w:rPr>
          <w:rFonts w:cs="Times New Roman"/>
          <w:szCs w:val="24"/>
        </w:rPr>
        <w:t xml:space="preserve">however, </w:t>
      </w:r>
      <w:r w:rsidR="001E73EB" w:rsidRPr="00422AC3">
        <w:rPr>
          <w:rFonts w:cs="Times New Roman"/>
          <w:szCs w:val="24"/>
        </w:rPr>
        <w:t>th</w:t>
      </w:r>
      <w:r w:rsidR="00591367" w:rsidRPr="00422AC3">
        <w:rPr>
          <w:rFonts w:cs="Times New Roman"/>
          <w:szCs w:val="24"/>
        </w:rPr>
        <w:t xml:space="preserve">ere is no further modification of the H antigen </w:t>
      </w:r>
      <w:r w:rsidR="009E34BE" w:rsidRPr="00422AC3">
        <w:rPr>
          <w:rFonts w:cs="Times New Roman"/>
          <w:szCs w:val="24"/>
        </w:rPr>
        <w:t xml:space="preserve">by </w:t>
      </w:r>
      <w:r w:rsidR="009E34BE" w:rsidRPr="00422AC3">
        <w:rPr>
          <w:rFonts w:cs="Times New Roman"/>
          <w:i/>
          <w:iCs/>
          <w:szCs w:val="24"/>
        </w:rPr>
        <w:t>Fut3</w:t>
      </w:r>
      <w:r w:rsidR="00A43E88" w:rsidRPr="00422AC3">
        <w:rPr>
          <w:rFonts w:cs="Times New Roman"/>
          <w:szCs w:val="24"/>
        </w:rPr>
        <w:t xml:space="preserve">. </w:t>
      </w:r>
      <w:r w:rsidR="008C65AA" w:rsidRPr="00422AC3">
        <w:rPr>
          <w:rFonts w:cs="Times New Roman"/>
          <w:szCs w:val="24"/>
        </w:rPr>
        <w:t xml:space="preserve">Therefore, </w:t>
      </w:r>
      <w:r w:rsidR="00A43E88" w:rsidRPr="00422AC3">
        <w:rPr>
          <w:rFonts w:cs="Times New Roman"/>
          <w:szCs w:val="24"/>
        </w:rPr>
        <w:t>the experiment</w:t>
      </w:r>
      <w:r w:rsidR="008C65AA" w:rsidRPr="00422AC3">
        <w:rPr>
          <w:rFonts w:cs="Times New Roman"/>
          <w:szCs w:val="24"/>
        </w:rPr>
        <w:t xml:space="preserve">s performed here represent the blue box of the below figure, with the terminal antigens of </w:t>
      </w:r>
      <w:r w:rsidR="008C65AA" w:rsidRPr="00422AC3">
        <w:rPr>
          <w:rFonts w:cs="Times New Roman"/>
          <w:i/>
          <w:iCs/>
          <w:szCs w:val="24"/>
        </w:rPr>
        <w:t>Fut2</w:t>
      </w:r>
      <w:r w:rsidR="008C65AA" w:rsidRPr="00422AC3">
        <w:rPr>
          <w:rFonts w:cs="Times New Roman"/>
          <w:szCs w:val="24"/>
          <w:vertAlign w:val="superscript"/>
        </w:rPr>
        <w:t xml:space="preserve">WT </w:t>
      </w:r>
      <w:r w:rsidR="008C65AA" w:rsidRPr="00422AC3">
        <w:rPr>
          <w:rFonts w:cs="Times New Roman"/>
          <w:szCs w:val="24"/>
        </w:rPr>
        <w:t xml:space="preserve">being the H type 1 antigen, while those of </w:t>
      </w:r>
      <w:r w:rsidR="008C65AA" w:rsidRPr="00422AC3">
        <w:rPr>
          <w:rFonts w:cs="Times New Roman"/>
          <w:i/>
          <w:iCs/>
          <w:szCs w:val="24"/>
        </w:rPr>
        <w:t>Fut2</w:t>
      </w:r>
      <w:r w:rsidR="008C65AA" w:rsidRPr="00422AC3">
        <w:rPr>
          <w:rFonts w:cs="Times New Roman"/>
          <w:szCs w:val="24"/>
          <w:vertAlign w:val="superscript"/>
        </w:rPr>
        <w:t xml:space="preserve">KO </w:t>
      </w:r>
      <w:r w:rsidR="008C65AA" w:rsidRPr="00422AC3">
        <w:rPr>
          <w:rFonts w:cs="Times New Roman"/>
          <w:szCs w:val="24"/>
        </w:rPr>
        <w:t>being the H type 1 precursor.</w:t>
      </w:r>
    </w:p>
    <w:p w14:paraId="6681A7F3" w14:textId="5DF1AEBA" w:rsidR="00AF4A7F" w:rsidRDefault="001E73EB" w:rsidP="002577C3">
      <w:pPr>
        <w:jc w:val="both"/>
        <w:rPr>
          <w:rFonts w:cs="Times New Roman"/>
          <w:szCs w:val="24"/>
        </w:rPr>
      </w:pPr>
      <w:r w:rsidRPr="00422AC3">
        <w:rPr>
          <w:rFonts w:cs="Times New Roman"/>
          <w:szCs w:val="24"/>
        </w:rPr>
        <w:t xml:space="preserve">It should be noted that </w:t>
      </w:r>
      <w:r w:rsidR="004E6FE1" w:rsidRPr="00422AC3">
        <w:rPr>
          <w:rFonts w:cs="Times New Roman"/>
          <w:szCs w:val="24"/>
        </w:rPr>
        <w:t xml:space="preserve">even in humans, </w:t>
      </w:r>
      <w:r w:rsidRPr="00422AC3">
        <w:rPr>
          <w:rFonts w:cs="Times New Roman"/>
          <w:szCs w:val="24"/>
        </w:rPr>
        <w:t xml:space="preserve">a </w:t>
      </w:r>
      <w:proofErr w:type="spellStart"/>
      <w:r w:rsidRPr="00422AC3">
        <w:rPr>
          <w:rFonts w:cs="Times New Roman"/>
          <w:szCs w:val="24"/>
        </w:rPr>
        <w:t>secretor</w:t>
      </w:r>
      <w:proofErr w:type="spellEnd"/>
      <w:r w:rsidRPr="00422AC3">
        <w:rPr>
          <w:rFonts w:cs="Times New Roman"/>
          <w:szCs w:val="24"/>
        </w:rPr>
        <w:t xml:space="preserve"> O blood group and a non-secretor O blood group are not the same (as depicted below). </w:t>
      </w:r>
      <w:r w:rsidR="004E6FE1" w:rsidRPr="00422AC3">
        <w:rPr>
          <w:rFonts w:cs="Times New Roman"/>
          <w:szCs w:val="24"/>
        </w:rPr>
        <w:t>The impact of this on the gut microbiome</w:t>
      </w:r>
      <w:r w:rsidR="00ED6BDC" w:rsidRPr="00422AC3">
        <w:rPr>
          <w:rFonts w:cs="Times New Roman"/>
          <w:szCs w:val="24"/>
        </w:rPr>
        <w:t>,</w:t>
      </w:r>
      <w:r w:rsidR="004E6FE1" w:rsidRPr="00422AC3">
        <w:rPr>
          <w:rFonts w:cs="Times New Roman"/>
          <w:szCs w:val="24"/>
        </w:rPr>
        <w:t xml:space="preserve"> in humans</w:t>
      </w:r>
      <w:r w:rsidR="00ED6BDC" w:rsidRPr="00422AC3">
        <w:rPr>
          <w:rFonts w:cs="Times New Roman"/>
          <w:szCs w:val="24"/>
        </w:rPr>
        <w:t>,</w:t>
      </w:r>
      <w:r w:rsidR="004E6FE1" w:rsidRPr="00422AC3">
        <w:rPr>
          <w:rFonts w:cs="Times New Roman"/>
          <w:szCs w:val="24"/>
        </w:rPr>
        <w:t xml:space="preserve"> is evidenced by studies reporting an association between H antigen concentrations and gut microbiome characteristics (e.g. PMID: 36678342).</w:t>
      </w:r>
    </w:p>
    <w:p w14:paraId="1B3EA8BE" w14:textId="4455478D" w:rsidR="00D43AA3" w:rsidRDefault="009E34BE" w:rsidP="002577C3">
      <w:pPr>
        <w:jc w:val="both"/>
        <w:rPr>
          <w:rFonts w:cs="Times New Roman"/>
          <w:szCs w:val="24"/>
        </w:rPr>
      </w:pPr>
      <w:r>
        <w:rPr>
          <w:rFonts w:cs="Times New Roman"/>
          <w:noProof/>
          <w:szCs w:val="24"/>
        </w:rPr>
        <w:drawing>
          <wp:inline distT="0" distB="0" distL="0" distR="0" wp14:anchorId="6771562D" wp14:editId="32BE50C4">
            <wp:extent cx="4095750" cy="2890158"/>
            <wp:effectExtent l="0" t="0" r="0" b="5715"/>
            <wp:docPr id="536959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1936" cy="2894523"/>
                    </a:xfrm>
                    <a:prstGeom prst="rect">
                      <a:avLst/>
                    </a:prstGeom>
                    <a:noFill/>
                  </pic:spPr>
                </pic:pic>
              </a:graphicData>
            </a:graphic>
          </wp:inline>
        </w:drawing>
      </w:r>
    </w:p>
    <w:p w14:paraId="729A28BE" w14:textId="77777777" w:rsidR="009755E7" w:rsidRDefault="00FA428C" w:rsidP="002577C3">
      <w:pPr>
        <w:jc w:val="both"/>
        <w:rPr>
          <w:rFonts w:cs="Times New Roman"/>
          <w:color w:val="4472C4" w:themeColor="accent1"/>
          <w:szCs w:val="24"/>
        </w:rPr>
      </w:pPr>
      <w:r>
        <w:rPr>
          <w:rFonts w:cs="Times New Roman"/>
          <w:color w:val="4472C4" w:themeColor="accent1"/>
          <w:szCs w:val="24"/>
        </w:rPr>
        <w:br/>
      </w:r>
    </w:p>
    <w:p w14:paraId="430CE70F" w14:textId="77777777" w:rsidR="009755E7" w:rsidRDefault="009755E7" w:rsidP="002577C3">
      <w:pPr>
        <w:jc w:val="both"/>
        <w:rPr>
          <w:rFonts w:cs="Times New Roman"/>
          <w:color w:val="4472C4" w:themeColor="accent1"/>
          <w:szCs w:val="24"/>
        </w:rPr>
      </w:pPr>
    </w:p>
    <w:p w14:paraId="1715151C" w14:textId="1F19FD08" w:rsidR="00AF4A7F" w:rsidRPr="0065642E" w:rsidRDefault="00AF4A7F" w:rsidP="002577C3">
      <w:pPr>
        <w:jc w:val="both"/>
        <w:rPr>
          <w:rFonts w:cs="Times New Roman"/>
          <w:color w:val="4472C4" w:themeColor="accent1"/>
          <w:szCs w:val="24"/>
        </w:rPr>
      </w:pPr>
      <w:r w:rsidRPr="0065642E">
        <w:rPr>
          <w:rFonts w:cs="Times New Roman"/>
          <w:color w:val="4472C4" w:themeColor="accent1"/>
          <w:szCs w:val="24"/>
        </w:rPr>
        <w:t>Minor comments:</w:t>
      </w:r>
    </w:p>
    <w:p w14:paraId="4CA327FF" w14:textId="56E71B57" w:rsidR="00AF4A7F" w:rsidRPr="0065642E" w:rsidRDefault="003F04ED" w:rsidP="002577C3">
      <w:pPr>
        <w:jc w:val="both"/>
        <w:rPr>
          <w:rFonts w:cs="Times New Roman"/>
          <w:color w:val="4472C4" w:themeColor="accent1"/>
          <w:szCs w:val="24"/>
        </w:rPr>
      </w:pPr>
      <w:r w:rsidRPr="0065642E">
        <w:rPr>
          <w:rFonts w:cs="Times New Roman"/>
          <w:b/>
          <w:bCs w:val="0"/>
          <w:color w:val="4472C4" w:themeColor="accent1"/>
          <w:szCs w:val="24"/>
        </w:rPr>
        <w:lastRenderedPageBreak/>
        <w:t xml:space="preserve">C14: </w:t>
      </w:r>
      <w:r w:rsidR="00AF4A7F" w:rsidRPr="0065642E">
        <w:rPr>
          <w:rFonts w:cs="Times New Roman"/>
          <w:color w:val="4472C4" w:themeColor="accent1"/>
          <w:szCs w:val="24"/>
        </w:rPr>
        <w:t xml:space="preserve">Line 98-99: Authors did check </w:t>
      </w:r>
      <w:proofErr w:type="gramStart"/>
      <w:r w:rsidR="00AF4A7F" w:rsidRPr="0065642E">
        <w:rPr>
          <w:rFonts w:cs="Times New Roman"/>
          <w:color w:val="4472C4" w:themeColor="accent1"/>
          <w:szCs w:val="24"/>
        </w:rPr>
        <w:t>later on</w:t>
      </w:r>
      <w:proofErr w:type="gramEnd"/>
      <w:r w:rsidR="00AF4A7F" w:rsidRPr="0065642E">
        <w:rPr>
          <w:rFonts w:cs="Times New Roman"/>
          <w:color w:val="4472C4" w:themeColor="accent1"/>
          <w:szCs w:val="24"/>
        </w:rPr>
        <w:t xml:space="preserve"> the glycan-degrading abilities of the 3 strains they used </w:t>
      </w:r>
      <w:r w:rsidR="00AF4A7F" w:rsidRPr="0065642E">
        <w:rPr>
          <w:rFonts w:cs="Times New Roman"/>
          <w:i/>
          <w:iCs/>
          <w:color w:val="4472C4" w:themeColor="accent1"/>
          <w:szCs w:val="24"/>
        </w:rPr>
        <w:t>in vitro</w:t>
      </w:r>
      <w:r w:rsidR="00AF4A7F" w:rsidRPr="0065642E">
        <w:rPr>
          <w:rFonts w:cs="Times New Roman"/>
          <w:color w:val="4472C4" w:themeColor="accent1"/>
          <w:szCs w:val="24"/>
        </w:rPr>
        <w:t xml:space="preserve">, but could there be a reference to cite there to explain how it was established that some of the cited species degrade glycans or not there? Is there strain variation there? What bacterial genes are responsible? If not, is it something worth considering showing in this manuscript? (i.e. characterising a large collection of reference genomes for glycan-degrading pathways)? In general, I feel that for publication in a microbial ecology journal, there </w:t>
      </w:r>
      <w:proofErr w:type="gramStart"/>
      <w:r w:rsidR="00AF4A7F" w:rsidRPr="0065642E">
        <w:rPr>
          <w:rFonts w:cs="Times New Roman"/>
          <w:color w:val="4472C4" w:themeColor="accent1"/>
          <w:szCs w:val="24"/>
        </w:rPr>
        <w:t>has to</w:t>
      </w:r>
      <w:proofErr w:type="gramEnd"/>
      <w:r w:rsidR="00AF4A7F" w:rsidRPr="0065642E">
        <w:rPr>
          <w:rFonts w:cs="Times New Roman"/>
          <w:color w:val="4472C4" w:themeColor="accent1"/>
          <w:szCs w:val="24"/>
        </w:rPr>
        <w:t xml:space="preserve"> be some attempt to link the ecology of microbial glycan degradation to the presented results</w:t>
      </w:r>
      <w:r w:rsidR="0065642E" w:rsidRPr="0065642E">
        <w:rPr>
          <w:rFonts w:cs="Times New Roman"/>
          <w:color w:val="4472C4" w:themeColor="accent1"/>
          <w:szCs w:val="24"/>
        </w:rPr>
        <w:t>.</w:t>
      </w:r>
    </w:p>
    <w:p w14:paraId="4808A7FC" w14:textId="2C5CBA84" w:rsidR="008E621E" w:rsidRPr="0065642E" w:rsidRDefault="008E621E" w:rsidP="002577C3">
      <w:pPr>
        <w:jc w:val="both"/>
        <w:rPr>
          <w:rFonts w:cs="Times New Roman"/>
          <w:szCs w:val="24"/>
        </w:rPr>
      </w:pPr>
      <w:r w:rsidRPr="0065642E">
        <w:rPr>
          <w:rFonts w:cs="Times New Roman"/>
          <w:b/>
          <w:bCs w:val="0"/>
          <w:szCs w:val="24"/>
        </w:rPr>
        <w:t>R14:</w:t>
      </w:r>
      <w:r>
        <w:rPr>
          <w:rFonts w:cs="Times New Roman"/>
          <w:b/>
          <w:bCs w:val="0"/>
          <w:szCs w:val="24"/>
        </w:rPr>
        <w:t xml:space="preserve"> </w:t>
      </w:r>
      <w:r>
        <w:rPr>
          <w:rFonts w:cs="Times New Roman"/>
          <w:szCs w:val="24"/>
        </w:rPr>
        <w:t xml:space="preserve">We acknowledge that the submitted manuscript lacked detail around the genes responsible for glycan degradation. The need to discuss the role of </w:t>
      </w:r>
      <w:r w:rsidRPr="0065642E">
        <w:rPr>
          <w:rFonts w:cs="Times New Roman"/>
          <w:szCs w:val="24"/>
        </w:rPr>
        <w:t>glycoside hydrolases</w:t>
      </w:r>
      <w:r>
        <w:rPr>
          <w:rFonts w:cs="Times New Roman"/>
          <w:szCs w:val="24"/>
        </w:rPr>
        <w:t xml:space="preserve"> (GHs) was also noted by Reviewer #1 (C6). In response to both comments, we have included a description of GHs in the Introduction (lines </w:t>
      </w:r>
      <w:r w:rsidR="00D60A56">
        <w:rPr>
          <w:rFonts w:cs="Times New Roman"/>
          <w:szCs w:val="24"/>
        </w:rPr>
        <w:t>9</w:t>
      </w:r>
      <w:r w:rsidR="00162D29">
        <w:rPr>
          <w:rFonts w:cs="Times New Roman"/>
          <w:szCs w:val="24"/>
        </w:rPr>
        <w:t>8</w:t>
      </w:r>
      <w:r w:rsidR="00D60A56">
        <w:rPr>
          <w:rFonts w:cs="Times New Roman"/>
          <w:szCs w:val="24"/>
        </w:rPr>
        <w:t>-10</w:t>
      </w:r>
      <w:r w:rsidR="00162D29">
        <w:rPr>
          <w:rFonts w:cs="Times New Roman"/>
          <w:szCs w:val="24"/>
        </w:rPr>
        <w:t>4</w:t>
      </w:r>
      <w:r>
        <w:rPr>
          <w:rFonts w:cs="Times New Roman"/>
          <w:szCs w:val="24"/>
        </w:rPr>
        <w:t xml:space="preserve">), Methods (lines </w:t>
      </w:r>
      <w:r w:rsidR="00D60A56">
        <w:rPr>
          <w:rFonts w:cs="Times New Roman"/>
          <w:szCs w:val="24"/>
        </w:rPr>
        <w:t>16</w:t>
      </w:r>
      <w:r w:rsidR="00162D29">
        <w:rPr>
          <w:rFonts w:cs="Times New Roman"/>
          <w:szCs w:val="24"/>
        </w:rPr>
        <w:t>3</w:t>
      </w:r>
      <w:r w:rsidR="00D60A56">
        <w:rPr>
          <w:rFonts w:cs="Times New Roman"/>
          <w:szCs w:val="24"/>
        </w:rPr>
        <w:t>-1</w:t>
      </w:r>
      <w:r w:rsidR="00162D29">
        <w:rPr>
          <w:rFonts w:cs="Times New Roman"/>
          <w:szCs w:val="24"/>
        </w:rPr>
        <w:t>68</w:t>
      </w:r>
      <w:r>
        <w:rPr>
          <w:rFonts w:cs="Times New Roman"/>
          <w:szCs w:val="24"/>
        </w:rPr>
        <w:t xml:space="preserve">) as well as explanation of these in the context of the findings in the Discussion (lines </w:t>
      </w:r>
      <w:r w:rsidR="00D60A56">
        <w:rPr>
          <w:rFonts w:cs="Times New Roman"/>
          <w:szCs w:val="24"/>
        </w:rPr>
        <w:t>41</w:t>
      </w:r>
      <w:r w:rsidR="00162D29">
        <w:rPr>
          <w:rFonts w:cs="Times New Roman"/>
          <w:szCs w:val="24"/>
        </w:rPr>
        <w:t>1</w:t>
      </w:r>
      <w:r w:rsidR="00D60A56">
        <w:rPr>
          <w:rFonts w:cs="Times New Roman"/>
          <w:szCs w:val="24"/>
        </w:rPr>
        <w:t>-4</w:t>
      </w:r>
      <w:r w:rsidR="00162D29">
        <w:rPr>
          <w:rFonts w:cs="Times New Roman"/>
          <w:szCs w:val="24"/>
        </w:rPr>
        <w:t>27</w:t>
      </w:r>
      <w:r>
        <w:rPr>
          <w:rFonts w:cs="Times New Roman"/>
          <w:szCs w:val="24"/>
        </w:rPr>
        <w:t>). Both sections are copied below.</w:t>
      </w:r>
    </w:p>
    <w:p w14:paraId="0F215008" w14:textId="77777777" w:rsidR="008E621E" w:rsidRDefault="008E621E" w:rsidP="002577C3">
      <w:pPr>
        <w:jc w:val="both"/>
        <w:rPr>
          <w:rFonts w:cs="Times New Roman"/>
          <w:szCs w:val="24"/>
        </w:rPr>
      </w:pPr>
      <w:r>
        <w:rPr>
          <w:rFonts w:cs="Times New Roman"/>
          <w:szCs w:val="24"/>
        </w:rPr>
        <w:t>Introduction</w:t>
      </w:r>
    </w:p>
    <w:p w14:paraId="0C080273" w14:textId="77777777" w:rsidR="008E621E" w:rsidRDefault="008E621E" w:rsidP="002577C3">
      <w:pPr>
        <w:ind w:left="426" w:right="379"/>
        <w:jc w:val="both"/>
        <w:rPr>
          <w:rFonts w:cs="Times New Roman"/>
          <w:i/>
          <w:iCs/>
          <w:szCs w:val="24"/>
        </w:rPr>
      </w:pPr>
      <w:r w:rsidRPr="007C1620">
        <w:rPr>
          <w:rFonts w:cs="Times New Roman"/>
          <w:i/>
          <w:iCs/>
          <w:szCs w:val="24"/>
        </w:rPr>
        <w:t xml:space="preserve">Probiotic preparations typically contain </w:t>
      </w:r>
      <w:proofErr w:type="spellStart"/>
      <w:r w:rsidRPr="007C1620">
        <w:rPr>
          <w:rFonts w:cs="Times New Roman"/>
          <w:i/>
          <w:iCs/>
          <w:szCs w:val="24"/>
        </w:rPr>
        <w:t>Bifidobacteria</w:t>
      </w:r>
      <w:proofErr w:type="spellEnd"/>
      <w:r w:rsidRPr="007C1620">
        <w:rPr>
          <w:rFonts w:cs="Times New Roman"/>
          <w:i/>
          <w:iCs/>
          <w:szCs w:val="24"/>
        </w:rPr>
        <w:t xml:space="preserve"> (Bifidobacterium </w:t>
      </w:r>
      <w:proofErr w:type="spellStart"/>
      <w:r w:rsidRPr="007C1620">
        <w:rPr>
          <w:rFonts w:cs="Times New Roman"/>
          <w:i/>
          <w:iCs/>
          <w:szCs w:val="24"/>
        </w:rPr>
        <w:t>adolescentis</w:t>
      </w:r>
      <w:proofErr w:type="spellEnd"/>
      <w:r w:rsidRPr="007C1620">
        <w:rPr>
          <w:rFonts w:cs="Times New Roman"/>
          <w:i/>
          <w:iCs/>
          <w:szCs w:val="24"/>
        </w:rPr>
        <w:t xml:space="preserve">, </w:t>
      </w:r>
      <w:proofErr w:type="spellStart"/>
      <w:r w:rsidRPr="007C1620">
        <w:rPr>
          <w:rFonts w:cs="Times New Roman"/>
          <w:i/>
          <w:iCs/>
          <w:szCs w:val="24"/>
        </w:rPr>
        <w:t>animalis</w:t>
      </w:r>
      <w:proofErr w:type="spellEnd"/>
      <w:r w:rsidRPr="007C1620">
        <w:rPr>
          <w:rFonts w:cs="Times New Roman"/>
          <w:i/>
          <w:iCs/>
          <w:szCs w:val="24"/>
        </w:rPr>
        <w:t xml:space="preserve">, bifidum, breve and longum) and/or Lactobacilli (Lactobacillus acidophilus, </w:t>
      </w:r>
      <w:proofErr w:type="spellStart"/>
      <w:r w:rsidRPr="007C1620">
        <w:rPr>
          <w:rFonts w:cs="Times New Roman"/>
          <w:i/>
          <w:iCs/>
          <w:szCs w:val="24"/>
        </w:rPr>
        <w:t>casei</w:t>
      </w:r>
      <w:proofErr w:type="spellEnd"/>
      <w:r w:rsidRPr="007C1620">
        <w:rPr>
          <w:rFonts w:cs="Times New Roman"/>
          <w:i/>
          <w:iCs/>
          <w:szCs w:val="24"/>
        </w:rPr>
        <w:t xml:space="preserve">, fermentum, </w:t>
      </w:r>
      <w:proofErr w:type="spellStart"/>
      <w:r w:rsidRPr="007C1620">
        <w:rPr>
          <w:rFonts w:cs="Times New Roman"/>
          <w:i/>
          <w:iCs/>
          <w:szCs w:val="24"/>
        </w:rPr>
        <w:t>gasseri</w:t>
      </w:r>
      <w:proofErr w:type="spellEnd"/>
      <w:r w:rsidRPr="007C1620">
        <w:rPr>
          <w:rFonts w:cs="Times New Roman"/>
          <w:i/>
          <w:iCs/>
          <w:szCs w:val="24"/>
        </w:rPr>
        <w:t xml:space="preserve">, </w:t>
      </w:r>
      <w:proofErr w:type="spellStart"/>
      <w:r w:rsidRPr="007C1620">
        <w:rPr>
          <w:rFonts w:cs="Times New Roman"/>
          <w:i/>
          <w:iCs/>
          <w:szCs w:val="24"/>
        </w:rPr>
        <w:t>johnsonii</w:t>
      </w:r>
      <w:proofErr w:type="spellEnd"/>
      <w:r w:rsidRPr="007C1620">
        <w:rPr>
          <w:rFonts w:cs="Times New Roman"/>
          <w:i/>
          <w:iCs/>
          <w:szCs w:val="24"/>
        </w:rPr>
        <w:t xml:space="preserve">, </w:t>
      </w:r>
      <w:proofErr w:type="spellStart"/>
      <w:r w:rsidRPr="007C1620">
        <w:rPr>
          <w:rFonts w:cs="Times New Roman"/>
          <w:i/>
          <w:iCs/>
          <w:szCs w:val="24"/>
        </w:rPr>
        <w:t>paracasei</w:t>
      </w:r>
      <w:proofErr w:type="spellEnd"/>
      <w:r w:rsidRPr="007C1620">
        <w:rPr>
          <w:rFonts w:cs="Times New Roman"/>
          <w:i/>
          <w:iCs/>
          <w:szCs w:val="24"/>
        </w:rPr>
        <w:t xml:space="preserve">, plantarum, </w:t>
      </w:r>
      <w:proofErr w:type="spellStart"/>
      <w:r w:rsidRPr="007C1620">
        <w:rPr>
          <w:rFonts w:cs="Times New Roman"/>
          <w:i/>
          <w:iCs/>
          <w:szCs w:val="24"/>
        </w:rPr>
        <w:t>rhamnosus</w:t>
      </w:r>
      <w:proofErr w:type="spellEnd"/>
      <w:r w:rsidRPr="007C1620">
        <w:rPr>
          <w:rFonts w:cs="Times New Roman"/>
          <w:i/>
          <w:iCs/>
          <w:szCs w:val="24"/>
        </w:rPr>
        <w:t xml:space="preserve"> and </w:t>
      </w:r>
      <w:proofErr w:type="spellStart"/>
      <w:r w:rsidRPr="007C1620">
        <w:rPr>
          <w:rFonts w:cs="Times New Roman"/>
          <w:i/>
          <w:iCs/>
          <w:szCs w:val="24"/>
        </w:rPr>
        <w:t>salivarius</w:t>
      </w:r>
      <w:proofErr w:type="spellEnd"/>
      <w:r w:rsidRPr="007C1620">
        <w:rPr>
          <w:rFonts w:cs="Times New Roman"/>
          <w:i/>
          <w:iCs/>
          <w:szCs w:val="24"/>
        </w:rPr>
        <w:t xml:space="preserve">). Both genera include species that encode the specific glycoside hydrolases (GHs), GH29, GH95, and GH151, which can utilise the H antigen. However, both genera also include species without this glycoside hydrolase </w:t>
      </w:r>
      <w:proofErr w:type="gramStart"/>
      <w:r w:rsidRPr="007C1620">
        <w:rPr>
          <w:rFonts w:cs="Times New Roman"/>
          <w:i/>
          <w:iCs/>
          <w:szCs w:val="24"/>
        </w:rPr>
        <w:t>capacity .</w:t>
      </w:r>
      <w:proofErr w:type="gramEnd"/>
      <w:r w:rsidRPr="007C1620">
        <w:rPr>
          <w:rFonts w:cs="Times New Roman"/>
          <w:i/>
          <w:iCs/>
          <w:szCs w:val="24"/>
        </w:rPr>
        <w:t xml:space="preserve"> Therefore, the ability of a probiotic to colonise and persist in an individual may depend on the presence of secreted glycans and the ability of the introduced bacterial strain to utilize them. This is supported by studies identifying increased persistence of such glycan-utilising species when supplemented with exogenous oligosaccharides (19, 20).</w:t>
      </w:r>
    </w:p>
    <w:p w14:paraId="2A52AA74" w14:textId="77777777" w:rsidR="008E621E" w:rsidRDefault="008E621E" w:rsidP="002577C3">
      <w:pPr>
        <w:ind w:right="379"/>
        <w:jc w:val="both"/>
        <w:rPr>
          <w:rFonts w:cs="Times New Roman"/>
          <w:szCs w:val="24"/>
        </w:rPr>
      </w:pPr>
      <w:r>
        <w:rPr>
          <w:rFonts w:cs="Times New Roman"/>
          <w:szCs w:val="24"/>
        </w:rPr>
        <w:t>Methods</w:t>
      </w:r>
    </w:p>
    <w:p w14:paraId="4061F237" w14:textId="77777777" w:rsidR="008E621E" w:rsidRPr="00177F9B" w:rsidRDefault="008E621E" w:rsidP="002577C3">
      <w:pPr>
        <w:ind w:left="426" w:right="379"/>
        <w:jc w:val="both"/>
        <w:rPr>
          <w:rFonts w:cs="Times New Roman"/>
          <w:i/>
          <w:iCs/>
          <w:szCs w:val="24"/>
        </w:rPr>
      </w:pPr>
      <w:r w:rsidRPr="00177F9B">
        <w:rPr>
          <w:rFonts w:cs="Times New Roman"/>
          <w:i/>
          <w:iCs/>
          <w:szCs w:val="24"/>
        </w:rPr>
        <w:t xml:space="preserve">This was confirmed by existing literature (24, 25) and the Carbohydrate-Active </w:t>
      </w:r>
      <w:proofErr w:type="spellStart"/>
      <w:r w:rsidRPr="00177F9B">
        <w:rPr>
          <w:rFonts w:cs="Times New Roman"/>
          <w:i/>
          <w:iCs/>
          <w:szCs w:val="24"/>
        </w:rPr>
        <w:t>enZYmes</w:t>
      </w:r>
      <w:proofErr w:type="spellEnd"/>
      <w:r w:rsidRPr="00177F9B">
        <w:rPr>
          <w:rFonts w:cs="Times New Roman"/>
          <w:i/>
          <w:iCs/>
          <w:szCs w:val="24"/>
        </w:rPr>
        <w:t xml:space="preserve"> (</w:t>
      </w:r>
      <w:proofErr w:type="spellStart"/>
      <w:r w:rsidRPr="00177F9B">
        <w:rPr>
          <w:rFonts w:cs="Times New Roman"/>
          <w:i/>
          <w:iCs/>
          <w:szCs w:val="24"/>
        </w:rPr>
        <w:t>CAZy</w:t>
      </w:r>
      <w:proofErr w:type="spellEnd"/>
      <w:r w:rsidRPr="00177F9B">
        <w:rPr>
          <w:rFonts w:cs="Times New Roman"/>
          <w:i/>
          <w:iCs/>
          <w:szCs w:val="24"/>
        </w:rPr>
        <w:t xml:space="preserve">) database (26) showing that B. bifidum JCM 1255 encodes external GH29 and GH95 α-1,2-L-fucosidases, but does not consume fucose as a carbon source (27), B. infantis JCM 1222 encodes intracellular GH29, GH95 and GH151 α-1,2-L-fucosidases along with glycan transporters, and B. breve JCM 1192 encodes only the GH95 family.  </w:t>
      </w:r>
    </w:p>
    <w:p w14:paraId="08960C2A" w14:textId="77777777" w:rsidR="008E621E" w:rsidRPr="007C1620" w:rsidRDefault="008E621E" w:rsidP="002577C3">
      <w:pPr>
        <w:ind w:right="379"/>
        <w:jc w:val="both"/>
        <w:rPr>
          <w:rFonts w:cs="Times New Roman"/>
          <w:szCs w:val="24"/>
        </w:rPr>
      </w:pPr>
      <w:r w:rsidRPr="007C1620">
        <w:rPr>
          <w:rFonts w:cs="Times New Roman"/>
          <w:szCs w:val="24"/>
        </w:rPr>
        <w:t>Discussion</w:t>
      </w:r>
    </w:p>
    <w:p w14:paraId="7F5D551C" w14:textId="77777777" w:rsidR="008E621E" w:rsidRPr="00177F9B" w:rsidRDefault="008E621E" w:rsidP="002577C3">
      <w:pPr>
        <w:ind w:left="426" w:right="379"/>
        <w:jc w:val="both"/>
        <w:rPr>
          <w:rFonts w:cs="Times New Roman"/>
          <w:i/>
          <w:iCs/>
          <w:szCs w:val="24"/>
        </w:rPr>
      </w:pPr>
      <w:r w:rsidRPr="00177F9B">
        <w:rPr>
          <w:rFonts w:cs="Times New Roman"/>
          <w:i/>
          <w:iCs/>
          <w:szCs w:val="24"/>
        </w:rPr>
        <w:t xml:space="preserve">Bifidobacterial species that are commonly used as probiotics are relatively close phylogenetically but differ in their ability to use glycans, even at a strain level (44). We showed that neither B. breve (JCM 1192) nor B. bifidum (JCM 1255) differed in their abundance or persistence between secretor and non-secretor animals. In contrast, B. infantis (JCM 1222) persisted for significantly longer and showed a significantly higher abundance in </w:t>
      </w:r>
      <w:proofErr w:type="spellStart"/>
      <w:r w:rsidRPr="00177F9B">
        <w:rPr>
          <w:rFonts w:cs="Times New Roman"/>
          <w:i/>
          <w:iCs/>
          <w:szCs w:val="24"/>
        </w:rPr>
        <w:t>secretor</w:t>
      </w:r>
      <w:proofErr w:type="spellEnd"/>
      <w:r w:rsidRPr="00177F9B">
        <w:rPr>
          <w:rFonts w:cs="Times New Roman"/>
          <w:i/>
          <w:iCs/>
          <w:szCs w:val="24"/>
        </w:rPr>
        <w:t xml:space="preserve"> mice compared to non-secretor mice. This finding likely reflects differences in H antigen hydrolysis and catabolism capacities between species when administered as a probiotic. For example, B. infantis encodes GH29, GH95, and GH151 family intracellular α-1,2-L-fucosidases, along with fucose transporters to facilitate internalisation (44). While independent hydrolysis and catabolism of mucin-bound H antigens by B. infantis is not hypothesised (25), cross-</w:t>
      </w:r>
      <w:r w:rsidRPr="00177F9B">
        <w:rPr>
          <w:rFonts w:cs="Times New Roman"/>
          <w:i/>
          <w:iCs/>
          <w:szCs w:val="24"/>
        </w:rPr>
        <w:lastRenderedPageBreak/>
        <w:t xml:space="preserve">feeding by organisms with extracellular α-1,2-L-fucosidases is likely, even following antibiotic supplementation (45). In contrast, B. bifidum, while expressing extracellular GH29 and GH95 α-1,2-L-fucosidases, does not consume fucose to facilitate growth (27). Finally, B. breve, encodes a separate GH95 intracellular α-1,2-L-fucosidase along with fucose transporters. While this species </w:t>
      </w:r>
      <w:proofErr w:type="gramStart"/>
      <w:r w:rsidRPr="00177F9B">
        <w:rPr>
          <w:rFonts w:cs="Times New Roman"/>
          <w:i/>
          <w:iCs/>
          <w:szCs w:val="24"/>
        </w:rPr>
        <w:t>is capable of utilising</w:t>
      </w:r>
      <w:proofErr w:type="gramEnd"/>
      <w:r w:rsidRPr="00177F9B">
        <w:rPr>
          <w:rFonts w:cs="Times New Roman"/>
          <w:i/>
          <w:iCs/>
          <w:szCs w:val="24"/>
        </w:rPr>
        <w:t xml:space="preserve"> the H antigen with support from cross-feeding (46), these findings suggest reduced persistence compared with B. infantis, when administered as a probiotic.</w:t>
      </w:r>
    </w:p>
    <w:p w14:paraId="42AFC3F9" w14:textId="77777777" w:rsidR="00C65AD9" w:rsidRPr="001A3FD1" w:rsidRDefault="00C65AD9" w:rsidP="002577C3">
      <w:pPr>
        <w:jc w:val="both"/>
        <w:rPr>
          <w:rFonts w:cs="Times New Roman"/>
          <w:szCs w:val="24"/>
        </w:rPr>
      </w:pPr>
    </w:p>
    <w:p w14:paraId="47EB2045" w14:textId="6609A380" w:rsidR="00AF4A7F" w:rsidRPr="00240E92" w:rsidRDefault="003F04ED" w:rsidP="002577C3">
      <w:pPr>
        <w:jc w:val="both"/>
        <w:rPr>
          <w:rFonts w:cs="Times New Roman"/>
          <w:color w:val="4472C4" w:themeColor="accent1"/>
          <w:szCs w:val="24"/>
        </w:rPr>
      </w:pPr>
      <w:r w:rsidRPr="00240E92">
        <w:rPr>
          <w:rFonts w:cs="Times New Roman"/>
          <w:b/>
          <w:bCs w:val="0"/>
          <w:color w:val="4472C4" w:themeColor="accent1"/>
          <w:szCs w:val="24"/>
        </w:rPr>
        <w:t xml:space="preserve">C15: </w:t>
      </w:r>
      <w:r w:rsidR="00AF4A7F" w:rsidRPr="00240E92">
        <w:rPr>
          <w:rFonts w:cs="Times New Roman"/>
          <w:color w:val="4472C4" w:themeColor="accent1"/>
          <w:szCs w:val="24"/>
        </w:rPr>
        <w:t>Line 147: for the sake of this manuscript (there seem to be prior references for this): how was the optimal gavage concentration determined?</w:t>
      </w:r>
    </w:p>
    <w:p w14:paraId="04D5CDBF" w14:textId="39694B63" w:rsidR="009E5676" w:rsidRPr="009E5676" w:rsidRDefault="009E5676" w:rsidP="002577C3">
      <w:pPr>
        <w:jc w:val="both"/>
        <w:rPr>
          <w:rFonts w:cs="Times New Roman"/>
          <w:szCs w:val="24"/>
        </w:rPr>
      </w:pPr>
      <w:r w:rsidRPr="009E5676">
        <w:rPr>
          <w:rFonts w:cs="Times New Roman"/>
          <w:b/>
          <w:bCs w:val="0"/>
          <w:szCs w:val="24"/>
        </w:rPr>
        <w:t xml:space="preserve">R15: </w:t>
      </w:r>
      <w:r>
        <w:rPr>
          <w:rFonts w:cs="Times New Roman"/>
          <w:szCs w:val="24"/>
        </w:rPr>
        <w:t>As the reviewer notes, we provide reference</w:t>
      </w:r>
      <w:r w:rsidR="00240E92">
        <w:rPr>
          <w:rFonts w:cs="Times New Roman"/>
          <w:szCs w:val="24"/>
        </w:rPr>
        <w:t>s</w:t>
      </w:r>
      <w:r>
        <w:rPr>
          <w:rFonts w:cs="Times New Roman"/>
          <w:szCs w:val="24"/>
        </w:rPr>
        <w:t xml:space="preserve"> to support the selection of gavage concentration. </w:t>
      </w:r>
      <w:r w:rsidR="00240E92">
        <w:rPr>
          <w:rFonts w:cs="Times New Roman"/>
          <w:szCs w:val="24"/>
        </w:rPr>
        <w:t xml:space="preserve">We did not, however, </w:t>
      </w:r>
      <w:r w:rsidR="002E08F0">
        <w:rPr>
          <w:rFonts w:cs="Times New Roman"/>
          <w:szCs w:val="24"/>
        </w:rPr>
        <w:t xml:space="preserve">explain the reasoning for this dose, which we now include (lines </w:t>
      </w:r>
      <w:r w:rsidR="00D60A56">
        <w:rPr>
          <w:rFonts w:cs="Times New Roman"/>
          <w:szCs w:val="24"/>
        </w:rPr>
        <w:t>15</w:t>
      </w:r>
      <w:r w:rsidR="00E65151">
        <w:rPr>
          <w:rFonts w:cs="Times New Roman"/>
          <w:szCs w:val="24"/>
        </w:rPr>
        <w:t>2</w:t>
      </w:r>
      <w:r w:rsidR="00D60A56">
        <w:rPr>
          <w:rFonts w:cs="Times New Roman"/>
          <w:szCs w:val="24"/>
        </w:rPr>
        <w:t>-15</w:t>
      </w:r>
      <w:r w:rsidR="00E65151">
        <w:rPr>
          <w:rFonts w:cs="Times New Roman"/>
          <w:szCs w:val="24"/>
        </w:rPr>
        <w:t>5</w:t>
      </w:r>
      <w:r w:rsidR="002E08F0">
        <w:rPr>
          <w:rFonts w:cs="Times New Roman"/>
          <w:szCs w:val="24"/>
        </w:rPr>
        <w:t xml:space="preserve"> and copied below). To clarify, the </w:t>
      </w:r>
      <w:r>
        <w:rPr>
          <w:rFonts w:cs="Times New Roman"/>
          <w:szCs w:val="24"/>
        </w:rPr>
        <w:t>referenced paper</w:t>
      </w:r>
      <w:r w:rsidR="00240E92">
        <w:rPr>
          <w:rFonts w:cs="Times New Roman"/>
          <w:szCs w:val="24"/>
        </w:rPr>
        <w:t>s</w:t>
      </w:r>
      <w:r>
        <w:rPr>
          <w:rFonts w:cs="Times New Roman"/>
          <w:szCs w:val="24"/>
        </w:rPr>
        <w:t xml:space="preserve"> </w:t>
      </w:r>
      <w:r w:rsidR="00240E92">
        <w:rPr>
          <w:rFonts w:cs="Times New Roman"/>
          <w:szCs w:val="24"/>
        </w:rPr>
        <w:t xml:space="preserve">describe the safety and persistence of this dose, as well as immune modulation capability. </w:t>
      </w:r>
    </w:p>
    <w:p w14:paraId="2241DD58" w14:textId="0EAEBB8E" w:rsidR="00AF4A7F" w:rsidRDefault="00240E92" w:rsidP="002577C3">
      <w:pPr>
        <w:ind w:left="284" w:right="662"/>
        <w:jc w:val="both"/>
        <w:rPr>
          <w:rFonts w:cs="Times New Roman"/>
          <w:i/>
          <w:iCs/>
          <w:szCs w:val="24"/>
        </w:rPr>
      </w:pPr>
      <w:r w:rsidRPr="00240E92">
        <w:rPr>
          <w:rFonts w:cs="Times New Roman"/>
          <w:i/>
          <w:iCs/>
          <w:szCs w:val="24"/>
        </w:rPr>
        <w:t>Mice received 5 × 10</w:t>
      </w:r>
      <w:r w:rsidRPr="002E08F0">
        <w:rPr>
          <w:rFonts w:cs="Times New Roman"/>
          <w:i/>
          <w:iCs/>
          <w:szCs w:val="24"/>
          <w:vertAlign w:val="superscript"/>
        </w:rPr>
        <w:t>7</w:t>
      </w:r>
      <w:r w:rsidRPr="00240E92">
        <w:rPr>
          <w:rFonts w:cs="Times New Roman"/>
          <w:i/>
          <w:iCs/>
          <w:szCs w:val="24"/>
        </w:rPr>
        <w:t xml:space="preserve"> colony forming units (CFU)/g of mouse of either B. infantis, B. bifidum, or B. breve daily for 5 days via oral gavage. A starting gavage concentration of 5 × 10</w:t>
      </w:r>
      <w:r w:rsidRPr="002E08F0">
        <w:rPr>
          <w:rFonts w:cs="Times New Roman"/>
          <w:i/>
          <w:iCs/>
          <w:szCs w:val="24"/>
          <w:vertAlign w:val="superscript"/>
        </w:rPr>
        <w:t>9</w:t>
      </w:r>
      <w:r w:rsidRPr="00240E92">
        <w:rPr>
          <w:rFonts w:cs="Times New Roman"/>
          <w:i/>
          <w:iCs/>
          <w:szCs w:val="24"/>
        </w:rPr>
        <w:t xml:space="preserve"> CFU/mL in PBS was prepared daily from fresh overnight cultures. The dose was selected based on previous reports of safety, persistence, and immune modulation capability (21, 22).</w:t>
      </w:r>
    </w:p>
    <w:p w14:paraId="06B78F59" w14:textId="77777777" w:rsidR="00244F17" w:rsidRDefault="00244F17" w:rsidP="002577C3">
      <w:pPr>
        <w:ind w:left="284" w:right="662"/>
        <w:jc w:val="both"/>
        <w:rPr>
          <w:rFonts w:cs="Times New Roman"/>
          <w:i/>
          <w:iCs/>
          <w:szCs w:val="24"/>
        </w:rPr>
      </w:pPr>
    </w:p>
    <w:p w14:paraId="53D5507C" w14:textId="597FC160" w:rsidR="00AF4A7F" w:rsidRPr="001A3FD1" w:rsidRDefault="003F04ED" w:rsidP="002577C3">
      <w:pPr>
        <w:jc w:val="both"/>
        <w:rPr>
          <w:rFonts w:cs="Times New Roman"/>
          <w:color w:val="4472C4" w:themeColor="accent1"/>
          <w:szCs w:val="24"/>
        </w:rPr>
      </w:pPr>
      <w:r w:rsidRPr="003F04ED">
        <w:rPr>
          <w:rFonts w:cs="Times New Roman"/>
          <w:b/>
          <w:bCs w:val="0"/>
          <w:color w:val="4472C4" w:themeColor="accent1"/>
          <w:szCs w:val="24"/>
        </w:rPr>
        <w:t xml:space="preserve">C16: </w:t>
      </w:r>
      <w:r w:rsidR="00AF4A7F" w:rsidRPr="001A3FD1">
        <w:rPr>
          <w:rFonts w:cs="Times New Roman"/>
          <w:color w:val="4472C4" w:themeColor="accent1"/>
          <w:szCs w:val="24"/>
        </w:rPr>
        <w:t xml:space="preserve">Line 139: </w:t>
      </w:r>
      <w:r w:rsidR="00AF4A7F" w:rsidRPr="002E08F0">
        <w:rPr>
          <w:rFonts w:cs="Times New Roman"/>
          <w:i/>
          <w:iCs/>
          <w:color w:val="4472C4" w:themeColor="accent1"/>
          <w:szCs w:val="24"/>
        </w:rPr>
        <w:t>Bifidobacterium</w:t>
      </w:r>
      <w:r w:rsidR="00AF4A7F" w:rsidRPr="001A3FD1">
        <w:rPr>
          <w:rFonts w:cs="Times New Roman"/>
          <w:color w:val="4472C4" w:themeColor="accent1"/>
          <w:szCs w:val="24"/>
        </w:rPr>
        <w:t xml:space="preserve"> strains are generally considered to be highly resistant to some aminoglycosides (neomycin is one). Are the gavage strains resistant to ampicillin/neomycin or not? This could determine whether abundance patterns are independent or not from AB treatment</w:t>
      </w:r>
      <w:r w:rsidR="002E08F0">
        <w:rPr>
          <w:rFonts w:cs="Times New Roman"/>
          <w:color w:val="4472C4" w:themeColor="accent1"/>
          <w:szCs w:val="24"/>
        </w:rPr>
        <w:t>.</w:t>
      </w:r>
    </w:p>
    <w:p w14:paraId="422D3F46" w14:textId="1F2D249B" w:rsidR="00244F17" w:rsidRDefault="001A3FD1" w:rsidP="002577C3">
      <w:pPr>
        <w:jc w:val="both"/>
        <w:rPr>
          <w:rFonts w:cs="Times New Roman"/>
          <w:szCs w:val="24"/>
        </w:rPr>
      </w:pPr>
      <w:r w:rsidRPr="003F04ED">
        <w:rPr>
          <w:rFonts w:cs="Times New Roman"/>
          <w:b/>
          <w:bCs w:val="0"/>
          <w:szCs w:val="24"/>
        </w:rPr>
        <w:t>R</w:t>
      </w:r>
      <w:r w:rsidR="003F04ED" w:rsidRPr="003F04ED">
        <w:rPr>
          <w:rFonts w:cs="Times New Roman"/>
          <w:b/>
          <w:bCs w:val="0"/>
          <w:szCs w:val="24"/>
        </w:rPr>
        <w:t>16</w:t>
      </w:r>
      <w:r w:rsidRPr="003F04ED">
        <w:rPr>
          <w:rFonts w:cs="Times New Roman"/>
          <w:b/>
          <w:bCs w:val="0"/>
          <w:szCs w:val="24"/>
        </w:rPr>
        <w:t>:</w:t>
      </w:r>
      <w:r>
        <w:rPr>
          <w:rFonts w:cs="Times New Roman"/>
          <w:szCs w:val="24"/>
        </w:rPr>
        <w:t xml:space="preserve"> </w:t>
      </w:r>
      <w:r w:rsidR="00C65C8E">
        <w:rPr>
          <w:rFonts w:cs="Times New Roman"/>
          <w:szCs w:val="24"/>
        </w:rPr>
        <w:t xml:space="preserve">Our antibiotic mix contained a cocktail of ampicillin and neomycin, with this combination designed to deplete a wide range of bacteria. While the reviewer is correct that most </w:t>
      </w:r>
      <w:r w:rsidR="00C65C8E" w:rsidRPr="00E05D92">
        <w:rPr>
          <w:rFonts w:cs="Times New Roman"/>
          <w:i/>
          <w:iCs/>
          <w:szCs w:val="24"/>
        </w:rPr>
        <w:t>Bifidobacterium</w:t>
      </w:r>
      <w:r w:rsidR="00C65C8E">
        <w:rPr>
          <w:rFonts w:cs="Times New Roman"/>
          <w:szCs w:val="24"/>
        </w:rPr>
        <w:t xml:space="preserve"> strains are resistant to neomycin, the tested strains are sensitive to ampicillin (</w:t>
      </w:r>
      <w:r w:rsidR="00C65C8E" w:rsidRPr="00C65C8E">
        <w:rPr>
          <w:rFonts w:cs="Times New Roman"/>
          <w:szCs w:val="24"/>
        </w:rPr>
        <w:t>PMID: 17060530</w:t>
      </w:r>
      <w:r w:rsidR="00C65C8E">
        <w:rPr>
          <w:rFonts w:cs="Times New Roman"/>
          <w:szCs w:val="24"/>
        </w:rPr>
        <w:t xml:space="preserve">). We designed the experiment so that gavage with </w:t>
      </w:r>
      <w:r w:rsidR="00C65C8E" w:rsidRPr="00E05D92">
        <w:rPr>
          <w:rFonts w:cs="Times New Roman"/>
          <w:i/>
          <w:iCs/>
          <w:szCs w:val="24"/>
        </w:rPr>
        <w:t>Bifidobacterium</w:t>
      </w:r>
      <w:r w:rsidR="00C65C8E">
        <w:rPr>
          <w:rFonts w:cs="Times New Roman"/>
          <w:szCs w:val="24"/>
        </w:rPr>
        <w:t xml:space="preserve"> was immediately after ceasing antibiotic depletion to maximise opportunity for </w:t>
      </w:r>
      <w:r w:rsidR="00C65C8E" w:rsidRPr="00E05D92">
        <w:rPr>
          <w:rFonts w:cs="Times New Roman"/>
          <w:i/>
          <w:iCs/>
          <w:szCs w:val="24"/>
        </w:rPr>
        <w:t>Bifid</w:t>
      </w:r>
      <w:r w:rsidR="00E05D92" w:rsidRPr="00E05D92">
        <w:rPr>
          <w:rFonts w:cs="Times New Roman"/>
          <w:i/>
          <w:iCs/>
          <w:szCs w:val="24"/>
        </w:rPr>
        <w:t>o</w:t>
      </w:r>
      <w:r w:rsidR="00C65C8E" w:rsidRPr="00E05D92">
        <w:rPr>
          <w:rFonts w:cs="Times New Roman"/>
          <w:i/>
          <w:iCs/>
          <w:szCs w:val="24"/>
        </w:rPr>
        <w:t>bacterium</w:t>
      </w:r>
      <w:r w:rsidR="00C65C8E">
        <w:rPr>
          <w:rFonts w:cs="Times New Roman"/>
          <w:szCs w:val="24"/>
        </w:rPr>
        <w:t xml:space="preserve"> colonisation without competition from other bacteria. It is possible that this timing means that residual antibiotics in the intestine deplete </w:t>
      </w:r>
      <w:r w:rsidR="00C65C8E" w:rsidRPr="00E05D92">
        <w:rPr>
          <w:rFonts w:cs="Times New Roman"/>
          <w:i/>
          <w:iCs/>
          <w:szCs w:val="24"/>
        </w:rPr>
        <w:t>Bifidobacterium</w:t>
      </w:r>
      <w:r w:rsidR="00C65C8E">
        <w:rPr>
          <w:rFonts w:cs="Times New Roman"/>
          <w:szCs w:val="24"/>
        </w:rPr>
        <w:t xml:space="preserve"> over the first days of gavage. For this reason, we performed gavage for 5 days, </w:t>
      </w:r>
      <w:proofErr w:type="gramStart"/>
      <w:r w:rsidR="00C65C8E">
        <w:rPr>
          <w:rFonts w:cs="Times New Roman"/>
          <w:szCs w:val="24"/>
        </w:rPr>
        <w:t>a time period</w:t>
      </w:r>
      <w:proofErr w:type="gramEnd"/>
      <w:r w:rsidR="00C65C8E">
        <w:rPr>
          <w:rFonts w:cs="Times New Roman"/>
          <w:szCs w:val="24"/>
        </w:rPr>
        <w:t xml:space="preserve"> that extends beyond the activity spectrum of the administered antibiotics. Such a</w:t>
      </w:r>
      <w:r w:rsidR="00833685">
        <w:rPr>
          <w:rFonts w:cs="Times New Roman"/>
          <w:szCs w:val="24"/>
        </w:rPr>
        <w:t xml:space="preserve">n antibiotic combination </w:t>
      </w:r>
      <w:r w:rsidR="00C65C8E">
        <w:rPr>
          <w:rFonts w:cs="Times New Roman"/>
          <w:szCs w:val="24"/>
        </w:rPr>
        <w:t xml:space="preserve">is common for </w:t>
      </w:r>
      <w:r w:rsidR="00833685">
        <w:rPr>
          <w:rFonts w:cs="Times New Roman"/>
          <w:szCs w:val="24"/>
        </w:rPr>
        <w:t>mouse mod</w:t>
      </w:r>
      <w:r w:rsidR="00833685" w:rsidRPr="00833685">
        <w:rPr>
          <w:rFonts w:cs="Times New Roman"/>
          <w:szCs w:val="24"/>
        </w:rPr>
        <w:t xml:space="preserve">els </w:t>
      </w:r>
      <w:r w:rsidR="00C65C8E" w:rsidRPr="00833685">
        <w:rPr>
          <w:rFonts w:cs="Times New Roman"/>
          <w:szCs w:val="24"/>
        </w:rPr>
        <w:t>(</w:t>
      </w:r>
      <w:r w:rsidR="00833685" w:rsidRPr="00833685">
        <w:rPr>
          <w:rFonts w:cs="Times New Roman"/>
          <w:szCs w:val="24"/>
        </w:rPr>
        <w:t>e.g. PMID: 35284839, 29746836</w:t>
      </w:r>
      <w:r w:rsidR="00C65C8E" w:rsidRPr="00833685">
        <w:rPr>
          <w:rFonts w:cs="Times New Roman"/>
          <w:szCs w:val="24"/>
        </w:rPr>
        <w:t>)</w:t>
      </w:r>
      <w:r w:rsidR="00833685" w:rsidRPr="00833685">
        <w:rPr>
          <w:rFonts w:cs="Times New Roman"/>
          <w:szCs w:val="24"/>
        </w:rPr>
        <w:t>, as well as empiric for suspected sepsis in humans (PMID: 32232180)</w:t>
      </w:r>
      <w:r w:rsidR="00C65C8E" w:rsidRPr="00833685">
        <w:rPr>
          <w:rFonts w:cs="Times New Roman"/>
          <w:szCs w:val="24"/>
        </w:rPr>
        <w:t>.</w:t>
      </w:r>
    </w:p>
    <w:p w14:paraId="5F505C53" w14:textId="77777777" w:rsidR="00244F17" w:rsidRDefault="00244F17" w:rsidP="002577C3">
      <w:pPr>
        <w:jc w:val="both"/>
        <w:rPr>
          <w:rFonts w:cs="Times New Roman"/>
          <w:szCs w:val="24"/>
        </w:rPr>
      </w:pPr>
    </w:p>
    <w:p w14:paraId="33077045" w14:textId="77777777" w:rsidR="009755E7" w:rsidRPr="001A3FD1" w:rsidRDefault="009755E7" w:rsidP="002577C3">
      <w:pPr>
        <w:jc w:val="both"/>
        <w:rPr>
          <w:rFonts w:cs="Times New Roman"/>
          <w:szCs w:val="24"/>
        </w:rPr>
      </w:pPr>
    </w:p>
    <w:p w14:paraId="1F5F91CB" w14:textId="6D58EDCD" w:rsidR="00AF4A7F" w:rsidRPr="00244F17" w:rsidRDefault="003F04ED" w:rsidP="002577C3">
      <w:pPr>
        <w:jc w:val="both"/>
        <w:rPr>
          <w:rFonts w:cs="Times New Roman"/>
          <w:color w:val="4472C4" w:themeColor="accent1"/>
          <w:szCs w:val="24"/>
        </w:rPr>
      </w:pPr>
      <w:r w:rsidRPr="00C65AD9">
        <w:rPr>
          <w:rFonts w:cs="Times New Roman"/>
          <w:b/>
          <w:bCs w:val="0"/>
          <w:color w:val="4472C4" w:themeColor="accent1"/>
          <w:szCs w:val="24"/>
        </w:rPr>
        <w:t>C17</w:t>
      </w:r>
      <w:r w:rsidRPr="00244F17">
        <w:rPr>
          <w:rFonts w:cs="Times New Roman"/>
          <w:b/>
          <w:bCs w:val="0"/>
          <w:color w:val="4472C4" w:themeColor="accent1"/>
          <w:szCs w:val="24"/>
        </w:rPr>
        <w:t xml:space="preserve">: </w:t>
      </w:r>
      <w:r w:rsidR="00AF4A7F" w:rsidRPr="00244F17">
        <w:rPr>
          <w:rFonts w:cs="Times New Roman"/>
          <w:color w:val="4472C4" w:themeColor="accent1"/>
          <w:szCs w:val="24"/>
        </w:rPr>
        <w:t>Line 189: it would be good to mention on how 16S is able to discriminate (or not) various strains of Bifidobacterium used (and if you tested it). You also did qPCR on the strains, so it's a good opportunity to comment on the correlation with 16S and perhaps even rRNA copy number in these species.</w:t>
      </w:r>
    </w:p>
    <w:p w14:paraId="538ECF2D" w14:textId="1336507D" w:rsidR="0091143D" w:rsidRPr="008413AD" w:rsidRDefault="00244F17" w:rsidP="002577C3">
      <w:pPr>
        <w:jc w:val="both"/>
        <w:rPr>
          <w:rFonts w:cs="Times New Roman"/>
          <w:szCs w:val="24"/>
        </w:rPr>
      </w:pPr>
      <w:r w:rsidRPr="008413AD">
        <w:rPr>
          <w:rFonts w:cs="Times New Roman"/>
          <w:b/>
          <w:bCs w:val="0"/>
          <w:szCs w:val="24"/>
        </w:rPr>
        <w:lastRenderedPageBreak/>
        <w:t xml:space="preserve">R17: </w:t>
      </w:r>
      <w:r w:rsidR="008413AD" w:rsidRPr="008413AD">
        <w:rPr>
          <w:rFonts w:cs="Times New Roman"/>
          <w:szCs w:val="24"/>
        </w:rPr>
        <w:t>We</w:t>
      </w:r>
      <w:r w:rsidR="008413AD" w:rsidRPr="008413AD">
        <w:rPr>
          <w:rFonts w:cs="Times New Roman"/>
          <w:b/>
          <w:bCs w:val="0"/>
          <w:szCs w:val="24"/>
        </w:rPr>
        <w:t xml:space="preserve"> </w:t>
      </w:r>
      <w:r w:rsidR="008413AD" w:rsidRPr="008413AD">
        <w:rPr>
          <w:rFonts w:cs="Times New Roman"/>
          <w:szCs w:val="24"/>
        </w:rPr>
        <w:t>investigated</w:t>
      </w:r>
      <w:r w:rsidR="008413AD">
        <w:rPr>
          <w:rFonts w:cs="Times New Roman"/>
          <w:szCs w:val="24"/>
        </w:rPr>
        <w:t xml:space="preserve"> the extent to which 16S amplicon sequencing </w:t>
      </w:r>
      <w:r w:rsidR="00257519">
        <w:rPr>
          <w:rFonts w:cs="Times New Roman"/>
          <w:szCs w:val="24"/>
        </w:rPr>
        <w:t xml:space="preserve">could </w:t>
      </w:r>
      <w:r w:rsidR="008413AD">
        <w:rPr>
          <w:rFonts w:cs="Times New Roman"/>
          <w:szCs w:val="24"/>
        </w:rPr>
        <w:t xml:space="preserve">discriminate </w:t>
      </w:r>
      <w:r w:rsidR="00257519">
        <w:rPr>
          <w:rFonts w:cs="Times New Roman"/>
          <w:szCs w:val="24"/>
        </w:rPr>
        <w:t xml:space="preserve">between </w:t>
      </w:r>
      <w:r w:rsidR="008413AD">
        <w:rPr>
          <w:rFonts w:cs="Times New Roman"/>
          <w:szCs w:val="24"/>
        </w:rPr>
        <w:t xml:space="preserve">different </w:t>
      </w:r>
      <w:r w:rsidR="008413AD" w:rsidRPr="008413AD">
        <w:rPr>
          <w:rFonts w:cs="Times New Roman"/>
          <w:i/>
          <w:iCs/>
          <w:szCs w:val="24"/>
        </w:rPr>
        <w:t>Bifidobacterium</w:t>
      </w:r>
      <w:r w:rsidR="008413AD">
        <w:rPr>
          <w:rFonts w:cs="Times New Roman"/>
          <w:szCs w:val="24"/>
        </w:rPr>
        <w:t xml:space="preserve"> species. </w:t>
      </w:r>
      <w:r w:rsidR="00257519">
        <w:rPr>
          <w:rFonts w:cs="Times New Roman"/>
          <w:szCs w:val="24"/>
        </w:rPr>
        <w:t xml:space="preserve">As was </w:t>
      </w:r>
      <w:r w:rsidR="008413AD">
        <w:rPr>
          <w:rFonts w:cs="Times New Roman"/>
          <w:szCs w:val="24"/>
        </w:rPr>
        <w:t>expected, level 7</w:t>
      </w:r>
      <w:r w:rsidR="00257519">
        <w:rPr>
          <w:rFonts w:cs="Times New Roman"/>
          <w:szCs w:val="24"/>
        </w:rPr>
        <w:t xml:space="preserve"> resolution (species</w:t>
      </w:r>
      <w:r w:rsidR="008413AD">
        <w:rPr>
          <w:rFonts w:cs="Times New Roman"/>
          <w:szCs w:val="24"/>
        </w:rPr>
        <w:t>-leve</w:t>
      </w:r>
      <w:r w:rsidR="00257519">
        <w:rPr>
          <w:rFonts w:cs="Times New Roman"/>
          <w:szCs w:val="24"/>
        </w:rPr>
        <w:t>l</w:t>
      </w:r>
      <w:r w:rsidR="00257519" w:rsidRPr="00257519">
        <w:rPr>
          <w:rFonts w:cs="Times New Roman"/>
          <w:szCs w:val="24"/>
        </w:rPr>
        <w:t xml:space="preserve"> </w:t>
      </w:r>
      <w:r w:rsidR="00257519">
        <w:rPr>
          <w:rFonts w:cs="Times New Roman"/>
          <w:szCs w:val="24"/>
        </w:rPr>
        <w:t>output)</w:t>
      </w:r>
      <w:r w:rsidR="008413AD">
        <w:rPr>
          <w:rFonts w:cs="Times New Roman"/>
          <w:szCs w:val="24"/>
        </w:rPr>
        <w:t xml:space="preserve"> was </w:t>
      </w:r>
      <w:r w:rsidR="00257519">
        <w:rPr>
          <w:rFonts w:cs="Times New Roman"/>
          <w:szCs w:val="24"/>
        </w:rPr>
        <w:t>un</w:t>
      </w:r>
      <w:r w:rsidR="008413AD">
        <w:rPr>
          <w:rFonts w:cs="Times New Roman"/>
          <w:szCs w:val="24"/>
        </w:rPr>
        <w:t xml:space="preserve">able to </w:t>
      </w:r>
      <w:r w:rsidR="00257519">
        <w:rPr>
          <w:rFonts w:cs="Times New Roman"/>
          <w:szCs w:val="24"/>
        </w:rPr>
        <w:t xml:space="preserve">differentiate bifidobacterial, reflecting a </w:t>
      </w:r>
      <w:r w:rsidR="002B77AB">
        <w:rPr>
          <w:rFonts w:cs="Times New Roman"/>
          <w:szCs w:val="24"/>
        </w:rPr>
        <w:t>well-</w:t>
      </w:r>
      <w:r w:rsidR="00257519">
        <w:rPr>
          <w:rFonts w:cs="Times New Roman"/>
          <w:szCs w:val="24"/>
        </w:rPr>
        <w:t>recognised limitation of this approach</w:t>
      </w:r>
      <w:r w:rsidR="008413AD">
        <w:rPr>
          <w:rFonts w:cs="Times New Roman"/>
          <w:szCs w:val="24"/>
        </w:rPr>
        <w:t>.</w:t>
      </w:r>
    </w:p>
    <w:p w14:paraId="269E4749" w14:textId="06EDD4B5" w:rsidR="006F5967" w:rsidRDefault="00257519" w:rsidP="002577C3">
      <w:pPr>
        <w:jc w:val="both"/>
        <w:rPr>
          <w:rFonts w:cs="Times New Roman"/>
          <w:szCs w:val="24"/>
        </w:rPr>
      </w:pPr>
      <w:proofErr w:type="gramStart"/>
      <w:r>
        <w:rPr>
          <w:rFonts w:cs="Times New Roman"/>
          <w:szCs w:val="24"/>
        </w:rPr>
        <w:t>In regard</w:t>
      </w:r>
      <w:r w:rsidR="008413AD" w:rsidRPr="008413AD">
        <w:rPr>
          <w:rFonts w:cs="Times New Roman"/>
          <w:szCs w:val="24"/>
        </w:rPr>
        <w:t xml:space="preserve"> to</w:t>
      </w:r>
      <w:proofErr w:type="gramEnd"/>
      <w:r w:rsidR="008413AD" w:rsidRPr="008413AD">
        <w:rPr>
          <w:rFonts w:cs="Times New Roman"/>
          <w:szCs w:val="24"/>
        </w:rPr>
        <w:t xml:space="preserve"> the </w:t>
      </w:r>
      <w:r>
        <w:rPr>
          <w:rFonts w:cs="Times New Roman"/>
          <w:szCs w:val="24"/>
        </w:rPr>
        <w:t>relationship</w:t>
      </w:r>
      <w:r w:rsidRPr="008413AD">
        <w:rPr>
          <w:rFonts w:cs="Times New Roman"/>
          <w:szCs w:val="24"/>
        </w:rPr>
        <w:t xml:space="preserve"> </w:t>
      </w:r>
      <w:r w:rsidR="008413AD" w:rsidRPr="008413AD">
        <w:rPr>
          <w:rFonts w:cs="Times New Roman"/>
          <w:szCs w:val="24"/>
        </w:rPr>
        <w:t xml:space="preserve">between </w:t>
      </w:r>
      <w:r w:rsidR="002B77AB">
        <w:rPr>
          <w:rFonts w:cs="Times New Roman"/>
          <w:szCs w:val="24"/>
        </w:rPr>
        <w:t xml:space="preserve">estimates of abundance </w:t>
      </w:r>
      <w:r>
        <w:rPr>
          <w:rFonts w:cs="Times New Roman"/>
          <w:szCs w:val="24"/>
        </w:rPr>
        <w:t xml:space="preserve">derived by </w:t>
      </w:r>
      <w:r w:rsidR="008413AD" w:rsidRPr="008413AD">
        <w:rPr>
          <w:rFonts w:cs="Times New Roman"/>
          <w:szCs w:val="24"/>
        </w:rPr>
        <w:t>qPCR</w:t>
      </w:r>
      <w:r>
        <w:rPr>
          <w:rFonts w:cs="Times New Roman"/>
          <w:szCs w:val="24"/>
        </w:rPr>
        <w:t xml:space="preserve"> (</w:t>
      </w:r>
      <w:r w:rsidR="008413AD" w:rsidRPr="008413AD">
        <w:rPr>
          <w:rFonts w:cs="Times New Roman"/>
          <w:szCs w:val="24"/>
        </w:rPr>
        <w:t>absolute abundance</w:t>
      </w:r>
      <w:r>
        <w:rPr>
          <w:rFonts w:cs="Times New Roman"/>
          <w:szCs w:val="24"/>
        </w:rPr>
        <w:t>)</w:t>
      </w:r>
      <w:r w:rsidR="008413AD" w:rsidRPr="008413AD">
        <w:rPr>
          <w:rFonts w:cs="Times New Roman"/>
          <w:szCs w:val="24"/>
        </w:rPr>
        <w:t xml:space="preserve"> and 16S</w:t>
      </w:r>
      <w:r>
        <w:rPr>
          <w:rFonts w:cs="Times New Roman"/>
          <w:szCs w:val="24"/>
        </w:rPr>
        <w:t xml:space="preserve"> sequencing (</w:t>
      </w:r>
      <w:r w:rsidR="008413AD" w:rsidRPr="008413AD">
        <w:rPr>
          <w:rFonts w:cs="Times New Roman"/>
          <w:szCs w:val="24"/>
        </w:rPr>
        <w:t>relative abundance</w:t>
      </w:r>
      <w:r>
        <w:rPr>
          <w:rFonts w:cs="Times New Roman"/>
          <w:szCs w:val="24"/>
        </w:rPr>
        <w:t>)</w:t>
      </w:r>
      <w:r w:rsidR="008413AD" w:rsidRPr="008413AD">
        <w:rPr>
          <w:rFonts w:cs="Times New Roman"/>
          <w:szCs w:val="24"/>
        </w:rPr>
        <w:t xml:space="preserve">, we </w:t>
      </w:r>
      <w:r w:rsidR="002B77AB">
        <w:rPr>
          <w:rFonts w:cs="Times New Roman"/>
          <w:szCs w:val="24"/>
        </w:rPr>
        <w:t>provide a</w:t>
      </w:r>
      <w:r>
        <w:rPr>
          <w:rFonts w:cs="Times New Roman"/>
          <w:szCs w:val="24"/>
        </w:rPr>
        <w:t xml:space="preserve"> correlation below</w:t>
      </w:r>
      <w:r w:rsidR="008413AD" w:rsidRPr="008413AD">
        <w:rPr>
          <w:rFonts w:cs="Times New Roman"/>
          <w:szCs w:val="24"/>
        </w:rPr>
        <w:t xml:space="preserve">. </w:t>
      </w:r>
      <w:r w:rsidR="006F5967">
        <w:rPr>
          <w:rFonts w:cs="Times New Roman"/>
          <w:szCs w:val="24"/>
        </w:rPr>
        <w:t xml:space="preserve">This </w:t>
      </w:r>
      <w:r w:rsidR="002B77AB">
        <w:rPr>
          <w:rFonts w:cs="Times New Roman"/>
          <w:szCs w:val="24"/>
        </w:rPr>
        <w:t xml:space="preserve">analysis was limited to </w:t>
      </w:r>
      <w:r w:rsidR="000613BA">
        <w:rPr>
          <w:rFonts w:cs="Times New Roman"/>
          <w:szCs w:val="24"/>
        </w:rPr>
        <w:t xml:space="preserve">faecal </w:t>
      </w:r>
      <w:r w:rsidR="006F5967">
        <w:rPr>
          <w:rFonts w:cs="Times New Roman"/>
          <w:szCs w:val="24"/>
        </w:rPr>
        <w:t xml:space="preserve">samples where </w:t>
      </w:r>
      <w:r w:rsidR="006F5967" w:rsidRPr="006F5967">
        <w:rPr>
          <w:rFonts w:cs="Times New Roman"/>
          <w:i/>
          <w:iCs/>
          <w:szCs w:val="24"/>
        </w:rPr>
        <w:t>Bifidobacterium</w:t>
      </w:r>
      <w:r w:rsidR="006F5967">
        <w:rPr>
          <w:rFonts w:cs="Times New Roman"/>
          <w:szCs w:val="24"/>
        </w:rPr>
        <w:t xml:space="preserve"> was </w:t>
      </w:r>
      <w:proofErr w:type="spellStart"/>
      <w:r w:rsidR="006F5967">
        <w:rPr>
          <w:rFonts w:cs="Times New Roman"/>
          <w:szCs w:val="24"/>
        </w:rPr>
        <w:t>gavaged</w:t>
      </w:r>
      <w:proofErr w:type="spellEnd"/>
      <w:r w:rsidR="000613BA">
        <w:rPr>
          <w:rFonts w:cs="Times New Roman"/>
          <w:szCs w:val="24"/>
        </w:rPr>
        <w:t xml:space="preserve"> and the mice had not received any antibiotics</w:t>
      </w:r>
      <w:r w:rsidR="002B77AB">
        <w:rPr>
          <w:rFonts w:cs="Times New Roman"/>
          <w:szCs w:val="24"/>
        </w:rPr>
        <w:t xml:space="preserve">, as the relative abundance of </w:t>
      </w:r>
      <w:r w:rsidR="002B77AB" w:rsidRPr="000613BA">
        <w:rPr>
          <w:rFonts w:cs="Times New Roman"/>
          <w:i/>
          <w:iCs/>
          <w:szCs w:val="24"/>
        </w:rPr>
        <w:t>Bifidobacterium</w:t>
      </w:r>
      <w:r w:rsidR="002B77AB">
        <w:rPr>
          <w:rFonts w:cs="Times New Roman"/>
          <w:szCs w:val="24"/>
        </w:rPr>
        <w:t xml:space="preserve"> neared 100% in all cases where mice that had undergone antibiotic exposure and no </w:t>
      </w:r>
      <w:r w:rsidR="002B77AB" w:rsidRPr="000613BA">
        <w:rPr>
          <w:rFonts w:cs="Times New Roman"/>
          <w:i/>
          <w:iCs/>
          <w:szCs w:val="24"/>
        </w:rPr>
        <w:t>Bifidobacterium</w:t>
      </w:r>
      <w:r w:rsidR="002B77AB">
        <w:rPr>
          <w:rFonts w:cs="Times New Roman"/>
          <w:szCs w:val="24"/>
        </w:rPr>
        <w:t xml:space="preserve"> was detectable in naïve mouse stool </w:t>
      </w:r>
      <w:r w:rsidR="000613BA">
        <w:rPr>
          <w:rFonts w:cs="Times New Roman"/>
          <w:szCs w:val="24"/>
        </w:rPr>
        <w:t xml:space="preserve">without </w:t>
      </w:r>
      <w:r w:rsidR="000613BA" w:rsidRPr="000613BA">
        <w:rPr>
          <w:rFonts w:cs="Times New Roman"/>
          <w:i/>
          <w:iCs/>
          <w:szCs w:val="24"/>
        </w:rPr>
        <w:t>Bifidobacterium</w:t>
      </w:r>
      <w:r w:rsidR="000613BA">
        <w:rPr>
          <w:rFonts w:cs="Times New Roman"/>
          <w:szCs w:val="24"/>
        </w:rPr>
        <w:t xml:space="preserve"> exposure</w:t>
      </w:r>
      <w:r w:rsidR="006F5967">
        <w:rPr>
          <w:rFonts w:cs="Times New Roman"/>
          <w:szCs w:val="24"/>
        </w:rPr>
        <w:t xml:space="preserve">. </w:t>
      </w:r>
      <w:r w:rsidR="000613BA">
        <w:rPr>
          <w:rFonts w:cs="Times New Roman"/>
          <w:szCs w:val="24"/>
        </w:rPr>
        <w:t>As shown below,</w:t>
      </w:r>
      <w:r w:rsidR="006F5967" w:rsidRPr="000613BA">
        <w:rPr>
          <w:rFonts w:cs="Times New Roman"/>
          <w:szCs w:val="24"/>
        </w:rPr>
        <w:t xml:space="preserve"> we identified a </w:t>
      </w:r>
      <w:r w:rsidR="000613BA" w:rsidRPr="000613BA">
        <w:rPr>
          <w:rFonts w:cs="Times New Roman"/>
          <w:szCs w:val="24"/>
        </w:rPr>
        <w:t>significant</w:t>
      </w:r>
      <w:r w:rsidR="000613BA">
        <w:rPr>
          <w:rFonts w:cs="Times New Roman"/>
          <w:szCs w:val="24"/>
        </w:rPr>
        <w:t xml:space="preserve"> </w:t>
      </w:r>
      <w:r w:rsidR="006F5967" w:rsidRPr="000613BA">
        <w:rPr>
          <w:rFonts w:cs="Times New Roman"/>
          <w:szCs w:val="24"/>
        </w:rPr>
        <w:t xml:space="preserve">correlation between the </w:t>
      </w:r>
      <w:r w:rsidR="000613BA">
        <w:rPr>
          <w:rFonts w:cs="Times New Roman"/>
          <w:szCs w:val="24"/>
        </w:rPr>
        <w:t>two</w:t>
      </w:r>
      <w:r w:rsidR="006F5967" w:rsidRPr="000613BA">
        <w:rPr>
          <w:rFonts w:cs="Times New Roman"/>
          <w:szCs w:val="24"/>
        </w:rPr>
        <w:t xml:space="preserve"> methods. </w:t>
      </w:r>
      <w:r w:rsidR="000613BA">
        <w:rPr>
          <w:rFonts w:cs="Times New Roman"/>
          <w:szCs w:val="24"/>
        </w:rPr>
        <w:t>However, as evidenced by the Spearman’s correlation co-efficient</w:t>
      </w:r>
      <w:r w:rsidR="000613BA" w:rsidRPr="00121F87">
        <w:rPr>
          <w:rFonts w:cs="Times New Roman"/>
          <w:szCs w:val="24"/>
        </w:rPr>
        <w:t xml:space="preserve">, while significant, </w:t>
      </w:r>
      <w:r w:rsidR="002B77AB">
        <w:rPr>
          <w:rFonts w:cs="Times New Roman"/>
          <w:szCs w:val="24"/>
        </w:rPr>
        <w:t>the strength of the</w:t>
      </w:r>
      <w:r w:rsidR="000613BA" w:rsidRPr="00121F87">
        <w:rPr>
          <w:rFonts w:cs="Times New Roman"/>
          <w:szCs w:val="24"/>
        </w:rPr>
        <w:t xml:space="preserve"> correlation</w:t>
      </w:r>
      <w:r w:rsidR="002B77AB">
        <w:rPr>
          <w:rFonts w:cs="Times New Roman"/>
          <w:szCs w:val="24"/>
        </w:rPr>
        <w:t xml:space="preserve"> was not high</w:t>
      </w:r>
      <w:r w:rsidR="000613BA" w:rsidRPr="00121F87">
        <w:rPr>
          <w:rFonts w:cs="Times New Roman"/>
          <w:szCs w:val="24"/>
        </w:rPr>
        <w:t xml:space="preserve">. This may be due to the difference in detection limit, with the qPCR showing reduced sensitivity. As the reviewer notes, amplicon sequencing uses the 16S gene, for which there are four copies in </w:t>
      </w:r>
      <w:r w:rsidR="000613BA" w:rsidRPr="00121F87">
        <w:rPr>
          <w:rFonts w:cs="Times New Roman"/>
          <w:i/>
          <w:iCs/>
          <w:szCs w:val="24"/>
        </w:rPr>
        <w:t>B</w:t>
      </w:r>
      <w:r w:rsidR="00121F87" w:rsidRPr="00121F87">
        <w:rPr>
          <w:rFonts w:cs="Times New Roman"/>
          <w:i/>
          <w:iCs/>
          <w:szCs w:val="24"/>
        </w:rPr>
        <w:t xml:space="preserve">ifidobacterium </w:t>
      </w:r>
      <w:r w:rsidR="00121F87" w:rsidRPr="00121F87">
        <w:rPr>
          <w:rFonts w:cs="Times New Roman"/>
          <w:szCs w:val="24"/>
        </w:rPr>
        <w:t xml:space="preserve">spp. </w:t>
      </w:r>
      <w:r w:rsidR="00961FAF" w:rsidRPr="00121F87">
        <w:rPr>
          <w:rFonts w:cs="Times New Roman"/>
          <w:szCs w:val="24"/>
        </w:rPr>
        <w:t xml:space="preserve">(PMID: 22470420). The qPCR targeted the </w:t>
      </w:r>
      <w:proofErr w:type="spellStart"/>
      <w:r w:rsidR="00961FAF" w:rsidRPr="00121F87">
        <w:rPr>
          <w:rFonts w:cs="Times New Roman"/>
          <w:i/>
          <w:iCs/>
          <w:szCs w:val="24"/>
        </w:rPr>
        <w:t>groEL</w:t>
      </w:r>
      <w:proofErr w:type="spellEnd"/>
      <w:r w:rsidR="00961FAF" w:rsidRPr="00121F87">
        <w:rPr>
          <w:rFonts w:cs="Times New Roman"/>
          <w:szCs w:val="24"/>
        </w:rPr>
        <w:t xml:space="preserve"> gene (PMID:22307308), for which there is </w:t>
      </w:r>
      <w:r w:rsidR="00121F87" w:rsidRPr="00121F87">
        <w:rPr>
          <w:rFonts w:cs="Times New Roman"/>
          <w:szCs w:val="24"/>
        </w:rPr>
        <w:t xml:space="preserve">only </w:t>
      </w:r>
      <w:r w:rsidR="00961FAF" w:rsidRPr="00121F87">
        <w:rPr>
          <w:rFonts w:cs="Times New Roman"/>
          <w:szCs w:val="24"/>
        </w:rPr>
        <w:t>a single copy</w:t>
      </w:r>
      <w:r w:rsidR="00121F87" w:rsidRPr="00121F87">
        <w:rPr>
          <w:rFonts w:cs="Times New Roman"/>
          <w:szCs w:val="24"/>
        </w:rPr>
        <w:t xml:space="preserve"> (PMID: 12381787)</w:t>
      </w:r>
      <w:r w:rsidR="00961FAF" w:rsidRPr="00121F87">
        <w:rPr>
          <w:rFonts w:cs="Times New Roman"/>
          <w:szCs w:val="24"/>
        </w:rPr>
        <w:t>.</w:t>
      </w:r>
    </w:p>
    <w:p w14:paraId="7CEC256E" w14:textId="77777777" w:rsidR="000613BA" w:rsidRDefault="000613BA" w:rsidP="002577C3">
      <w:pPr>
        <w:jc w:val="both"/>
        <w:rPr>
          <w:rFonts w:cs="Times New Roman"/>
          <w:szCs w:val="24"/>
          <w:highlight w:val="yellow"/>
        </w:rPr>
      </w:pPr>
    </w:p>
    <w:p w14:paraId="1E0A5783" w14:textId="1AEB0385" w:rsidR="006F5967" w:rsidRDefault="000613BA" w:rsidP="002577C3">
      <w:pPr>
        <w:jc w:val="both"/>
        <w:rPr>
          <w:rFonts w:cs="Times New Roman"/>
          <w:szCs w:val="24"/>
          <w:highlight w:val="yellow"/>
        </w:rPr>
      </w:pPr>
      <w:r w:rsidRPr="000613BA">
        <w:rPr>
          <w:rFonts w:cs="Times New Roman"/>
          <w:noProof/>
          <w:szCs w:val="24"/>
        </w:rPr>
        <w:drawing>
          <wp:inline distT="0" distB="0" distL="0" distR="0" wp14:anchorId="44F2BC17" wp14:editId="5A20560C">
            <wp:extent cx="3124200" cy="3045490"/>
            <wp:effectExtent l="0" t="0" r="0" b="2540"/>
            <wp:docPr id="951842680" name="Picture 1" descr="A graph of a graph with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42680" name="Picture 1" descr="A graph of a graph with black dots&#10;&#10;Description automatically generated with medium confidence"/>
                    <pic:cNvPicPr/>
                  </pic:nvPicPr>
                  <pic:blipFill>
                    <a:blip r:embed="rId10"/>
                    <a:stretch>
                      <a:fillRect/>
                    </a:stretch>
                  </pic:blipFill>
                  <pic:spPr>
                    <a:xfrm>
                      <a:off x="0" y="0"/>
                      <a:ext cx="3129277" cy="3050439"/>
                    </a:xfrm>
                    <a:prstGeom prst="rect">
                      <a:avLst/>
                    </a:prstGeom>
                  </pic:spPr>
                </pic:pic>
              </a:graphicData>
            </a:graphic>
          </wp:inline>
        </w:drawing>
      </w:r>
    </w:p>
    <w:p w14:paraId="6B4AAB5D" w14:textId="77777777" w:rsidR="00244F17" w:rsidRPr="001A3FD1" w:rsidRDefault="00244F17" w:rsidP="002577C3">
      <w:pPr>
        <w:jc w:val="both"/>
        <w:rPr>
          <w:rFonts w:cs="Times New Roman"/>
          <w:szCs w:val="24"/>
        </w:rPr>
      </w:pPr>
    </w:p>
    <w:p w14:paraId="41B41E41" w14:textId="7BF78A07" w:rsidR="00AF4A7F" w:rsidRPr="001327F2" w:rsidRDefault="003F04ED" w:rsidP="002577C3">
      <w:pPr>
        <w:jc w:val="both"/>
        <w:rPr>
          <w:rFonts w:cs="Times New Roman"/>
          <w:color w:val="4472C4" w:themeColor="accent1"/>
          <w:szCs w:val="24"/>
        </w:rPr>
      </w:pPr>
      <w:r w:rsidRPr="001327F2">
        <w:rPr>
          <w:rFonts w:cs="Times New Roman"/>
          <w:b/>
          <w:bCs w:val="0"/>
          <w:color w:val="4472C4" w:themeColor="accent1"/>
          <w:szCs w:val="24"/>
        </w:rPr>
        <w:t xml:space="preserve">C18: </w:t>
      </w:r>
      <w:r w:rsidR="00AF4A7F" w:rsidRPr="001327F2">
        <w:rPr>
          <w:rFonts w:cs="Times New Roman"/>
          <w:color w:val="4472C4" w:themeColor="accent1"/>
          <w:szCs w:val="24"/>
        </w:rPr>
        <w:t>Methods comment: Are results from littermates considered biological or technical replicates in these experiments?</w:t>
      </w:r>
    </w:p>
    <w:p w14:paraId="35F9888B" w14:textId="43C26A21" w:rsidR="00AF4A7F" w:rsidRDefault="001327F2" w:rsidP="002577C3">
      <w:pPr>
        <w:jc w:val="both"/>
        <w:rPr>
          <w:rFonts w:cs="Times New Roman"/>
          <w:szCs w:val="24"/>
        </w:rPr>
      </w:pPr>
      <w:r w:rsidRPr="001327F2">
        <w:rPr>
          <w:rFonts w:cs="Times New Roman"/>
          <w:b/>
          <w:bCs w:val="0"/>
          <w:szCs w:val="24"/>
        </w:rPr>
        <w:t>R18:</w:t>
      </w:r>
      <w:r>
        <w:rPr>
          <w:rFonts w:cs="Times New Roman"/>
          <w:szCs w:val="24"/>
        </w:rPr>
        <w:t xml:space="preserve"> Give the heterogenous nature of the gut microbiome, even within littermates cohoused, we consider each mouse to be a biological replicate rather than a technical replicate. We did also conduct technical replicates for our </w:t>
      </w:r>
      <w:r w:rsidRPr="001327F2">
        <w:rPr>
          <w:rFonts w:cs="Times New Roman"/>
          <w:i/>
          <w:iCs/>
          <w:szCs w:val="24"/>
        </w:rPr>
        <w:t>in vitro</w:t>
      </w:r>
      <w:r>
        <w:rPr>
          <w:rFonts w:cs="Times New Roman"/>
          <w:szCs w:val="24"/>
        </w:rPr>
        <w:t xml:space="preserve"> experiments as well as assessment of </w:t>
      </w:r>
      <w:r w:rsidRPr="001327F2">
        <w:rPr>
          <w:rFonts w:cs="Times New Roman"/>
          <w:i/>
          <w:iCs/>
          <w:szCs w:val="24"/>
        </w:rPr>
        <w:t>Bifidobacterium</w:t>
      </w:r>
      <w:r>
        <w:rPr>
          <w:rFonts w:cs="Times New Roman"/>
          <w:szCs w:val="24"/>
        </w:rPr>
        <w:t xml:space="preserve"> spp. abundance, performed by qPCR.</w:t>
      </w:r>
    </w:p>
    <w:p w14:paraId="718D5C65" w14:textId="77777777" w:rsidR="009755E7" w:rsidRPr="001A3FD1" w:rsidRDefault="009755E7" w:rsidP="002577C3">
      <w:pPr>
        <w:jc w:val="both"/>
        <w:rPr>
          <w:rFonts w:cs="Times New Roman"/>
          <w:szCs w:val="24"/>
        </w:rPr>
      </w:pPr>
    </w:p>
    <w:p w14:paraId="40F809AC" w14:textId="27483A95" w:rsidR="00AF4A7F" w:rsidRPr="0057131E" w:rsidRDefault="003F04ED" w:rsidP="002577C3">
      <w:pPr>
        <w:jc w:val="both"/>
        <w:rPr>
          <w:rFonts w:cs="Times New Roman"/>
          <w:color w:val="4472C4" w:themeColor="accent1"/>
          <w:szCs w:val="24"/>
        </w:rPr>
      </w:pPr>
      <w:r w:rsidRPr="0057131E">
        <w:rPr>
          <w:rFonts w:cs="Times New Roman"/>
          <w:b/>
          <w:bCs w:val="0"/>
          <w:color w:val="4472C4" w:themeColor="accent1"/>
          <w:szCs w:val="24"/>
        </w:rPr>
        <w:t xml:space="preserve">C19: </w:t>
      </w:r>
      <w:r w:rsidR="00AF4A7F" w:rsidRPr="0057131E">
        <w:rPr>
          <w:rFonts w:cs="Times New Roman"/>
          <w:color w:val="4472C4" w:themeColor="accent1"/>
          <w:szCs w:val="24"/>
        </w:rPr>
        <w:t>Line 275: Figure 1C does not seem to show any result in female mice</w:t>
      </w:r>
    </w:p>
    <w:p w14:paraId="7F7E0D67" w14:textId="3E1BBBB3" w:rsidR="0057131E" w:rsidRDefault="0057131E" w:rsidP="002577C3">
      <w:pPr>
        <w:jc w:val="both"/>
        <w:rPr>
          <w:rFonts w:cs="Times New Roman"/>
          <w:szCs w:val="24"/>
        </w:rPr>
      </w:pPr>
      <w:r w:rsidRPr="0057131E">
        <w:rPr>
          <w:rFonts w:cs="Times New Roman"/>
          <w:b/>
          <w:bCs w:val="0"/>
          <w:szCs w:val="24"/>
        </w:rPr>
        <w:lastRenderedPageBreak/>
        <w:t xml:space="preserve">R19: </w:t>
      </w:r>
      <w:r>
        <w:rPr>
          <w:rFonts w:cs="Times New Roman"/>
          <w:szCs w:val="24"/>
        </w:rPr>
        <w:t xml:space="preserve">We apologise for this error, where the text did not match the figure panels. We mistakenly referred to Figure 1C in text, instead of the correct panel (Figure 1B). This error occurred because we had previously had Figure 1A depicting the breeding pattern, which we removed from the figure prior to submission (but mistakenly did not correct the text). </w:t>
      </w:r>
    </w:p>
    <w:p w14:paraId="0CC9ACE1" w14:textId="40099A4A" w:rsidR="00AF4A7F" w:rsidRDefault="0057131E" w:rsidP="002577C3">
      <w:pPr>
        <w:jc w:val="both"/>
        <w:rPr>
          <w:rFonts w:cs="Times New Roman"/>
          <w:szCs w:val="24"/>
        </w:rPr>
      </w:pPr>
      <w:r>
        <w:rPr>
          <w:rFonts w:cs="Times New Roman"/>
          <w:szCs w:val="24"/>
        </w:rPr>
        <w:t xml:space="preserve">In the amended manuscript, we have corrected this. This includes the re-addition of the Figure 1A depicting the breeding pattern (in response to Reviewer 3, C29). </w:t>
      </w:r>
    </w:p>
    <w:p w14:paraId="7117D28B" w14:textId="77777777" w:rsidR="00741255" w:rsidRPr="001A3FD1" w:rsidRDefault="00741255" w:rsidP="002577C3">
      <w:pPr>
        <w:jc w:val="both"/>
        <w:rPr>
          <w:rFonts w:cs="Times New Roman"/>
          <w:szCs w:val="24"/>
        </w:rPr>
      </w:pPr>
    </w:p>
    <w:p w14:paraId="55D1DC23" w14:textId="738AC547" w:rsidR="003F04ED" w:rsidRPr="004A254F" w:rsidRDefault="009755E7" w:rsidP="002577C3">
      <w:pPr>
        <w:jc w:val="both"/>
        <w:rPr>
          <w:rFonts w:cs="Times New Roman"/>
          <w:b/>
          <w:bCs w:val="0"/>
          <w:color w:val="4472C4" w:themeColor="accent1"/>
          <w:szCs w:val="24"/>
          <w:u w:val="single"/>
        </w:rPr>
      </w:pPr>
      <w:r w:rsidRPr="004A254F">
        <w:rPr>
          <w:rFonts w:cs="Times New Roman"/>
          <w:b/>
          <w:bCs w:val="0"/>
          <w:color w:val="4472C4" w:themeColor="accent1"/>
          <w:szCs w:val="24"/>
          <w:u w:val="single"/>
        </w:rPr>
        <w:t xml:space="preserve">REVIEWER </w:t>
      </w:r>
      <w:r w:rsidR="00AF4A7F" w:rsidRPr="004A254F">
        <w:rPr>
          <w:rFonts w:cs="Times New Roman"/>
          <w:b/>
          <w:bCs w:val="0"/>
          <w:color w:val="4472C4" w:themeColor="accent1"/>
          <w:szCs w:val="24"/>
          <w:u w:val="single"/>
        </w:rPr>
        <w:t>#3</w:t>
      </w:r>
    </w:p>
    <w:p w14:paraId="2FF9E903" w14:textId="53F86752" w:rsidR="00AF4A7F" w:rsidRPr="003F04ED" w:rsidRDefault="003F04ED" w:rsidP="002577C3">
      <w:pPr>
        <w:jc w:val="both"/>
        <w:rPr>
          <w:rFonts w:cs="Times New Roman"/>
          <w:color w:val="4472C4" w:themeColor="accent1"/>
          <w:szCs w:val="24"/>
        </w:rPr>
      </w:pPr>
      <w:r w:rsidRPr="003F04ED">
        <w:rPr>
          <w:rFonts w:cs="Times New Roman"/>
          <w:b/>
          <w:bCs w:val="0"/>
          <w:color w:val="4472C4" w:themeColor="accent1"/>
          <w:szCs w:val="24"/>
        </w:rPr>
        <w:t xml:space="preserve">C20: </w:t>
      </w:r>
      <w:r w:rsidR="00AF4A7F" w:rsidRPr="003F04ED">
        <w:rPr>
          <w:rFonts w:cs="Times New Roman"/>
          <w:color w:val="4472C4" w:themeColor="accent1"/>
          <w:szCs w:val="24"/>
        </w:rPr>
        <w:t xml:space="preserve">The manuscript by Wang et al presents an interesting mechanistic study exploring how genotypic variation in the production of specific glycans can influence the microbiota colonization (specifically colonization by specific probiotic </w:t>
      </w:r>
      <w:r w:rsidR="00AF4A7F" w:rsidRPr="00A52FDD">
        <w:rPr>
          <w:rFonts w:cs="Times New Roman"/>
          <w:i/>
          <w:iCs/>
          <w:color w:val="4472C4" w:themeColor="accent1"/>
          <w:szCs w:val="24"/>
        </w:rPr>
        <w:t>Bifidobacteria</w:t>
      </w:r>
      <w:r w:rsidR="00AF4A7F" w:rsidRPr="003F04ED">
        <w:rPr>
          <w:rFonts w:cs="Times New Roman"/>
          <w:color w:val="4472C4" w:themeColor="accent1"/>
          <w:szCs w:val="24"/>
        </w:rPr>
        <w:t>) and select for specific members with the given substrate utilization capabilities. The authors provide mechanistic evidence by providing evidence using pre-clinical models involving a range of mice experiments.</w:t>
      </w:r>
      <w:r w:rsidRPr="003F04ED">
        <w:rPr>
          <w:rFonts w:cs="Times New Roman"/>
          <w:color w:val="4472C4" w:themeColor="accent1"/>
          <w:szCs w:val="24"/>
        </w:rPr>
        <w:t xml:space="preserve"> However, I feel that the study falls short of providing a clear translational outlook of these findings on humans. And the authors either need to acknowledge this or additional evidence.</w:t>
      </w:r>
    </w:p>
    <w:p w14:paraId="3B304D54" w14:textId="5AF56065" w:rsidR="003F04ED" w:rsidRPr="003F04ED" w:rsidRDefault="003F04ED" w:rsidP="002577C3">
      <w:pPr>
        <w:jc w:val="both"/>
      </w:pPr>
      <w:r w:rsidRPr="003F04ED">
        <w:rPr>
          <w:b/>
          <w:bCs w:val="0"/>
        </w:rPr>
        <w:t xml:space="preserve">R20: </w:t>
      </w:r>
      <w:r>
        <w:t xml:space="preserve">We acknowledge the reviewer’s concern regarding </w:t>
      </w:r>
      <w:r w:rsidR="00743977">
        <w:t>our</w:t>
      </w:r>
      <w:r>
        <w:t xml:space="preserve"> </w:t>
      </w:r>
      <w:r w:rsidR="00743977">
        <w:t>description of</w:t>
      </w:r>
      <w:r>
        <w:t xml:space="preserve"> the translational </w:t>
      </w:r>
      <w:r w:rsidR="00743977">
        <w:t>significance</w:t>
      </w:r>
      <w:r>
        <w:t xml:space="preserve"> of </w:t>
      </w:r>
      <w:r w:rsidR="00743977">
        <w:t>our</w:t>
      </w:r>
      <w:r>
        <w:t xml:space="preserve"> findings. </w:t>
      </w:r>
      <w:r w:rsidR="00743977">
        <w:t>We address these concerns in relation to their specific comments below.</w:t>
      </w:r>
    </w:p>
    <w:p w14:paraId="2869428D" w14:textId="77777777" w:rsidR="003F04ED" w:rsidRPr="003F04ED" w:rsidRDefault="003F04ED" w:rsidP="002577C3">
      <w:pPr>
        <w:jc w:val="both"/>
      </w:pPr>
    </w:p>
    <w:p w14:paraId="6C619F6E" w14:textId="04FA9479" w:rsidR="00AF4A7F" w:rsidRPr="00244F17" w:rsidRDefault="001327F2" w:rsidP="002577C3">
      <w:pPr>
        <w:jc w:val="both"/>
        <w:rPr>
          <w:rFonts w:cs="Times New Roman"/>
          <w:color w:val="4472C4" w:themeColor="accent1"/>
          <w:szCs w:val="24"/>
        </w:rPr>
      </w:pPr>
      <w:r w:rsidRPr="00244F17">
        <w:rPr>
          <w:rFonts w:cs="Times New Roman"/>
          <w:b/>
          <w:bCs w:val="0"/>
          <w:color w:val="4472C4" w:themeColor="accent1"/>
          <w:szCs w:val="24"/>
        </w:rPr>
        <w:t>C21:</w:t>
      </w:r>
      <w:r w:rsidRPr="00244F17">
        <w:rPr>
          <w:rFonts w:cs="Times New Roman"/>
          <w:color w:val="4472C4" w:themeColor="accent1"/>
          <w:szCs w:val="24"/>
        </w:rPr>
        <w:t xml:space="preserve"> </w:t>
      </w:r>
      <w:r w:rsidR="00AF4A7F" w:rsidRPr="00244F17">
        <w:rPr>
          <w:rFonts w:cs="Times New Roman"/>
          <w:color w:val="4472C4" w:themeColor="accent1"/>
          <w:szCs w:val="24"/>
        </w:rPr>
        <w:t xml:space="preserve">The is one primary reason which makes judging the translational applicability of these findings extremely confusing. The study is performed on mice. </w:t>
      </w:r>
      <w:proofErr w:type="gramStart"/>
      <w:r w:rsidR="00AF4A7F" w:rsidRPr="00244F17">
        <w:rPr>
          <w:rFonts w:cs="Times New Roman"/>
          <w:color w:val="4472C4" w:themeColor="accent1"/>
          <w:szCs w:val="24"/>
        </w:rPr>
        <w:t>And,</w:t>
      </w:r>
      <w:proofErr w:type="gramEnd"/>
      <w:r w:rsidR="00AF4A7F" w:rsidRPr="00244F17">
        <w:rPr>
          <w:rFonts w:cs="Times New Roman"/>
          <w:color w:val="4472C4" w:themeColor="accent1"/>
          <w:szCs w:val="24"/>
        </w:rPr>
        <w:t xml:space="preserve"> the authors see that when the probiotics are administered to individuals without prior antibiotic treatment, the strains that are able to utilize the specific glycan substrate a-1,2-fucosylated glycan show worse colonization in individuals who produce it. This means that in the absence of antibiotic exposure in mice, it is still the baseline microbiome that determines colonization (and not specific substrate utilization). Now, while mice </w:t>
      </w:r>
      <w:proofErr w:type="gramStart"/>
      <w:r w:rsidR="00AF4A7F" w:rsidRPr="00244F17">
        <w:rPr>
          <w:rFonts w:cs="Times New Roman"/>
          <w:color w:val="4472C4" w:themeColor="accent1"/>
          <w:szCs w:val="24"/>
        </w:rPr>
        <w:t>is</w:t>
      </w:r>
      <w:proofErr w:type="gramEnd"/>
      <w:r w:rsidR="00AF4A7F" w:rsidRPr="00244F17">
        <w:rPr>
          <w:rFonts w:cs="Times New Roman"/>
          <w:color w:val="4472C4" w:themeColor="accent1"/>
          <w:szCs w:val="24"/>
        </w:rPr>
        <w:t xml:space="preserve"> a simple system, in humans, even those with Ab treatment still contain a baseline microbiota (for some it can be reasonably high and recoverable) (https://pubmed.ncbi.nlm.nih.gov/32632261/) and besides probiotic, these Ab treated individuals are expected to have a range of other exposures including habitual diet. Thus, how would the probiotic perform in such competitive scenario?</w:t>
      </w:r>
    </w:p>
    <w:p w14:paraId="663994DC" w14:textId="4089A179" w:rsidR="001327F2" w:rsidRPr="00A11927" w:rsidRDefault="00A11927" w:rsidP="002577C3">
      <w:pPr>
        <w:jc w:val="both"/>
        <w:rPr>
          <w:rFonts w:cs="Times New Roman"/>
          <w:szCs w:val="24"/>
        </w:rPr>
      </w:pPr>
      <w:r w:rsidRPr="00A11927">
        <w:rPr>
          <w:rFonts w:cs="Times New Roman"/>
          <w:b/>
          <w:bCs w:val="0"/>
          <w:color w:val="000000" w:themeColor="text1"/>
          <w:szCs w:val="24"/>
        </w:rPr>
        <w:t>R21:</w:t>
      </w:r>
      <w:r w:rsidRPr="00A11927">
        <w:rPr>
          <w:rFonts w:cs="Times New Roman"/>
          <w:color w:val="000000" w:themeColor="text1"/>
          <w:szCs w:val="24"/>
        </w:rPr>
        <w:t xml:space="preserve"> </w:t>
      </w:r>
      <w:r w:rsidR="00743977" w:rsidRPr="00A11927">
        <w:rPr>
          <w:rFonts w:cs="Times New Roman"/>
          <w:color w:val="000000" w:themeColor="text1"/>
          <w:szCs w:val="24"/>
        </w:rPr>
        <w:t xml:space="preserve">The reviewer highlights and important issue, and one the underpins the rationale for murine studies </w:t>
      </w:r>
      <w:r w:rsidR="00743977" w:rsidRPr="00A11927">
        <w:rPr>
          <w:rFonts w:cs="Times New Roman"/>
          <w:szCs w:val="24"/>
        </w:rPr>
        <w:t xml:space="preserve">of the kind that we undertook. Mouse studies allow us to control virtually every exposure that might influence the outcome of the experiment, something that is clearly impossible in equivalent human investigations. </w:t>
      </w:r>
    </w:p>
    <w:p w14:paraId="7DB058EB" w14:textId="16F58D05" w:rsidR="00E66DA6" w:rsidRPr="00A11927" w:rsidRDefault="00517629" w:rsidP="002577C3">
      <w:pPr>
        <w:jc w:val="both"/>
        <w:rPr>
          <w:rFonts w:cs="Times New Roman"/>
          <w:szCs w:val="24"/>
        </w:rPr>
      </w:pPr>
      <w:r w:rsidRPr="00A11927">
        <w:rPr>
          <w:rFonts w:cs="Times New Roman"/>
          <w:szCs w:val="24"/>
        </w:rPr>
        <w:t xml:space="preserve">The reviewer cites </w:t>
      </w:r>
      <w:proofErr w:type="gramStart"/>
      <w:r w:rsidRPr="00A11927">
        <w:rPr>
          <w:rFonts w:cs="Times New Roman"/>
          <w:szCs w:val="24"/>
        </w:rPr>
        <w:t>a number of</w:t>
      </w:r>
      <w:proofErr w:type="gramEnd"/>
      <w:r w:rsidRPr="00A11927">
        <w:rPr>
          <w:rFonts w:cs="Times New Roman"/>
          <w:szCs w:val="24"/>
        </w:rPr>
        <w:t xml:space="preserve"> variables, including the extent and nature of antibiotic depletion of the gut microbiota and dietary intake, and there will be many others. In each case, the magnitude and directionality of the impact of this variance is likely to differ, resulting in turn in a great variability in probiotic colonisation. And indeed, similar murine studies have been used to explore the impact of other variables, including dietary intake, on probiotic dynamics</w:t>
      </w:r>
      <w:r w:rsidR="00E66DA6" w:rsidRPr="00A11927">
        <w:rPr>
          <w:rFonts w:cs="Times New Roman"/>
          <w:szCs w:val="24"/>
        </w:rPr>
        <w:t xml:space="preserve">. </w:t>
      </w:r>
    </w:p>
    <w:p w14:paraId="652FC65E" w14:textId="048DBE8F" w:rsidR="00E66DA6" w:rsidRPr="00A11927" w:rsidRDefault="00E66DA6" w:rsidP="002577C3">
      <w:pPr>
        <w:jc w:val="both"/>
        <w:rPr>
          <w:rFonts w:cs="Times New Roman"/>
          <w:szCs w:val="24"/>
        </w:rPr>
      </w:pPr>
      <w:r w:rsidRPr="00A11927">
        <w:rPr>
          <w:rFonts w:cs="Times New Roman"/>
          <w:szCs w:val="24"/>
        </w:rPr>
        <w:lastRenderedPageBreak/>
        <w:t xml:space="preserve">The insight gained through these murine studies allows us both to identify effects that can be attributed to specific factors, when others are controlled, and to detect signal that might otherwise be difficult to distinguish from background. Importantly, this insight can be built on in the next logical step of such investigations – cohort studies in humans. </w:t>
      </w:r>
    </w:p>
    <w:p w14:paraId="3E67D95C" w14:textId="309F5A01" w:rsidR="00E66DA6" w:rsidRDefault="00E66DA6" w:rsidP="002577C3">
      <w:pPr>
        <w:jc w:val="both"/>
        <w:rPr>
          <w:rFonts w:cs="Times New Roman"/>
          <w:szCs w:val="24"/>
        </w:rPr>
      </w:pPr>
      <w:r w:rsidRPr="00A11927">
        <w:rPr>
          <w:rFonts w:cs="Times New Roman"/>
          <w:szCs w:val="24"/>
        </w:rPr>
        <w:t xml:space="preserve">Within our revised manuscript, we now set out this translational pathway </w:t>
      </w:r>
      <w:proofErr w:type="gramStart"/>
      <w:r w:rsidRPr="00A11927">
        <w:rPr>
          <w:rFonts w:cs="Times New Roman"/>
          <w:szCs w:val="24"/>
        </w:rPr>
        <w:t>as a means to</w:t>
      </w:r>
      <w:proofErr w:type="gramEnd"/>
      <w:r w:rsidRPr="00A11927">
        <w:rPr>
          <w:rFonts w:cs="Times New Roman"/>
          <w:szCs w:val="24"/>
        </w:rPr>
        <w:t xml:space="preserve"> determine what the net impact of all exposures would be on probiotic performance</w:t>
      </w:r>
      <w:r w:rsidR="00C803EC">
        <w:rPr>
          <w:rFonts w:cs="Times New Roman"/>
          <w:szCs w:val="24"/>
        </w:rPr>
        <w:t xml:space="preserve"> (lines </w:t>
      </w:r>
      <w:r w:rsidR="00D60A56">
        <w:rPr>
          <w:rFonts w:cs="Times New Roman"/>
          <w:szCs w:val="24"/>
        </w:rPr>
        <w:t>44</w:t>
      </w:r>
      <w:r w:rsidR="006D43E6">
        <w:rPr>
          <w:rFonts w:cs="Times New Roman"/>
          <w:szCs w:val="24"/>
        </w:rPr>
        <w:t>0</w:t>
      </w:r>
      <w:r w:rsidR="00D60A56">
        <w:rPr>
          <w:rFonts w:cs="Times New Roman"/>
          <w:szCs w:val="24"/>
        </w:rPr>
        <w:t>-45</w:t>
      </w:r>
      <w:r w:rsidR="006D43E6">
        <w:rPr>
          <w:rFonts w:cs="Times New Roman"/>
          <w:szCs w:val="24"/>
        </w:rPr>
        <w:t>3</w:t>
      </w:r>
      <w:r w:rsidR="00C803EC">
        <w:rPr>
          <w:rFonts w:cs="Times New Roman"/>
          <w:szCs w:val="24"/>
        </w:rPr>
        <w:t>)</w:t>
      </w:r>
      <w:r w:rsidRPr="00A11927">
        <w:rPr>
          <w:rFonts w:cs="Times New Roman"/>
          <w:szCs w:val="24"/>
        </w:rPr>
        <w:t>.</w:t>
      </w:r>
    </w:p>
    <w:p w14:paraId="08862BBA" w14:textId="1DF01730" w:rsidR="001327F2" w:rsidRDefault="00844623" w:rsidP="002577C3">
      <w:pPr>
        <w:ind w:left="426" w:right="237"/>
        <w:jc w:val="both"/>
        <w:rPr>
          <w:rFonts w:cs="Times New Roman"/>
          <w:i/>
          <w:iCs/>
          <w:szCs w:val="24"/>
        </w:rPr>
      </w:pPr>
      <w:r w:rsidRPr="00422AC3">
        <w:rPr>
          <w:rFonts w:cs="Times New Roman"/>
          <w:i/>
          <w:iCs/>
          <w:szCs w:val="24"/>
        </w:rPr>
        <w:t>While this study was performed in mice, the effect of secretor status on bifidobacterium supplementation has important implications for probiotic strategies in humans. It is crucial to consider individual host traits and recent antibiotic exposure when designing a probiotic intervention (49). The findings here suggest that the 20% of the population who are non-secretors may have poorer persistence of H antigen utilising probiotics, such as B. infantis</w:t>
      </w:r>
      <w:r w:rsidR="00DB502D" w:rsidRPr="00422AC3">
        <w:rPr>
          <w:rFonts w:cs="Times New Roman"/>
          <w:i/>
          <w:iCs/>
          <w:szCs w:val="24"/>
        </w:rPr>
        <w:t xml:space="preserve">, compared to secretors </w:t>
      </w:r>
      <w:r w:rsidRPr="00422AC3">
        <w:rPr>
          <w:rFonts w:cs="Times New Roman"/>
          <w:i/>
          <w:iCs/>
          <w:szCs w:val="24"/>
        </w:rPr>
        <w:t>following antibiotic exposure. Conversely,</w:t>
      </w:r>
      <w:r w:rsidR="006D3467" w:rsidRPr="00422AC3">
        <w:rPr>
          <w:rFonts w:cs="Times New Roman"/>
          <w:i/>
          <w:iCs/>
          <w:szCs w:val="24"/>
        </w:rPr>
        <w:t xml:space="preserve"> in the absence of recent antibiotic exposure, higher levels of microbial niche occupancy </w:t>
      </w:r>
      <w:proofErr w:type="gramStart"/>
      <w:r w:rsidR="006D3467" w:rsidRPr="00422AC3">
        <w:rPr>
          <w:rFonts w:cs="Times New Roman"/>
          <w:i/>
          <w:iCs/>
          <w:szCs w:val="24"/>
        </w:rPr>
        <w:t xml:space="preserve">in </w:t>
      </w:r>
      <w:r w:rsidRPr="00422AC3">
        <w:rPr>
          <w:rFonts w:cs="Times New Roman"/>
          <w:i/>
          <w:iCs/>
          <w:szCs w:val="24"/>
        </w:rPr>
        <w:t xml:space="preserve"> secretors</w:t>
      </w:r>
      <w:proofErr w:type="gramEnd"/>
      <w:r w:rsidRPr="00422AC3">
        <w:rPr>
          <w:rFonts w:cs="Times New Roman"/>
          <w:i/>
          <w:iCs/>
          <w:szCs w:val="24"/>
        </w:rPr>
        <w:t xml:space="preserve"> may hamper B. infantis persistence compared to non-secretors. An individualised supplementation with prebiotics </w:t>
      </w:r>
      <w:r w:rsidR="006D3467" w:rsidRPr="00422AC3">
        <w:rPr>
          <w:rFonts w:cs="Times New Roman"/>
          <w:i/>
          <w:iCs/>
          <w:szCs w:val="24"/>
        </w:rPr>
        <w:t>may have</w:t>
      </w:r>
      <w:r w:rsidRPr="00422AC3">
        <w:rPr>
          <w:rFonts w:cs="Times New Roman"/>
          <w:i/>
          <w:iCs/>
          <w:szCs w:val="24"/>
        </w:rPr>
        <w:t xml:space="preserve"> potential </w:t>
      </w:r>
      <w:proofErr w:type="gramStart"/>
      <w:r w:rsidR="006D3467" w:rsidRPr="00422AC3">
        <w:rPr>
          <w:rFonts w:cs="Times New Roman"/>
          <w:i/>
          <w:iCs/>
          <w:szCs w:val="24"/>
        </w:rPr>
        <w:t>as a means to</w:t>
      </w:r>
      <w:proofErr w:type="gramEnd"/>
      <w:r w:rsidRPr="00422AC3">
        <w:rPr>
          <w:rFonts w:cs="Times New Roman"/>
          <w:i/>
          <w:iCs/>
          <w:szCs w:val="24"/>
        </w:rPr>
        <w:t xml:space="preserve"> optimise probiotic uptake in non-secretors. For example, previous studies have shown that supplementation with human milk oligosaccharides can enhance B. infantis engraftment (21), with successful supplementation shown to reduce intestinal inflammation in infants (50). Investigating additional </w:t>
      </w:r>
      <w:proofErr w:type="gramStart"/>
      <w:r w:rsidRPr="00422AC3">
        <w:rPr>
          <w:rFonts w:cs="Times New Roman"/>
          <w:i/>
          <w:iCs/>
          <w:szCs w:val="24"/>
        </w:rPr>
        <w:t>α(</w:t>
      </w:r>
      <w:proofErr w:type="gramEnd"/>
      <w:r w:rsidRPr="00422AC3">
        <w:rPr>
          <w:rFonts w:cs="Times New Roman"/>
          <w:i/>
          <w:iCs/>
          <w:szCs w:val="24"/>
        </w:rPr>
        <w:t xml:space="preserve">1,2)-fucosylated glycans, given as prebiotics, may lead to improved outcomes of B. </w:t>
      </w:r>
      <w:proofErr w:type="spellStart"/>
      <w:r w:rsidRPr="00422AC3">
        <w:rPr>
          <w:rFonts w:cs="Times New Roman"/>
          <w:i/>
          <w:iCs/>
          <w:szCs w:val="24"/>
        </w:rPr>
        <w:t>infantis</w:t>
      </w:r>
      <w:proofErr w:type="spellEnd"/>
      <w:r w:rsidRPr="00422AC3">
        <w:rPr>
          <w:rFonts w:cs="Times New Roman"/>
          <w:i/>
          <w:iCs/>
          <w:szCs w:val="24"/>
        </w:rPr>
        <w:t xml:space="preserve"> supplementation in non-</w:t>
      </w:r>
      <w:proofErr w:type="spellStart"/>
      <w:r w:rsidRPr="00422AC3">
        <w:rPr>
          <w:rFonts w:cs="Times New Roman"/>
          <w:i/>
          <w:iCs/>
          <w:szCs w:val="24"/>
        </w:rPr>
        <w:t>secretor</w:t>
      </w:r>
      <w:proofErr w:type="spellEnd"/>
      <w:r w:rsidRPr="00422AC3">
        <w:rPr>
          <w:rFonts w:cs="Times New Roman"/>
          <w:i/>
          <w:iCs/>
          <w:szCs w:val="24"/>
        </w:rPr>
        <w:t xml:space="preserve"> individuals.</w:t>
      </w:r>
    </w:p>
    <w:p w14:paraId="279F31A0" w14:textId="77777777" w:rsidR="00FA428C" w:rsidRPr="00844623" w:rsidRDefault="00FA428C" w:rsidP="002577C3">
      <w:pPr>
        <w:ind w:left="426" w:right="237"/>
        <w:jc w:val="both"/>
        <w:rPr>
          <w:rFonts w:cs="Times New Roman"/>
          <w:i/>
          <w:iCs/>
          <w:szCs w:val="24"/>
        </w:rPr>
      </w:pPr>
    </w:p>
    <w:p w14:paraId="782E3C8A" w14:textId="6E611520" w:rsidR="00AF4A7F" w:rsidRPr="00244F17" w:rsidRDefault="00BD59EC" w:rsidP="002577C3">
      <w:pPr>
        <w:jc w:val="both"/>
        <w:rPr>
          <w:rFonts w:cs="Times New Roman"/>
          <w:color w:val="4472C4" w:themeColor="accent1"/>
          <w:szCs w:val="24"/>
        </w:rPr>
      </w:pPr>
      <w:r w:rsidRPr="00244F17">
        <w:rPr>
          <w:rFonts w:cs="Times New Roman"/>
          <w:b/>
          <w:bCs w:val="0"/>
          <w:color w:val="4472C4" w:themeColor="accent1"/>
          <w:szCs w:val="24"/>
        </w:rPr>
        <w:t>C22</w:t>
      </w:r>
      <w:r w:rsidRPr="00244F17">
        <w:rPr>
          <w:rFonts w:cs="Times New Roman"/>
          <w:color w:val="4472C4" w:themeColor="accent1"/>
          <w:szCs w:val="24"/>
        </w:rPr>
        <w:t xml:space="preserve">: </w:t>
      </w:r>
      <w:r w:rsidR="00AF4A7F" w:rsidRPr="00244F17">
        <w:rPr>
          <w:rFonts w:cs="Times New Roman"/>
          <w:color w:val="4472C4" w:themeColor="accent1"/>
          <w:szCs w:val="24"/>
        </w:rPr>
        <w:t xml:space="preserve">I also don't understand why did the authors not tested for other Bifidobacteria (like longum and </w:t>
      </w:r>
      <w:proofErr w:type="spellStart"/>
      <w:r w:rsidR="00AF4A7F" w:rsidRPr="00244F17">
        <w:rPr>
          <w:rFonts w:cs="Times New Roman"/>
          <w:color w:val="4472C4" w:themeColor="accent1"/>
          <w:szCs w:val="24"/>
        </w:rPr>
        <w:t>adolescentis</w:t>
      </w:r>
      <w:proofErr w:type="spellEnd"/>
      <w:r w:rsidR="00AF4A7F" w:rsidRPr="00244F17">
        <w:rPr>
          <w:rFonts w:cs="Times New Roman"/>
          <w:color w:val="4472C4" w:themeColor="accent1"/>
          <w:szCs w:val="24"/>
        </w:rPr>
        <w:t>) that are more core to the gut microbiome than infantis?</w:t>
      </w:r>
    </w:p>
    <w:p w14:paraId="7BA0C11E" w14:textId="5B49286B" w:rsidR="004273BA" w:rsidRDefault="00EF2D81" w:rsidP="002577C3">
      <w:pPr>
        <w:jc w:val="both"/>
        <w:rPr>
          <w:rFonts w:cs="Times New Roman"/>
          <w:szCs w:val="24"/>
        </w:rPr>
      </w:pPr>
      <w:r w:rsidRPr="00A11927">
        <w:rPr>
          <w:rFonts w:cs="Times New Roman"/>
          <w:b/>
          <w:bCs w:val="0"/>
          <w:szCs w:val="24"/>
        </w:rPr>
        <w:t>R22:</w:t>
      </w:r>
      <w:r w:rsidRPr="00A11927">
        <w:rPr>
          <w:rFonts w:cs="Times New Roman"/>
          <w:szCs w:val="24"/>
        </w:rPr>
        <w:t xml:space="preserve"> </w:t>
      </w:r>
      <w:r w:rsidR="009D6431" w:rsidRPr="00A11927">
        <w:rPr>
          <w:rFonts w:cs="Times New Roman"/>
          <w:szCs w:val="24"/>
        </w:rPr>
        <w:t xml:space="preserve">Clearly, there are </w:t>
      </w:r>
      <w:proofErr w:type="gramStart"/>
      <w:r w:rsidR="009D6431" w:rsidRPr="00A11927">
        <w:rPr>
          <w:rFonts w:cs="Times New Roman"/>
          <w:szCs w:val="24"/>
        </w:rPr>
        <w:t>a large number of</w:t>
      </w:r>
      <w:proofErr w:type="gramEnd"/>
      <w:r w:rsidR="009D6431" w:rsidRPr="00A11927">
        <w:rPr>
          <w:rFonts w:cs="Times New Roman"/>
          <w:szCs w:val="24"/>
        </w:rPr>
        <w:t xml:space="preserve"> bifidobacteria that we could have assessed </w:t>
      </w:r>
      <w:r w:rsidR="004273BA" w:rsidRPr="00A11927">
        <w:rPr>
          <w:rFonts w:cs="Times New Roman"/>
          <w:szCs w:val="24"/>
        </w:rPr>
        <w:t>but</w:t>
      </w:r>
      <w:r w:rsidR="009D6431" w:rsidRPr="00A11927">
        <w:rPr>
          <w:rFonts w:cs="Times New Roman"/>
          <w:szCs w:val="24"/>
        </w:rPr>
        <w:t xml:space="preserve"> our goal was not to undertake a comprehensive characterisation of members of the genus. </w:t>
      </w:r>
      <w:r w:rsidR="004273BA" w:rsidRPr="00A11927">
        <w:rPr>
          <w:rFonts w:cs="Times New Roman"/>
          <w:szCs w:val="24"/>
        </w:rPr>
        <w:t xml:space="preserve">Rather, we selected three common species </w:t>
      </w:r>
      <w:r w:rsidR="00704048" w:rsidRPr="00A11927">
        <w:rPr>
          <w:rFonts w:cs="Times New Roman"/>
          <w:szCs w:val="24"/>
        </w:rPr>
        <w:t xml:space="preserve">that </w:t>
      </w:r>
      <w:r w:rsidR="004273BA" w:rsidRPr="00A11927">
        <w:rPr>
          <w:rFonts w:cs="Times New Roman"/>
          <w:szCs w:val="24"/>
        </w:rPr>
        <w:t xml:space="preserve">interact with glycan in different ways; </w:t>
      </w:r>
      <w:r w:rsidR="004273BA" w:rsidRPr="00A11927">
        <w:rPr>
          <w:rFonts w:cs="Times New Roman"/>
          <w:i/>
          <w:iCs/>
          <w:szCs w:val="24"/>
        </w:rPr>
        <w:t>B. infantis</w:t>
      </w:r>
      <w:r w:rsidR="004273BA" w:rsidRPr="00A11927">
        <w:rPr>
          <w:rFonts w:cs="Times New Roman"/>
          <w:szCs w:val="24"/>
        </w:rPr>
        <w:t xml:space="preserve">, an intracellular </w:t>
      </w:r>
      <w:proofErr w:type="gramStart"/>
      <w:r w:rsidR="004273BA" w:rsidRPr="00A11927">
        <w:rPr>
          <w:rFonts w:cs="Times New Roman"/>
          <w:szCs w:val="24"/>
        </w:rPr>
        <w:t>α(</w:t>
      </w:r>
      <w:proofErr w:type="gramEnd"/>
      <w:r w:rsidR="004273BA" w:rsidRPr="00A11927">
        <w:rPr>
          <w:rFonts w:cs="Times New Roman"/>
          <w:szCs w:val="24"/>
        </w:rPr>
        <w:t xml:space="preserve">1,2)-fucosylated glycan-utiliser, </w:t>
      </w:r>
      <w:r w:rsidR="004273BA" w:rsidRPr="00A11927">
        <w:rPr>
          <w:rFonts w:cs="Times New Roman"/>
          <w:i/>
          <w:iCs/>
          <w:szCs w:val="24"/>
        </w:rPr>
        <w:t>B. bifidum</w:t>
      </w:r>
      <w:r w:rsidR="004273BA" w:rsidRPr="00A11927">
        <w:rPr>
          <w:rFonts w:cs="Times New Roman"/>
          <w:szCs w:val="24"/>
        </w:rPr>
        <w:t xml:space="preserve">, an extra-cellular α(1,2)-fucosylated glycan utiliser, and </w:t>
      </w:r>
      <w:r w:rsidR="004273BA" w:rsidRPr="00A11927">
        <w:rPr>
          <w:rFonts w:cs="Times New Roman"/>
          <w:i/>
          <w:iCs/>
          <w:szCs w:val="24"/>
        </w:rPr>
        <w:t>B. breve</w:t>
      </w:r>
      <w:r w:rsidR="004273BA" w:rsidRPr="00A11927">
        <w:rPr>
          <w:rFonts w:cs="Times New Roman"/>
          <w:szCs w:val="24"/>
        </w:rPr>
        <w:t xml:space="preserve">, a species </w:t>
      </w:r>
      <w:r w:rsidR="00C803EC">
        <w:rPr>
          <w:rFonts w:cs="Times New Roman"/>
          <w:szCs w:val="24"/>
        </w:rPr>
        <w:t xml:space="preserve">with a less defined </w:t>
      </w:r>
      <w:r w:rsidR="004273BA" w:rsidRPr="00A11927">
        <w:rPr>
          <w:rFonts w:cs="Times New Roman"/>
          <w:szCs w:val="24"/>
        </w:rPr>
        <w:t>α(1,2)-fucosylated glycans</w:t>
      </w:r>
      <w:r w:rsidR="00C803EC">
        <w:rPr>
          <w:rFonts w:cs="Times New Roman"/>
          <w:szCs w:val="24"/>
        </w:rPr>
        <w:t xml:space="preserve"> utilisation pathway</w:t>
      </w:r>
      <w:r w:rsidR="004273BA" w:rsidRPr="00A11927">
        <w:rPr>
          <w:rFonts w:cs="Times New Roman"/>
          <w:szCs w:val="24"/>
        </w:rPr>
        <w:t>. We felt that this approach provided fundamental insight and the ability to extrapolate the behaviour of other species.</w:t>
      </w:r>
      <w:r w:rsidR="004273BA" w:rsidRPr="00E43DC1">
        <w:rPr>
          <w:rFonts w:cs="Times New Roman"/>
          <w:szCs w:val="24"/>
        </w:rPr>
        <w:t xml:space="preserve"> </w:t>
      </w:r>
    </w:p>
    <w:p w14:paraId="7E2FCA9B" w14:textId="77777777" w:rsidR="00244F17" w:rsidRPr="00E43DC1" w:rsidRDefault="00244F17" w:rsidP="002577C3">
      <w:pPr>
        <w:jc w:val="both"/>
        <w:rPr>
          <w:rFonts w:cs="Times New Roman"/>
          <w:szCs w:val="24"/>
        </w:rPr>
      </w:pPr>
    </w:p>
    <w:p w14:paraId="20D56475" w14:textId="2E202569" w:rsidR="00AF4A7F" w:rsidRPr="00C15CB9" w:rsidRDefault="00BD59EC" w:rsidP="002577C3">
      <w:pPr>
        <w:jc w:val="both"/>
        <w:rPr>
          <w:rFonts w:cs="Times New Roman"/>
          <w:color w:val="4472C4" w:themeColor="accent1"/>
          <w:szCs w:val="24"/>
        </w:rPr>
      </w:pPr>
      <w:bookmarkStart w:id="3" w:name="_Hlk164164489"/>
      <w:r w:rsidRPr="00C15CB9">
        <w:rPr>
          <w:rFonts w:cs="Times New Roman"/>
          <w:b/>
          <w:bCs w:val="0"/>
          <w:color w:val="4472C4" w:themeColor="accent1"/>
          <w:szCs w:val="24"/>
        </w:rPr>
        <w:t>C23</w:t>
      </w:r>
      <w:r w:rsidRPr="00C15CB9">
        <w:rPr>
          <w:rFonts w:cs="Times New Roman"/>
          <w:color w:val="4472C4" w:themeColor="accent1"/>
          <w:szCs w:val="24"/>
        </w:rPr>
        <w:t>:</w:t>
      </w:r>
      <w:r w:rsidR="00AF4A7F" w:rsidRPr="00C15CB9">
        <w:rPr>
          <w:rFonts w:cs="Times New Roman"/>
          <w:color w:val="4472C4" w:themeColor="accent1"/>
          <w:szCs w:val="24"/>
        </w:rPr>
        <w:t xml:space="preserve"> It is interesting to see that the microbiome stratification by genotype is observed only in </w:t>
      </w:r>
      <w:proofErr w:type="gramStart"/>
      <w:r w:rsidR="00AF4A7F" w:rsidRPr="00C15CB9">
        <w:rPr>
          <w:rFonts w:cs="Times New Roman"/>
          <w:color w:val="4472C4" w:themeColor="accent1"/>
          <w:szCs w:val="24"/>
        </w:rPr>
        <w:t>males?</w:t>
      </w:r>
      <w:proofErr w:type="gramEnd"/>
      <w:r w:rsidR="00AF4A7F" w:rsidRPr="00C15CB9">
        <w:rPr>
          <w:rFonts w:cs="Times New Roman"/>
          <w:color w:val="4472C4" w:themeColor="accent1"/>
          <w:szCs w:val="24"/>
        </w:rPr>
        <w:t xml:space="preserve"> Why? Is there a bias of the genotype towards males? If not, why? The authors don't probe the reasons for this observation. Does that mean the gut microbiome of females do not show any substrate-specific selection of microbiome members? If so, then again the previous observation comes forth. It is the other bacteria that drive colonization, the host genotype only contributes to a minor extent.</w:t>
      </w:r>
    </w:p>
    <w:bookmarkEnd w:id="3"/>
    <w:p w14:paraId="16F7E59A" w14:textId="165B9C32" w:rsidR="00B73660" w:rsidRDefault="00C15CB9" w:rsidP="002577C3">
      <w:pPr>
        <w:jc w:val="both"/>
        <w:rPr>
          <w:rFonts w:cs="Times New Roman"/>
          <w:szCs w:val="24"/>
        </w:rPr>
      </w:pPr>
      <w:r w:rsidRPr="00C15CB9">
        <w:rPr>
          <w:rFonts w:cs="Times New Roman"/>
          <w:b/>
          <w:bCs w:val="0"/>
          <w:szCs w:val="24"/>
        </w:rPr>
        <w:t>R23</w:t>
      </w:r>
      <w:r>
        <w:rPr>
          <w:rFonts w:cs="Times New Roman"/>
          <w:szCs w:val="24"/>
        </w:rPr>
        <w:t xml:space="preserve">: This is indeed an interesting point. The reviewer raised the query of whether it is due to differential genotype expression between male and female mice. This is something we explored </w:t>
      </w:r>
      <w:r w:rsidR="006862E5">
        <w:rPr>
          <w:rFonts w:cs="Times New Roman"/>
          <w:szCs w:val="24"/>
        </w:rPr>
        <w:t>through the immunohistochemistry (Fig. S1)</w:t>
      </w:r>
      <w:r w:rsidR="00C61E22">
        <w:rPr>
          <w:rFonts w:cs="Times New Roman"/>
          <w:szCs w:val="24"/>
        </w:rPr>
        <w:t>,</w:t>
      </w:r>
      <w:r w:rsidR="006862E5">
        <w:rPr>
          <w:rFonts w:cs="Times New Roman"/>
          <w:szCs w:val="24"/>
        </w:rPr>
        <w:t xml:space="preserve"> </w:t>
      </w:r>
      <w:r w:rsidR="00C61E22">
        <w:rPr>
          <w:rFonts w:cs="Times New Roman"/>
          <w:szCs w:val="24"/>
        </w:rPr>
        <w:t xml:space="preserve">where both </w:t>
      </w:r>
      <w:r w:rsidR="006862E5">
        <w:rPr>
          <w:rFonts w:cs="Times New Roman"/>
          <w:szCs w:val="24"/>
        </w:rPr>
        <w:t>male and female m</w:t>
      </w:r>
      <w:r w:rsidR="00C61E22">
        <w:rPr>
          <w:rFonts w:cs="Times New Roman"/>
          <w:szCs w:val="24"/>
        </w:rPr>
        <w:t xml:space="preserve">ouse tissue was </w:t>
      </w:r>
      <w:r w:rsidR="00C61E22">
        <w:rPr>
          <w:rFonts w:cs="Times New Roman"/>
          <w:szCs w:val="24"/>
        </w:rPr>
        <w:lastRenderedPageBreak/>
        <w:t xml:space="preserve">stained for </w:t>
      </w:r>
      <w:proofErr w:type="gramStart"/>
      <w:r w:rsidR="00C61E22">
        <w:rPr>
          <w:rFonts w:cs="Times New Roman"/>
          <w:szCs w:val="24"/>
        </w:rPr>
        <w:t>α(</w:t>
      </w:r>
      <w:proofErr w:type="gramEnd"/>
      <w:r w:rsidR="00C61E22">
        <w:rPr>
          <w:rFonts w:cs="Times New Roman"/>
          <w:szCs w:val="24"/>
        </w:rPr>
        <w:t>1,2)-fucosylated glycans</w:t>
      </w:r>
      <w:r w:rsidR="006862E5">
        <w:rPr>
          <w:rFonts w:cs="Times New Roman"/>
          <w:szCs w:val="24"/>
        </w:rPr>
        <w:t xml:space="preserve">. </w:t>
      </w:r>
      <w:r w:rsidR="00C61E22">
        <w:rPr>
          <w:rFonts w:cs="Times New Roman"/>
          <w:szCs w:val="24"/>
        </w:rPr>
        <w:t xml:space="preserve">Here, the top and bottom panel of WT mouse tissue is female, while the middle is male. As can be seen, there is </w:t>
      </w:r>
      <w:r w:rsidR="006862E5">
        <w:rPr>
          <w:rFonts w:cs="Times New Roman"/>
          <w:szCs w:val="24"/>
        </w:rPr>
        <w:t xml:space="preserve">not any difference in stain intensity or coverage between the sexes. While we could not find any literature to directly support this, </w:t>
      </w:r>
      <w:r w:rsidR="00B73660">
        <w:rPr>
          <w:rFonts w:cs="Times New Roman"/>
          <w:szCs w:val="24"/>
        </w:rPr>
        <w:t>measures of</w:t>
      </w:r>
      <w:r w:rsidR="006862E5">
        <w:rPr>
          <w:rFonts w:cs="Times New Roman"/>
          <w:szCs w:val="24"/>
        </w:rPr>
        <w:t xml:space="preserve"> mouse fertility and physiology </w:t>
      </w:r>
      <w:r w:rsidR="00B73660">
        <w:rPr>
          <w:rFonts w:cs="Times New Roman"/>
          <w:szCs w:val="24"/>
        </w:rPr>
        <w:t xml:space="preserve">have been previously shown to be unaltered by </w:t>
      </w:r>
      <w:r w:rsidR="00B73660" w:rsidRPr="00B73660">
        <w:rPr>
          <w:rFonts w:cs="Times New Roman"/>
          <w:i/>
          <w:iCs/>
          <w:szCs w:val="24"/>
        </w:rPr>
        <w:t>Fut2</w:t>
      </w:r>
      <w:r w:rsidR="00B73660">
        <w:rPr>
          <w:rFonts w:cs="Times New Roman"/>
          <w:szCs w:val="24"/>
        </w:rPr>
        <w:t xml:space="preserve"> genotype in both </w:t>
      </w:r>
      <w:r w:rsidR="006862E5">
        <w:rPr>
          <w:rFonts w:cs="Times New Roman"/>
          <w:szCs w:val="24"/>
        </w:rPr>
        <w:t>male and female mice (PMID:</w:t>
      </w:r>
      <w:r w:rsidR="006862E5" w:rsidRPr="006862E5">
        <w:t xml:space="preserve"> </w:t>
      </w:r>
      <w:r w:rsidR="006862E5" w:rsidRPr="006862E5">
        <w:rPr>
          <w:rFonts w:cs="Times New Roman"/>
          <w:szCs w:val="24"/>
        </w:rPr>
        <w:t>11713270</w:t>
      </w:r>
      <w:r w:rsidR="006862E5">
        <w:rPr>
          <w:rFonts w:cs="Times New Roman"/>
          <w:szCs w:val="24"/>
        </w:rPr>
        <w:t>).</w:t>
      </w:r>
    </w:p>
    <w:p w14:paraId="20ACEB14" w14:textId="56037BDA" w:rsidR="00BD59EC" w:rsidRDefault="00B73660" w:rsidP="002577C3">
      <w:pPr>
        <w:jc w:val="both"/>
        <w:rPr>
          <w:rFonts w:cs="Times New Roman"/>
          <w:szCs w:val="24"/>
        </w:rPr>
      </w:pPr>
      <w:r>
        <w:rPr>
          <w:rFonts w:cs="Times New Roman"/>
          <w:szCs w:val="24"/>
        </w:rPr>
        <w:t xml:space="preserve">While we </w:t>
      </w:r>
      <w:r w:rsidR="00E952FA">
        <w:rPr>
          <w:rFonts w:cs="Times New Roman"/>
          <w:szCs w:val="24"/>
        </w:rPr>
        <w:t>remain</w:t>
      </w:r>
      <w:r>
        <w:rPr>
          <w:rFonts w:cs="Times New Roman"/>
          <w:szCs w:val="24"/>
        </w:rPr>
        <w:t xml:space="preserve"> uncertain </w:t>
      </w:r>
      <w:r w:rsidR="00E952FA">
        <w:rPr>
          <w:rFonts w:cs="Times New Roman"/>
          <w:szCs w:val="24"/>
        </w:rPr>
        <w:t>regarding</w:t>
      </w:r>
      <w:r>
        <w:rPr>
          <w:rFonts w:cs="Times New Roman"/>
          <w:szCs w:val="24"/>
        </w:rPr>
        <w:t xml:space="preserve"> the precise mechanism, we hypothesise </w:t>
      </w:r>
      <w:r w:rsidR="00E952FA">
        <w:rPr>
          <w:rFonts w:cs="Times New Roman"/>
          <w:szCs w:val="24"/>
        </w:rPr>
        <w:t>that this phenomenon</w:t>
      </w:r>
      <w:r>
        <w:rPr>
          <w:rFonts w:cs="Times New Roman"/>
          <w:szCs w:val="24"/>
        </w:rPr>
        <w:t xml:space="preserve"> may be </w:t>
      </w:r>
      <w:proofErr w:type="gramStart"/>
      <w:r>
        <w:rPr>
          <w:rFonts w:cs="Times New Roman"/>
          <w:szCs w:val="24"/>
        </w:rPr>
        <w:t>due to the effect</w:t>
      </w:r>
      <w:proofErr w:type="gramEnd"/>
      <w:r>
        <w:rPr>
          <w:rFonts w:cs="Times New Roman"/>
          <w:szCs w:val="24"/>
        </w:rPr>
        <w:t xml:space="preserve"> sex hormones play on the microbiome. </w:t>
      </w:r>
      <w:r w:rsidR="00C15CB9" w:rsidRPr="00C15CB9">
        <w:rPr>
          <w:rFonts w:cs="Times New Roman"/>
          <w:szCs w:val="24"/>
        </w:rPr>
        <w:t xml:space="preserve">Sex hormones are recognized as drivers of microbiome </w:t>
      </w:r>
      <w:r w:rsidR="00C61E22">
        <w:rPr>
          <w:rFonts w:cs="Times New Roman"/>
          <w:szCs w:val="24"/>
        </w:rPr>
        <w:t xml:space="preserve">composition </w:t>
      </w:r>
      <w:r w:rsidR="00096126">
        <w:rPr>
          <w:rFonts w:cs="Times New Roman"/>
          <w:szCs w:val="24"/>
        </w:rPr>
        <w:t xml:space="preserve">(PMID: </w:t>
      </w:r>
      <w:r w:rsidR="00096126" w:rsidRPr="00096126">
        <w:rPr>
          <w:rFonts w:cs="Times New Roman"/>
          <w:szCs w:val="24"/>
        </w:rPr>
        <w:t>31636122</w:t>
      </w:r>
      <w:r w:rsidR="00096126">
        <w:rPr>
          <w:rFonts w:cs="Times New Roman"/>
          <w:szCs w:val="24"/>
        </w:rPr>
        <w:t>)</w:t>
      </w:r>
      <w:r w:rsidR="00C61E22">
        <w:rPr>
          <w:rFonts w:cs="Times New Roman"/>
          <w:szCs w:val="24"/>
        </w:rPr>
        <w:t>.</w:t>
      </w:r>
      <w:r w:rsidR="00C15CB9" w:rsidRPr="00C15CB9">
        <w:rPr>
          <w:rFonts w:cs="Times New Roman"/>
          <w:szCs w:val="24"/>
        </w:rPr>
        <w:t xml:space="preserve"> There is ongoing </w:t>
      </w:r>
      <w:r>
        <w:rPr>
          <w:rFonts w:cs="Times New Roman"/>
          <w:szCs w:val="24"/>
        </w:rPr>
        <w:t>discussion</w:t>
      </w:r>
      <w:r w:rsidR="00C15CB9" w:rsidRPr="00C15CB9">
        <w:rPr>
          <w:rFonts w:cs="Times New Roman"/>
          <w:szCs w:val="24"/>
        </w:rPr>
        <w:t xml:space="preserve"> regarding whether sex steroids regulate the composition or function of the gut microbiota, or conversely, if gut microbes influence sex steroid balance</w:t>
      </w:r>
      <w:r w:rsidR="00C61E22">
        <w:rPr>
          <w:rFonts w:cs="Times New Roman"/>
          <w:szCs w:val="24"/>
        </w:rPr>
        <w:t xml:space="preserve"> </w:t>
      </w:r>
      <w:r w:rsidR="00096126">
        <w:rPr>
          <w:rFonts w:cs="Times New Roman"/>
          <w:szCs w:val="24"/>
        </w:rPr>
        <w:t xml:space="preserve">(PMID: </w:t>
      </w:r>
      <w:r w:rsidR="00096126" w:rsidRPr="00096126">
        <w:rPr>
          <w:rFonts w:cs="Times New Roman"/>
          <w:szCs w:val="24"/>
        </w:rPr>
        <w:t>28778332</w:t>
      </w:r>
      <w:r w:rsidR="00096126">
        <w:rPr>
          <w:rFonts w:cs="Times New Roman"/>
          <w:szCs w:val="24"/>
        </w:rPr>
        <w:t>)</w:t>
      </w:r>
      <w:r w:rsidR="00C15CB9" w:rsidRPr="00C15CB9">
        <w:rPr>
          <w:rFonts w:cs="Times New Roman"/>
          <w:szCs w:val="24"/>
        </w:rPr>
        <w:t xml:space="preserve">. </w:t>
      </w:r>
      <w:r w:rsidR="00C61E22">
        <w:rPr>
          <w:rFonts w:cs="Times New Roman"/>
          <w:szCs w:val="24"/>
        </w:rPr>
        <w:t xml:space="preserve">For example, </w:t>
      </w:r>
      <w:r w:rsidR="00C15CB9" w:rsidRPr="00C15CB9">
        <w:rPr>
          <w:rFonts w:cs="Times New Roman"/>
          <w:szCs w:val="24"/>
        </w:rPr>
        <w:t>Chen and Madak-Erdogan (2016) have proposed a potential interaction between the microbiome and estrogens, suggesting that gut microbes may metabolize endogenous or dietary estrogens, leading to the production of estrogenic metabolites that can impact host metabolism. This concept, referred to as the "</w:t>
      </w:r>
      <w:proofErr w:type="spellStart"/>
      <w:r w:rsidR="00C15CB9" w:rsidRPr="00C15CB9">
        <w:rPr>
          <w:rFonts w:cs="Times New Roman"/>
          <w:szCs w:val="24"/>
        </w:rPr>
        <w:t>estrobolome</w:t>
      </w:r>
      <w:proofErr w:type="spellEnd"/>
      <w:r w:rsidR="00C15CB9" w:rsidRPr="00C15CB9">
        <w:rPr>
          <w:rFonts w:cs="Times New Roman"/>
          <w:szCs w:val="24"/>
        </w:rPr>
        <w:t xml:space="preserve">" </w:t>
      </w:r>
      <w:r>
        <w:rPr>
          <w:rFonts w:cs="Times New Roman"/>
          <w:szCs w:val="24"/>
        </w:rPr>
        <w:t>(</w:t>
      </w:r>
      <w:r w:rsidRPr="00B73660">
        <w:rPr>
          <w:rFonts w:cs="Times New Roman"/>
          <w:szCs w:val="24"/>
        </w:rPr>
        <w:t>PMID: 22018233</w:t>
      </w:r>
      <w:r w:rsidR="00C15CB9" w:rsidRPr="00C15CB9">
        <w:rPr>
          <w:rFonts w:cs="Times New Roman"/>
          <w:szCs w:val="24"/>
        </w:rPr>
        <w:t>), encompasses enteric bacterial genes capable of metabolizing estrogens.</w:t>
      </w:r>
    </w:p>
    <w:p w14:paraId="20309D9E" w14:textId="28E78D96" w:rsidR="00C15CB9" w:rsidRDefault="00B73660" w:rsidP="002577C3">
      <w:pPr>
        <w:jc w:val="both"/>
        <w:rPr>
          <w:rFonts w:cs="Times New Roman"/>
          <w:szCs w:val="24"/>
        </w:rPr>
      </w:pPr>
      <w:r w:rsidRPr="00B73660">
        <w:rPr>
          <w:rFonts w:cs="Times New Roman"/>
          <w:szCs w:val="24"/>
        </w:rPr>
        <w:t xml:space="preserve">In addition to sex hormones, other factors, such as differences in the immune </w:t>
      </w:r>
      <w:r>
        <w:rPr>
          <w:rFonts w:cs="Times New Roman"/>
          <w:szCs w:val="24"/>
        </w:rPr>
        <w:t>function</w:t>
      </w:r>
      <w:r w:rsidRPr="00B73660">
        <w:rPr>
          <w:rFonts w:cs="Times New Roman"/>
          <w:szCs w:val="24"/>
        </w:rPr>
        <w:t>, metaboli</w:t>
      </w:r>
      <w:r>
        <w:rPr>
          <w:rFonts w:cs="Times New Roman"/>
          <w:szCs w:val="24"/>
        </w:rPr>
        <w:t xml:space="preserve">sm, </w:t>
      </w:r>
      <w:r w:rsidRPr="00B73660">
        <w:rPr>
          <w:rFonts w:cs="Times New Roman"/>
          <w:szCs w:val="24"/>
        </w:rPr>
        <w:t>as well as behavioural and dietary habits between male and female</w:t>
      </w:r>
      <w:r w:rsidR="00C61E22">
        <w:rPr>
          <w:rFonts w:cs="Times New Roman"/>
          <w:szCs w:val="24"/>
        </w:rPr>
        <w:t xml:space="preserve"> mice</w:t>
      </w:r>
      <w:r w:rsidRPr="00B73660">
        <w:rPr>
          <w:rFonts w:cs="Times New Roman"/>
          <w:szCs w:val="24"/>
        </w:rPr>
        <w:t xml:space="preserve">, might also impact </w:t>
      </w:r>
      <w:r>
        <w:rPr>
          <w:rFonts w:cs="Times New Roman"/>
          <w:szCs w:val="24"/>
        </w:rPr>
        <w:t xml:space="preserve">the </w:t>
      </w:r>
      <w:r w:rsidRPr="00B73660">
        <w:rPr>
          <w:rFonts w:cs="Times New Roman"/>
          <w:szCs w:val="24"/>
        </w:rPr>
        <w:t>microbiome composition</w:t>
      </w:r>
      <w:r>
        <w:rPr>
          <w:rFonts w:cs="Times New Roman"/>
          <w:szCs w:val="24"/>
        </w:rPr>
        <w:t xml:space="preserve">, effecting the strength of the signal of </w:t>
      </w:r>
      <w:r w:rsidRPr="00B73660">
        <w:rPr>
          <w:rFonts w:cs="Times New Roman"/>
          <w:i/>
          <w:iCs/>
          <w:szCs w:val="24"/>
        </w:rPr>
        <w:t>Fut2</w:t>
      </w:r>
      <w:r>
        <w:rPr>
          <w:rFonts w:cs="Times New Roman"/>
          <w:szCs w:val="24"/>
        </w:rPr>
        <w:t xml:space="preserve"> in female mice</w:t>
      </w:r>
      <w:r w:rsidRPr="00B73660">
        <w:rPr>
          <w:rFonts w:cs="Times New Roman"/>
          <w:szCs w:val="24"/>
        </w:rPr>
        <w:t xml:space="preserve">. </w:t>
      </w:r>
    </w:p>
    <w:p w14:paraId="54BFFD82" w14:textId="2444444F" w:rsidR="00EF2D81" w:rsidRDefault="00EF2D81" w:rsidP="002577C3">
      <w:pPr>
        <w:jc w:val="both"/>
        <w:rPr>
          <w:rFonts w:cs="Times New Roman"/>
          <w:szCs w:val="24"/>
        </w:rPr>
      </w:pPr>
      <w:r>
        <w:rPr>
          <w:rFonts w:cs="Times New Roman"/>
          <w:szCs w:val="24"/>
        </w:rPr>
        <w:t xml:space="preserve">With respect to the implications of these findings, we understand the reviewer’s query. </w:t>
      </w:r>
      <w:r w:rsidR="00C61E22">
        <w:rPr>
          <w:rFonts w:cs="Times New Roman"/>
          <w:szCs w:val="24"/>
        </w:rPr>
        <w:t>The extent to which the sex x genotype interaction can be translated to humans is difficult to determine. O</w:t>
      </w:r>
      <w:r>
        <w:rPr>
          <w:rFonts w:cs="Times New Roman"/>
          <w:szCs w:val="24"/>
        </w:rPr>
        <w:t xml:space="preserve">ur PERMANOVA </w:t>
      </w:r>
      <w:r w:rsidR="00C61E22">
        <w:rPr>
          <w:rFonts w:cs="Times New Roman"/>
          <w:szCs w:val="24"/>
        </w:rPr>
        <w:t xml:space="preserve">results showing </w:t>
      </w:r>
      <w:r>
        <w:rPr>
          <w:rFonts w:cs="Times New Roman"/>
          <w:szCs w:val="24"/>
        </w:rPr>
        <w:t xml:space="preserve">that </w:t>
      </w:r>
      <w:r w:rsidRPr="00EF2D81">
        <w:rPr>
          <w:rFonts w:cs="Times New Roman"/>
          <w:i/>
          <w:iCs/>
          <w:szCs w:val="24"/>
        </w:rPr>
        <w:t>Fut2</w:t>
      </w:r>
      <w:r>
        <w:rPr>
          <w:rFonts w:cs="Times New Roman"/>
          <w:szCs w:val="24"/>
        </w:rPr>
        <w:t xml:space="preserve"> genotype has a stronger effect on the gut microbiome compared to sex</w:t>
      </w:r>
      <w:r w:rsidR="00C61E22">
        <w:rPr>
          <w:rFonts w:cs="Times New Roman"/>
          <w:szCs w:val="24"/>
        </w:rPr>
        <w:t xml:space="preserve"> (Table S3) suggests that genotype is an important variable</w:t>
      </w:r>
      <w:r>
        <w:rPr>
          <w:rFonts w:cs="Times New Roman"/>
          <w:szCs w:val="24"/>
        </w:rPr>
        <w:t xml:space="preserve">. This, combined with the body of literature showing the </w:t>
      </w:r>
      <w:r w:rsidRPr="00EF2D81">
        <w:rPr>
          <w:rFonts w:cs="Times New Roman"/>
          <w:i/>
          <w:iCs/>
          <w:szCs w:val="24"/>
        </w:rPr>
        <w:t>Fut2</w:t>
      </w:r>
      <w:r>
        <w:rPr>
          <w:rFonts w:cs="Times New Roman"/>
          <w:szCs w:val="24"/>
        </w:rPr>
        <w:t xml:space="preserve"> effects baseline microbiota (</w:t>
      </w:r>
      <w:r w:rsidR="0099416C">
        <w:rPr>
          <w:rFonts w:cs="Times New Roman"/>
          <w:szCs w:val="24"/>
        </w:rPr>
        <w:t xml:space="preserve">e.g. </w:t>
      </w:r>
      <w:r>
        <w:rPr>
          <w:rFonts w:cs="Times New Roman"/>
          <w:szCs w:val="24"/>
        </w:rPr>
        <w:t>PMID:</w:t>
      </w:r>
      <w:r w:rsidR="0099416C" w:rsidRPr="0099416C">
        <w:t xml:space="preserve"> </w:t>
      </w:r>
      <w:r w:rsidR="0099416C" w:rsidRPr="0099416C">
        <w:rPr>
          <w:rFonts w:cs="Times New Roman"/>
          <w:szCs w:val="24"/>
        </w:rPr>
        <w:t>34419617</w:t>
      </w:r>
      <w:r w:rsidR="0099416C">
        <w:rPr>
          <w:rFonts w:cs="Times New Roman"/>
          <w:szCs w:val="24"/>
        </w:rPr>
        <w:t xml:space="preserve">, </w:t>
      </w:r>
      <w:r w:rsidR="0099416C" w:rsidRPr="0099416C">
        <w:rPr>
          <w:rFonts w:cs="Times New Roman"/>
          <w:szCs w:val="24"/>
        </w:rPr>
        <w:t>33462482</w:t>
      </w:r>
      <w:r w:rsidR="0099416C">
        <w:rPr>
          <w:rFonts w:cs="Times New Roman"/>
          <w:szCs w:val="24"/>
        </w:rPr>
        <w:t xml:space="preserve">, </w:t>
      </w:r>
      <w:r w:rsidR="0099416C" w:rsidRPr="0099416C">
        <w:rPr>
          <w:rFonts w:cs="Times New Roman"/>
          <w:szCs w:val="24"/>
        </w:rPr>
        <w:t>28642740</w:t>
      </w:r>
      <w:r w:rsidR="0099416C">
        <w:rPr>
          <w:rFonts w:cs="Times New Roman"/>
          <w:szCs w:val="24"/>
        </w:rPr>
        <w:t xml:space="preserve">, </w:t>
      </w:r>
      <w:r w:rsidR="0099416C" w:rsidRPr="0099416C">
        <w:rPr>
          <w:rFonts w:cs="Times New Roman"/>
          <w:szCs w:val="24"/>
        </w:rPr>
        <w:t>25922665</w:t>
      </w:r>
      <w:r>
        <w:rPr>
          <w:rFonts w:cs="Times New Roman"/>
          <w:szCs w:val="24"/>
        </w:rPr>
        <w:t xml:space="preserve">), forms a strong basis that secretor status impacts gut microbiology. </w:t>
      </w:r>
    </w:p>
    <w:p w14:paraId="75D86F61" w14:textId="01303B51" w:rsidR="00C61E22" w:rsidRDefault="00C61E22" w:rsidP="002577C3">
      <w:pPr>
        <w:jc w:val="both"/>
        <w:rPr>
          <w:rFonts w:cs="Times New Roman"/>
          <w:szCs w:val="24"/>
        </w:rPr>
      </w:pPr>
      <w:r>
        <w:rPr>
          <w:rFonts w:cs="Times New Roman"/>
          <w:szCs w:val="24"/>
        </w:rPr>
        <w:t>We include a</w:t>
      </w:r>
      <w:r w:rsidRPr="00B73660">
        <w:rPr>
          <w:rFonts w:cs="Times New Roman"/>
          <w:szCs w:val="24"/>
        </w:rPr>
        <w:t xml:space="preserve"> paragraph </w:t>
      </w:r>
      <w:r>
        <w:rPr>
          <w:rFonts w:cs="Times New Roman"/>
          <w:szCs w:val="24"/>
        </w:rPr>
        <w:t xml:space="preserve">in the Discussion, describing these potential explanations (lines </w:t>
      </w:r>
      <w:r w:rsidR="00D60A56">
        <w:rPr>
          <w:rFonts w:cs="Times New Roman"/>
          <w:szCs w:val="24"/>
        </w:rPr>
        <w:t>47</w:t>
      </w:r>
      <w:r w:rsidR="000D3B68">
        <w:rPr>
          <w:rFonts w:cs="Times New Roman"/>
          <w:szCs w:val="24"/>
        </w:rPr>
        <w:t>4</w:t>
      </w:r>
      <w:r w:rsidR="00D60A56">
        <w:rPr>
          <w:rFonts w:cs="Times New Roman"/>
          <w:szCs w:val="24"/>
        </w:rPr>
        <w:t>-4</w:t>
      </w:r>
      <w:r w:rsidR="000D3B68">
        <w:rPr>
          <w:rFonts w:cs="Times New Roman"/>
          <w:szCs w:val="24"/>
        </w:rPr>
        <w:t>77</w:t>
      </w:r>
      <w:r>
        <w:rPr>
          <w:rFonts w:cs="Times New Roman"/>
          <w:szCs w:val="24"/>
        </w:rPr>
        <w:t>).</w:t>
      </w:r>
    </w:p>
    <w:p w14:paraId="684C3F14" w14:textId="77777777" w:rsidR="00EC4888" w:rsidRDefault="00EC4888" w:rsidP="002577C3">
      <w:pPr>
        <w:ind w:left="426" w:right="379"/>
        <w:jc w:val="both"/>
        <w:rPr>
          <w:rFonts w:cs="Times New Roman"/>
          <w:i/>
          <w:iCs/>
          <w:szCs w:val="24"/>
        </w:rPr>
      </w:pPr>
      <w:r w:rsidRPr="00EC4888">
        <w:rPr>
          <w:rFonts w:cs="Times New Roman"/>
          <w:i/>
          <w:iCs/>
          <w:szCs w:val="24"/>
        </w:rPr>
        <w:t>The effect of sex on the relationship between secretor status and the gut microbiome is difficult to explain but may relate to variable intestinal expression of Fut2, which can be altered factors such as stress (57). In addition, independent interactions between sex hormones and the gut microbiome (58) may affect the relationship between Fut2 and the gut microbiome.</w:t>
      </w:r>
    </w:p>
    <w:p w14:paraId="1E1DD74A" w14:textId="77777777" w:rsidR="00FA428C" w:rsidRDefault="00FA428C" w:rsidP="002577C3">
      <w:pPr>
        <w:ind w:left="426" w:right="379"/>
        <w:jc w:val="both"/>
        <w:rPr>
          <w:rFonts w:cs="Times New Roman"/>
          <w:i/>
          <w:iCs/>
          <w:szCs w:val="24"/>
        </w:rPr>
      </w:pPr>
    </w:p>
    <w:p w14:paraId="2354A077" w14:textId="77777777" w:rsidR="00C8617B" w:rsidRDefault="00C8617B" w:rsidP="002577C3">
      <w:pPr>
        <w:ind w:left="426" w:right="379"/>
        <w:jc w:val="both"/>
        <w:rPr>
          <w:rFonts w:cs="Times New Roman"/>
          <w:i/>
          <w:iCs/>
          <w:szCs w:val="24"/>
        </w:rPr>
      </w:pPr>
    </w:p>
    <w:p w14:paraId="19763D17" w14:textId="77777777" w:rsidR="00C8617B" w:rsidRDefault="00C8617B" w:rsidP="002577C3">
      <w:pPr>
        <w:ind w:left="426" w:right="379"/>
        <w:jc w:val="both"/>
        <w:rPr>
          <w:rFonts w:cs="Times New Roman"/>
          <w:i/>
          <w:iCs/>
          <w:szCs w:val="24"/>
        </w:rPr>
      </w:pPr>
    </w:p>
    <w:p w14:paraId="357BACC1" w14:textId="708CE579" w:rsidR="00AF4A7F" w:rsidRPr="00CB0FD3" w:rsidRDefault="00BD59EC" w:rsidP="002577C3">
      <w:pPr>
        <w:jc w:val="both"/>
        <w:rPr>
          <w:rFonts w:cs="Times New Roman"/>
          <w:color w:val="4472C4" w:themeColor="accent1"/>
          <w:szCs w:val="24"/>
        </w:rPr>
      </w:pPr>
      <w:r w:rsidRPr="00CB0FD3">
        <w:rPr>
          <w:rFonts w:cs="Times New Roman"/>
          <w:b/>
          <w:bCs w:val="0"/>
          <w:color w:val="4472C4" w:themeColor="accent1"/>
          <w:szCs w:val="24"/>
        </w:rPr>
        <w:t>C24</w:t>
      </w:r>
      <w:r w:rsidRPr="00CB0FD3">
        <w:rPr>
          <w:rFonts w:cs="Times New Roman"/>
          <w:color w:val="4472C4" w:themeColor="accent1"/>
          <w:szCs w:val="24"/>
        </w:rPr>
        <w:t xml:space="preserve">: </w:t>
      </w:r>
      <w:r w:rsidR="00AF4A7F" w:rsidRPr="00CB0FD3">
        <w:rPr>
          <w:rFonts w:cs="Times New Roman"/>
          <w:color w:val="4472C4" w:themeColor="accent1"/>
          <w:szCs w:val="24"/>
        </w:rPr>
        <w:t xml:space="preserve">Figure 1: All comparisons should </w:t>
      </w:r>
      <w:proofErr w:type="gramStart"/>
      <w:r w:rsidR="00AF4A7F" w:rsidRPr="00CB0FD3">
        <w:rPr>
          <w:rFonts w:cs="Times New Roman"/>
          <w:color w:val="4472C4" w:themeColor="accent1"/>
          <w:szCs w:val="24"/>
        </w:rPr>
        <w:t>reported</w:t>
      </w:r>
      <w:proofErr w:type="gramEnd"/>
      <w:r w:rsidR="00AF4A7F" w:rsidRPr="00CB0FD3">
        <w:rPr>
          <w:rFonts w:cs="Times New Roman"/>
          <w:color w:val="4472C4" w:themeColor="accent1"/>
          <w:szCs w:val="24"/>
        </w:rPr>
        <w:t xml:space="preserve"> corrected p-values or FDR.</w:t>
      </w:r>
    </w:p>
    <w:p w14:paraId="3193C163" w14:textId="77874BFA" w:rsidR="00BD59EC" w:rsidRDefault="00CB0FD3" w:rsidP="002577C3">
      <w:pPr>
        <w:jc w:val="both"/>
        <w:rPr>
          <w:rFonts w:cs="Times New Roman"/>
          <w:szCs w:val="24"/>
        </w:rPr>
      </w:pPr>
      <w:r w:rsidRPr="00CB0FD3">
        <w:rPr>
          <w:rFonts w:cs="Times New Roman"/>
          <w:b/>
          <w:bCs w:val="0"/>
          <w:szCs w:val="24"/>
        </w:rPr>
        <w:t>R24:</w:t>
      </w:r>
      <w:r>
        <w:rPr>
          <w:rFonts w:cs="Times New Roman"/>
          <w:szCs w:val="24"/>
        </w:rPr>
        <w:t xml:space="preserve"> We have taken care throughout the manuscript to adjust P values for </w:t>
      </w:r>
      <w:r w:rsidRPr="00CB0FD3">
        <w:rPr>
          <w:rFonts w:cs="Times New Roman"/>
          <w:szCs w:val="24"/>
        </w:rPr>
        <w:t>multiple testing</w:t>
      </w:r>
      <w:r>
        <w:rPr>
          <w:rFonts w:cs="Times New Roman"/>
          <w:szCs w:val="24"/>
        </w:rPr>
        <w:t xml:space="preserve">. Fig 1E reports the findings from a </w:t>
      </w:r>
      <w:r w:rsidRPr="00CB0FD3">
        <w:rPr>
          <w:rFonts w:cs="Times New Roman"/>
          <w:szCs w:val="24"/>
        </w:rPr>
        <w:t>Linear discriminant analysis Effect Size (</w:t>
      </w:r>
      <w:proofErr w:type="spellStart"/>
      <w:r w:rsidRPr="00CB0FD3">
        <w:rPr>
          <w:rFonts w:cs="Times New Roman"/>
          <w:szCs w:val="24"/>
        </w:rPr>
        <w:t>LEfSe</w:t>
      </w:r>
      <w:proofErr w:type="spellEnd"/>
      <w:r w:rsidRPr="00CB0FD3">
        <w:rPr>
          <w:rFonts w:cs="Times New Roman"/>
          <w:szCs w:val="24"/>
        </w:rPr>
        <w:t>)</w:t>
      </w:r>
      <w:r>
        <w:rPr>
          <w:rFonts w:cs="Times New Roman"/>
          <w:szCs w:val="24"/>
        </w:rPr>
        <w:t xml:space="preserve"> analysis</w:t>
      </w:r>
      <w:r w:rsidRPr="00CB0FD3">
        <w:rPr>
          <w:rFonts w:cs="Times New Roman"/>
          <w:szCs w:val="24"/>
        </w:rPr>
        <w:t>.</w:t>
      </w:r>
      <w:r>
        <w:rPr>
          <w:rFonts w:cs="Times New Roman"/>
          <w:szCs w:val="24"/>
        </w:rPr>
        <w:t xml:space="preserve"> While </w:t>
      </w:r>
      <w:r w:rsidR="00394196">
        <w:rPr>
          <w:rFonts w:cs="Times New Roman"/>
          <w:szCs w:val="24"/>
        </w:rPr>
        <w:t xml:space="preserve">the output from </w:t>
      </w:r>
      <w:proofErr w:type="spellStart"/>
      <w:r>
        <w:rPr>
          <w:rFonts w:cs="Times New Roman"/>
          <w:szCs w:val="24"/>
        </w:rPr>
        <w:t>LEfSe</w:t>
      </w:r>
      <w:proofErr w:type="spellEnd"/>
      <w:r>
        <w:rPr>
          <w:rFonts w:cs="Times New Roman"/>
          <w:szCs w:val="24"/>
        </w:rPr>
        <w:t xml:space="preserve"> analyses </w:t>
      </w:r>
      <w:proofErr w:type="gramStart"/>
      <w:r>
        <w:rPr>
          <w:rFonts w:cs="Times New Roman"/>
          <w:szCs w:val="24"/>
        </w:rPr>
        <w:t>are</w:t>
      </w:r>
      <w:proofErr w:type="gramEnd"/>
      <w:r>
        <w:rPr>
          <w:rFonts w:cs="Times New Roman"/>
          <w:szCs w:val="24"/>
        </w:rPr>
        <w:t xml:space="preserve"> often not presented with P values, we opted to report these for transparency. </w:t>
      </w:r>
      <w:r w:rsidR="00394196">
        <w:rPr>
          <w:rFonts w:cs="Times New Roman"/>
          <w:szCs w:val="24"/>
        </w:rPr>
        <w:t xml:space="preserve">Several forums have discussed whether to adjust the </w:t>
      </w:r>
      <w:proofErr w:type="spellStart"/>
      <w:r w:rsidR="00394196">
        <w:rPr>
          <w:rFonts w:cs="Times New Roman"/>
          <w:szCs w:val="24"/>
        </w:rPr>
        <w:t>LEfSe</w:t>
      </w:r>
      <w:proofErr w:type="spellEnd"/>
      <w:r w:rsidR="00394196">
        <w:rPr>
          <w:rFonts w:cs="Times New Roman"/>
          <w:szCs w:val="24"/>
        </w:rPr>
        <w:t xml:space="preserve"> generated P values </w:t>
      </w:r>
      <w:r w:rsidR="00394196">
        <w:rPr>
          <w:rFonts w:cs="Times New Roman"/>
          <w:szCs w:val="24"/>
        </w:rPr>
        <w:lastRenderedPageBreak/>
        <w:t xml:space="preserve">for multiple testing (e.g. </w:t>
      </w:r>
      <w:hyperlink r:id="rId11" w:history="1">
        <w:r w:rsidR="00394196" w:rsidRPr="003B0422">
          <w:rPr>
            <w:rStyle w:val="Hyperlink"/>
            <w:rFonts w:cs="Times New Roman"/>
            <w:szCs w:val="24"/>
          </w:rPr>
          <w:t>https://forum.biobakery.org/t/multiple-comparison-correcting/258/3</w:t>
        </w:r>
      </w:hyperlink>
      <w:r w:rsidR="00394196">
        <w:rPr>
          <w:rFonts w:cs="Times New Roman"/>
          <w:szCs w:val="24"/>
        </w:rPr>
        <w:t xml:space="preserve">). The suggestion from the </w:t>
      </w:r>
      <w:proofErr w:type="spellStart"/>
      <w:r w:rsidR="00394196">
        <w:rPr>
          <w:rFonts w:cs="Times New Roman"/>
          <w:szCs w:val="24"/>
        </w:rPr>
        <w:t>BioBakery</w:t>
      </w:r>
      <w:proofErr w:type="spellEnd"/>
      <w:r w:rsidR="00394196">
        <w:rPr>
          <w:rFonts w:cs="Times New Roman"/>
          <w:szCs w:val="24"/>
        </w:rPr>
        <w:t xml:space="preserve"> team is “</w:t>
      </w:r>
      <w:proofErr w:type="spellStart"/>
      <w:r w:rsidR="00394196" w:rsidRPr="00E649AF">
        <w:rPr>
          <w:rFonts w:cs="Times New Roman"/>
          <w:i/>
          <w:iCs/>
          <w:szCs w:val="24"/>
        </w:rPr>
        <w:t>LEfSe</w:t>
      </w:r>
      <w:proofErr w:type="spellEnd"/>
      <w:r w:rsidR="00394196" w:rsidRPr="00E649AF">
        <w:rPr>
          <w:rFonts w:cs="Times New Roman"/>
          <w:i/>
          <w:iCs/>
          <w:szCs w:val="24"/>
        </w:rPr>
        <w:t xml:space="preserve"> still filters for features that a) pass the KW test and b) has strong LDA score support. The two together should provide enough evidence for biomarkers.</w:t>
      </w:r>
      <w:r w:rsidR="00394196">
        <w:rPr>
          <w:rFonts w:cs="Times New Roman"/>
          <w:szCs w:val="24"/>
        </w:rPr>
        <w:t>” In addition to a P value cut-off, we applied a LDA score cut-off of 2</w:t>
      </w:r>
      <w:r w:rsidR="00E649AF">
        <w:rPr>
          <w:rFonts w:cs="Times New Roman"/>
          <w:szCs w:val="24"/>
        </w:rPr>
        <w:t>.</w:t>
      </w:r>
    </w:p>
    <w:p w14:paraId="2B6F0CE0" w14:textId="32E510D0" w:rsidR="00E649AF" w:rsidRDefault="00E649AF" w:rsidP="002577C3">
      <w:pPr>
        <w:jc w:val="both"/>
        <w:rPr>
          <w:rFonts w:cs="Times New Roman"/>
          <w:szCs w:val="24"/>
        </w:rPr>
      </w:pPr>
      <w:r>
        <w:rPr>
          <w:rFonts w:cs="Times New Roman"/>
          <w:szCs w:val="24"/>
        </w:rPr>
        <w:t xml:space="preserve">We do however appreciate the reviewer’s concern that reporting unadjusted P values can misguide the readers. </w:t>
      </w:r>
      <w:proofErr w:type="gramStart"/>
      <w:r>
        <w:rPr>
          <w:rFonts w:cs="Times New Roman"/>
          <w:szCs w:val="24"/>
        </w:rPr>
        <w:t>In light of</w:t>
      </w:r>
      <w:proofErr w:type="gramEnd"/>
      <w:r>
        <w:rPr>
          <w:rFonts w:cs="Times New Roman"/>
          <w:szCs w:val="24"/>
        </w:rPr>
        <w:t xml:space="preserve"> this comment, we have remove</w:t>
      </w:r>
      <w:r w:rsidR="00096126">
        <w:rPr>
          <w:rFonts w:cs="Times New Roman"/>
          <w:szCs w:val="24"/>
        </w:rPr>
        <w:t>d</w:t>
      </w:r>
      <w:r>
        <w:rPr>
          <w:rFonts w:cs="Times New Roman"/>
          <w:szCs w:val="24"/>
        </w:rPr>
        <w:t xml:space="preserve"> the display of P values from </w:t>
      </w:r>
      <w:proofErr w:type="spellStart"/>
      <w:r>
        <w:rPr>
          <w:rFonts w:cs="Times New Roman"/>
          <w:szCs w:val="24"/>
        </w:rPr>
        <w:t>LEfSe</w:t>
      </w:r>
      <w:proofErr w:type="spellEnd"/>
      <w:r>
        <w:rPr>
          <w:rFonts w:cs="Times New Roman"/>
          <w:szCs w:val="24"/>
        </w:rPr>
        <w:t xml:space="preserve"> plots. This is in keeping with the conventional display of </w:t>
      </w:r>
      <w:proofErr w:type="spellStart"/>
      <w:r>
        <w:rPr>
          <w:rFonts w:cs="Times New Roman"/>
          <w:szCs w:val="24"/>
        </w:rPr>
        <w:t>LEfSe</w:t>
      </w:r>
      <w:proofErr w:type="spellEnd"/>
      <w:r w:rsidR="00096126">
        <w:rPr>
          <w:rFonts w:cs="Times New Roman"/>
          <w:szCs w:val="24"/>
        </w:rPr>
        <w:t xml:space="preserve"> outputs.</w:t>
      </w:r>
    </w:p>
    <w:p w14:paraId="62B083A0" w14:textId="77777777" w:rsidR="00244F17" w:rsidRDefault="00244F17" w:rsidP="002577C3">
      <w:pPr>
        <w:jc w:val="both"/>
        <w:rPr>
          <w:rFonts w:cs="Times New Roman"/>
          <w:szCs w:val="24"/>
        </w:rPr>
      </w:pPr>
    </w:p>
    <w:p w14:paraId="649F3031" w14:textId="3CF963CA" w:rsidR="00AF4A7F" w:rsidRPr="00502F1D" w:rsidRDefault="00BD59EC" w:rsidP="002577C3">
      <w:pPr>
        <w:jc w:val="both"/>
        <w:rPr>
          <w:rFonts w:cs="Times New Roman"/>
          <w:color w:val="4472C4" w:themeColor="accent1"/>
          <w:szCs w:val="24"/>
        </w:rPr>
      </w:pPr>
      <w:r w:rsidRPr="00502F1D">
        <w:rPr>
          <w:rFonts w:cs="Times New Roman"/>
          <w:b/>
          <w:bCs w:val="0"/>
          <w:color w:val="4472C4" w:themeColor="accent1"/>
          <w:szCs w:val="24"/>
        </w:rPr>
        <w:t>C25</w:t>
      </w:r>
      <w:r w:rsidRPr="00502F1D">
        <w:rPr>
          <w:rFonts w:cs="Times New Roman"/>
          <w:color w:val="4472C4" w:themeColor="accent1"/>
          <w:szCs w:val="24"/>
        </w:rPr>
        <w:t xml:space="preserve">: </w:t>
      </w:r>
      <w:r w:rsidR="00AF4A7F" w:rsidRPr="00502F1D">
        <w:rPr>
          <w:rFonts w:cs="Times New Roman"/>
          <w:color w:val="4472C4" w:themeColor="accent1"/>
          <w:szCs w:val="24"/>
        </w:rPr>
        <w:t>Lines 288-291: References missing</w:t>
      </w:r>
    </w:p>
    <w:p w14:paraId="3C700CAC" w14:textId="301522C0" w:rsidR="00BD59EC" w:rsidRDefault="00502F1D" w:rsidP="002577C3">
      <w:pPr>
        <w:jc w:val="both"/>
        <w:rPr>
          <w:rFonts w:cs="Times New Roman"/>
          <w:szCs w:val="24"/>
        </w:rPr>
      </w:pPr>
      <w:r w:rsidRPr="00502F1D">
        <w:rPr>
          <w:rFonts w:cs="Times New Roman"/>
          <w:b/>
          <w:bCs w:val="0"/>
          <w:szCs w:val="24"/>
        </w:rPr>
        <w:t>R25</w:t>
      </w:r>
      <w:r>
        <w:rPr>
          <w:rFonts w:cs="Times New Roman"/>
          <w:szCs w:val="24"/>
        </w:rPr>
        <w:t>: A reference has now been added.</w:t>
      </w:r>
    </w:p>
    <w:p w14:paraId="526C6835" w14:textId="77777777" w:rsidR="00BD59EC" w:rsidRDefault="00BD59EC" w:rsidP="002577C3">
      <w:pPr>
        <w:jc w:val="both"/>
        <w:rPr>
          <w:rFonts w:cs="Times New Roman"/>
          <w:szCs w:val="24"/>
        </w:rPr>
      </w:pPr>
    </w:p>
    <w:p w14:paraId="4A08BDF6" w14:textId="5C3470A4" w:rsidR="00AF4A7F" w:rsidRPr="00502F1D" w:rsidRDefault="00BD59EC" w:rsidP="002577C3">
      <w:pPr>
        <w:jc w:val="both"/>
        <w:rPr>
          <w:rFonts w:cs="Times New Roman"/>
          <w:color w:val="4472C4" w:themeColor="accent1"/>
          <w:szCs w:val="24"/>
        </w:rPr>
      </w:pPr>
      <w:r w:rsidRPr="00502F1D">
        <w:rPr>
          <w:rFonts w:cs="Times New Roman"/>
          <w:b/>
          <w:bCs w:val="0"/>
          <w:color w:val="4472C4" w:themeColor="accent1"/>
          <w:szCs w:val="24"/>
        </w:rPr>
        <w:t>C26</w:t>
      </w:r>
      <w:r w:rsidRPr="00502F1D">
        <w:rPr>
          <w:rFonts w:cs="Times New Roman"/>
          <w:color w:val="4472C4" w:themeColor="accent1"/>
          <w:szCs w:val="24"/>
        </w:rPr>
        <w:t>:</w:t>
      </w:r>
      <w:r w:rsidR="00AF4A7F" w:rsidRPr="00502F1D">
        <w:rPr>
          <w:rFonts w:cs="Times New Roman"/>
          <w:color w:val="4472C4" w:themeColor="accent1"/>
          <w:szCs w:val="24"/>
        </w:rPr>
        <w:t xml:space="preserve"> Commensal (lines 61-62): I would refrain from using the word commensal in this context.</w:t>
      </w:r>
    </w:p>
    <w:p w14:paraId="53F007FA" w14:textId="0D4F1551" w:rsidR="00502F1D" w:rsidRDefault="00502F1D" w:rsidP="002577C3">
      <w:pPr>
        <w:jc w:val="both"/>
        <w:rPr>
          <w:rFonts w:cs="Times New Roman"/>
          <w:szCs w:val="24"/>
        </w:rPr>
      </w:pPr>
      <w:r w:rsidRPr="00502F1D">
        <w:rPr>
          <w:rFonts w:cs="Times New Roman"/>
          <w:b/>
          <w:bCs w:val="0"/>
          <w:szCs w:val="24"/>
        </w:rPr>
        <w:t>R26</w:t>
      </w:r>
      <w:r>
        <w:rPr>
          <w:rFonts w:cs="Times New Roman"/>
          <w:szCs w:val="24"/>
        </w:rPr>
        <w:t>: “Commensal” has now been removed.</w:t>
      </w:r>
    </w:p>
    <w:p w14:paraId="4F9F0F41" w14:textId="77777777" w:rsidR="00502F1D" w:rsidRPr="001A3FD1" w:rsidRDefault="00502F1D" w:rsidP="002577C3">
      <w:pPr>
        <w:jc w:val="both"/>
        <w:rPr>
          <w:rFonts w:cs="Times New Roman"/>
          <w:szCs w:val="24"/>
        </w:rPr>
      </w:pPr>
    </w:p>
    <w:p w14:paraId="4C6C715D" w14:textId="43D6A205" w:rsidR="00AF4A7F" w:rsidRPr="00502F1D" w:rsidRDefault="00502F1D" w:rsidP="002577C3">
      <w:pPr>
        <w:jc w:val="both"/>
        <w:rPr>
          <w:rFonts w:cs="Times New Roman"/>
          <w:color w:val="4472C4" w:themeColor="accent1"/>
          <w:szCs w:val="24"/>
        </w:rPr>
      </w:pPr>
      <w:r w:rsidRPr="00502F1D">
        <w:rPr>
          <w:rFonts w:cs="Times New Roman"/>
          <w:b/>
          <w:bCs w:val="0"/>
          <w:color w:val="4472C4" w:themeColor="accent1"/>
          <w:szCs w:val="24"/>
        </w:rPr>
        <w:t>C27</w:t>
      </w:r>
      <w:r w:rsidRPr="00502F1D">
        <w:rPr>
          <w:rFonts w:cs="Times New Roman"/>
          <w:color w:val="4472C4" w:themeColor="accent1"/>
          <w:szCs w:val="24"/>
        </w:rPr>
        <w:t>:</w:t>
      </w:r>
      <w:r w:rsidR="00AF4A7F" w:rsidRPr="00502F1D">
        <w:rPr>
          <w:rFonts w:cs="Times New Roman"/>
          <w:color w:val="4472C4" w:themeColor="accent1"/>
          <w:szCs w:val="24"/>
        </w:rPr>
        <w:t xml:space="preserve"> line 87: reflect a reduced in susceptibility.</w:t>
      </w:r>
    </w:p>
    <w:p w14:paraId="09F770B3" w14:textId="52C6AEB9" w:rsidR="00502F1D" w:rsidRDefault="00502F1D" w:rsidP="002577C3">
      <w:pPr>
        <w:jc w:val="both"/>
        <w:rPr>
          <w:rFonts w:cs="Times New Roman"/>
          <w:szCs w:val="24"/>
        </w:rPr>
      </w:pPr>
      <w:r w:rsidRPr="00502F1D">
        <w:rPr>
          <w:rFonts w:cs="Times New Roman"/>
          <w:b/>
          <w:bCs w:val="0"/>
          <w:szCs w:val="24"/>
        </w:rPr>
        <w:t>R27</w:t>
      </w:r>
      <w:r>
        <w:rPr>
          <w:rFonts w:cs="Times New Roman"/>
          <w:szCs w:val="24"/>
        </w:rPr>
        <w:t>: This mistake has been correct (amendment copied below).</w:t>
      </w:r>
    </w:p>
    <w:p w14:paraId="7F7127BD" w14:textId="38FE61D5" w:rsidR="00502F1D" w:rsidRPr="00502F1D" w:rsidRDefault="00502F1D" w:rsidP="002577C3">
      <w:pPr>
        <w:ind w:left="284" w:right="521"/>
        <w:jc w:val="both"/>
        <w:rPr>
          <w:rFonts w:cs="Times New Roman"/>
          <w:i/>
          <w:iCs/>
          <w:szCs w:val="24"/>
        </w:rPr>
      </w:pPr>
      <w:r w:rsidRPr="00502F1D">
        <w:rPr>
          <w:rFonts w:cs="Times New Roman"/>
          <w:i/>
          <w:iCs/>
          <w:szCs w:val="24"/>
        </w:rPr>
        <w:t xml:space="preserve">The high carriage of these loss-of-function mutations is likely </w:t>
      </w:r>
      <w:bookmarkStart w:id="4" w:name="_Hlk164152033"/>
      <w:r w:rsidR="006A527E">
        <w:rPr>
          <w:rFonts w:cs="Times New Roman"/>
          <w:i/>
          <w:iCs/>
          <w:szCs w:val="24"/>
        </w:rPr>
        <w:t>a</w:t>
      </w:r>
      <w:r w:rsidRPr="00502F1D">
        <w:rPr>
          <w:rFonts w:cs="Times New Roman"/>
          <w:i/>
          <w:iCs/>
          <w:szCs w:val="24"/>
        </w:rPr>
        <w:t xml:space="preserve"> </w:t>
      </w:r>
      <w:r w:rsidR="006A527E">
        <w:rPr>
          <w:rFonts w:cs="Times New Roman"/>
          <w:i/>
          <w:iCs/>
          <w:szCs w:val="24"/>
        </w:rPr>
        <w:t xml:space="preserve">result of positive selection from altered </w:t>
      </w:r>
      <w:bookmarkEnd w:id="4"/>
      <w:r w:rsidRPr="00502F1D">
        <w:rPr>
          <w:rFonts w:cs="Times New Roman"/>
          <w:i/>
          <w:iCs/>
          <w:szCs w:val="24"/>
        </w:rPr>
        <w:t>susceptibility to infection</w:t>
      </w:r>
      <w:r w:rsidR="006A527E">
        <w:rPr>
          <w:rFonts w:cs="Times New Roman"/>
          <w:i/>
          <w:iCs/>
          <w:szCs w:val="24"/>
        </w:rPr>
        <w:t>s […]</w:t>
      </w:r>
    </w:p>
    <w:p w14:paraId="68061CA5" w14:textId="77777777" w:rsidR="00502F1D" w:rsidRPr="001A3FD1" w:rsidRDefault="00502F1D" w:rsidP="002577C3">
      <w:pPr>
        <w:jc w:val="both"/>
        <w:rPr>
          <w:rFonts w:cs="Times New Roman"/>
          <w:szCs w:val="24"/>
        </w:rPr>
      </w:pPr>
    </w:p>
    <w:p w14:paraId="7745E54F" w14:textId="1BFB8740" w:rsidR="00AF4A7F" w:rsidRPr="00A81B13" w:rsidRDefault="00502F1D" w:rsidP="002577C3">
      <w:pPr>
        <w:jc w:val="both"/>
        <w:rPr>
          <w:rFonts w:cs="Times New Roman"/>
          <w:color w:val="4472C4" w:themeColor="accent1"/>
          <w:szCs w:val="24"/>
        </w:rPr>
      </w:pPr>
      <w:r w:rsidRPr="00A81B13">
        <w:rPr>
          <w:rFonts w:cs="Times New Roman"/>
          <w:b/>
          <w:bCs w:val="0"/>
          <w:color w:val="4472C4" w:themeColor="accent1"/>
          <w:szCs w:val="24"/>
        </w:rPr>
        <w:t>C28</w:t>
      </w:r>
      <w:r w:rsidRPr="00A81B13">
        <w:rPr>
          <w:rFonts w:cs="Times New Roman"/>
          <w:color w:val="4472C4" w:themeColor="accent1"/>
          <w:szCs w:val="24"/>
        </w:rPr>
        <w:t>:</w:t>
      </w:r>
      <w:r w:rsidR="00AF4A7F" w:rsidRPr="00A81B13">
        <w:rPr>
          <w:rFonts w:cs="Times New Roman"/>
          <w:color w:val="4472C4" w:themeColor="accent1"/>
          <w:szCs w:val="24"/>
        </w:rPr>
        <w:t xml:space="preserve"> I would encourage authors to highlight a bit more on the </w:t>
      </w:r>
      <w:r w:rsidR="00AF4A7F" w:rsidRPr="00A81B13">
        <w:rPr>
          <w:rFonts w:cs="Times New Roman"/>
          <w:i/>
          <w:iCs/>
          <w:color w:val="4472C4" w:themeColor="accent1"/>
          <w:szCs w:val="24"/>
        </w:rPr>
        <w:t>Fut2</w:t>
      </w:r>
      <w:r w:rsidR="00AF4A7F" w:rsidRPr="00A81B13">
        <w:rPr>
          <w:rFonts w:cs="Times New Roman"/>
          <w:color w:val="4472C4" w:themeColor="accent1"/>
          <w:szCs w:val="24"/>
        </w:rPr>
        <w:t xml:space="preserve"> mutation and its prevalence across global population.</w:t>
      </w:r>
    </w:p>
    <w:p w14:paraId="29F1BDDE" w14:textId="6708BCA1" w:rsidR="00502F1D" w:rsidRPr="00E93963" w:rsidRDefault="002F364C" w:rsidP="002577C3">
      <w:pPr>
        <w:jc w:val="both"/>
        <w:rPr>
          <w:rFonts w:cs="Times New Roman"/>
          <w:szCs w:val="24"/>
        </w:rPr>
      </w:pPr>
      <w:r w:rsidRPr="002F364C">
        <w:rPr>
          <w:rFonts w:cs="Times New Roman"/>
          <w:b/>
          <w:bCs w:val="0"/>
          <w:szCs w:val="24"/>
        </w:rPr>
        <w:t>R28:</w:t>
      </w:r>
      <w:r w:rsidR="00E93963">
        <w:rPr>
          <w:rFonts w:cs="Times New Roman"/>
          <w:b/>
          <w:bCs w:val="0"/>
          <w:szCs w:val="24"/>
        </w:rPr>
        <w:t xml:space="preserve"> </w:t>
      </w:r>
      <w:r w:rsidR="00E93963">
        <w:rPr>
          <w:rFonts w:cs="Times New Roman"/>
          <w:szCs w:val="24"/>
        </w:rPr>
        <w:t xml:space="preserve">We have expanded our description of the prevalence of Fut2 nonsense mutations in the population in the Introduction (lines </w:t>
      </w:r>
      <w:r w:rsidR="00D60A56">
        <w:rPr>
          <w:rFonts w:cs="Times New Roman"/>
          <w:szCs w:val="24"/>
        </w:rPr>
        <w:t>8</w:t>
      </w:r>
      <w:r w:rsidR="00DE7ADD">
        <w:rPr>
          <w:rFonts w:cs="Times New Roman"/>
          <w:szCs w:val="24"/>
        </w:rPr>
        <w:t>2</w:t>
      </w:r>
      <w:r w:rsidR="00D60A56">
        <w:rPr>
          <w:rFonts w:cs="Times New Roman"/>
          <w:szCs w:val="24"/>
        </w:rPr>
        <w:t>-8</w:t>
      </w:r>
      <w:r w:rsidR="00DE7ADD">
        <w:rPr>
          <w:rFonts w:cs="Times New Roman"/>
          <w:szCs w:val="24"/>
        </w:rPr>
        <w:t>6</w:t>
      </w:r>
      <w:r w:rsidR="00E93963">
        <w:rPr>
          <w:rFonts w:cs="Times New Roman"/>
          <w:szCs w:val="24"/>
        </w:rPr>
        <w:t xml:space="preserve">), and the Discussion (lines </w:t>
      </w:r>
      <w:r w:rsidR="00D60A56">
        <w:rPr>
          <w:rFonts w:cs="Times New Roman"/>
          <w:szCs w:val="24"/>
        </w:rPr>
        <w:t>40</w:t>
      </w:r>
      <w:r w:rsidR="00DE7ADD">
        <w:rPr>
          <w:rFonts w:cs="Times New Roman"/>
          <w:szCs w:val="24"/>
        </w:rPr>
        <w:t>3</w:t>
      </w:r>
      <w:r w:rsidR="00D60A56">
        <w:rPr>
          <w:rFonts w:cs="Times New Roman"/>
          <w:szCs w:val="24"/>
        </w:rPr>
        <w:t>-4</w:t>
      </w:r>
      <w:r w:rsidR="00DE7ADD">
        <w:rPr>
          <w:rFonts w:cs="Times New Roman"/>
          <w:szCs w:val="24"/>
        </w:rPr>
        <w:t>06</w:t>
      </w:r>
      <w:r w:rsidR="00E93963">
        <w:rPr>
          <w:rFonts w:cs="Times New Roman"/>
          <w:szCs w:val="24"/>
        </w:rPr>
        <w:t>), with both copied below.</w:t>
      </w:r>
    </w:p>
    <w:p w14:paraId="3A36573A" w14:textId="23F04162" w:rsidR="00A81B13" w:rsidRPr="00A81B13" w:rsidRDefault="00A81B13" w:rsidP="002577C3">
      <w:pPr>
        <w:ind w:right="521"/>
        <w:jc w:val="both"/>
        <w:rPr>
          <w:rFonts w:cs="Times New Roman"/>
          <w:szCs w:val="24"/>
        </w:rPr>
      </w:pPr>
      <w:r>
        <w:rPr>
          <w:rFonts w:cs="Times New Roman"/>
          <w:szCs w:val="24"/>
        </w:rPr>
        <w:t>Introduction</w:t>
      </w:r>
    </w:p>
    <w:p w14:paraId="3AB11A5B" w14:textId="237E2AA2" w:rsidR="00502F1D" w:rsidRDefault="00E93963" w:rsidP="002577C3">
      <w:pPr>
        <w:ind w:left="426" w:right="521"/>
        <w:jc w:val="both"/>
        <w:rPr>
          <w:rFonts w:cs="Times New Roman"/>
          <w:i/>
          <w:iCs/>
          <w:szCs w:val="24"/>
        </w:rPr>
      </w:pPr>
      <w:r w:rsidRPr="00E93963">
        <w:rPr>
          <w:rFonts w:cs="Times New Roman"/>
          <w:i/>
          <w:iCs/>
          <w:szCs w:val="24"/>
        </w:rPr>
        <w:t>Across the human population, multiple nonsense single nucleotide polymorphisms (SNPs) are found within the FUT2 gene (15), leading to a “non-secretor” phenotype. The non-secretor phenotype, like the AB blood groups, is one of the more common functional mutations maintained in the population, with approximately one-fifth of people carrying homozygous loss-of-function FUT2 genes (15, 16).</w:t>
      </w:r>
    </w:p>
    <w:p w14:paraId="208D74CE" w14:textId="6A7AAE58" w:rsidR="00A81B13" w:rsidRDefault="00A81B13" w:rsidP="002577C3">
      <w:pPr>
        <w:ind w:right="521"/>
        <w:jc w:val="both"/>
        <w:rPr>
          <w:rFonts w:cs="Times New Roman"/>
          <w:szCs w:val="24"/>
        </w:rPr>
      </w:pPr>
      <w:r>
        <w:rPr>
          <w:rFonts w:cs="Times New Roman"/>
          <w:szCs w:val="24"/>
        </w:rPr>
        <w:t>Discussion</w:t>
      </w:r>
    </w:p>
    <w:p w14:paraId="55BEB4CF" w14:textId="4F129386" w:rsidR="00A81B13" w:rsidRDefault="00A81B13" w:rsidP="002577C3">
      <w:pPr>
        <w:ind w:left="426" w:right="521"/>
        <w:jc w:val="both"/>
        <w:rPr>
          <w:rFonts w:cs="Times New Roman"/>
          <w:i/>
          <w:iCs/>
          <w:szCs w:val="24"/>
        </w:rPr>
      </w:pPr>
      <w:r w:rsidRPr="00A81B13">
        <w:rPr>
          <w:rFonts w:cs="Times New Roman"/>
          <w:i/>
          <w:iCs/>
          <w:szCs w:val="24"/>
        </w:rPr>
        <w:t>Firstly, with 20% of the global population also homozygous for a non-functional FUT2 gene</w:t>
      </w:r>
      <w:r>
        <w:rPr>
          <w:rFonts w:cs="Times New Roman"/>
          <w:i/>
          <w:iCs/>
          <w:szCs w:val="24"/>
        </w:rPr>
        <w:t xml:space="preserve"> (15)</w:t>
      </w:r>
      <w:r w:rsidRPr="00A81B13">
        <w:rPr>
          <w:rFonts w:cs="Times New Roman"/>
          <w:i/>
          <w:iCs/>
          <w:szCs w:val="24"/>
        </w:rPr>
        <w:t xml:space="preserve">, our findings suggest that these “non-secretor” individuals will also experience different probiotic population dynamics compared to “secretor” individuals, if the probiotic taken contains one of the many bacterial species able to utilise </w:t>
      </w:r>
      <w:proofErr w:type="gramStart"/>
      <w:r w:rsidRPr="00A81B13">
        <w:rPr>
          <w:rFonts w:cs="Times New Roman"/>
          <w:i/>
          <w:iCs/>
          <w:szCs w:val="24"/>
        </w:rPr>
        <w:t>α(</w:t>
      </w:r>
      <w:proofErr w:type="gramEnd"/>
      <w:r w:rsidRPr="00A81B13">
        <w:rPr>
          <w:rFonts w:cs="Times New Roman"/>
          <w:i/>
          <w:iCs/>
          <w:szCs w:val="24"/>
        </w:rPr>
        <w:t>1,2)-fucosylated glycans (H antigens).</w:t>
      </w:r>
    </w:p>
    <w:p w14:paraId="1276D069" w14:textId="77777777" w:rsidR="00A81B13" w:rsidRPr="00A81B13" w:rsidRDefault="00A81B13" w:rsidP="002577C3">
      <w:pPr>
        <w:ind w:left="426" w:right="521"/>
        <w:jc w:val="both"/>
        <w:rPr>
          <w:rFonts w:cs="Times New Roman"/>
          <w:i/>
          <w:iCs/>
          <w:szCs w:val="24"/>
        </w:rPr>
      </w:pPr>
    </w:p>
    <w:p w14:paraId="3FE99E43" w14:textId="6DE71D09" w:rsidR="00F221C3" w:rsidRPr="00380C6C" w:rsidRDefault="00502F1D" w:rsidP="002577C3">
      <w:pPr>
        <w:jc w:val="both"/>
        <w:rPr>
          <w:rFonts w:cs="Times New Roman"/>
          <w:color w:val="4472C4" w:themeColor="accent1"/>
          <w:szCs w:val="24"/>
        </w:rPr>
      </w:pPr>
      <w:r w:rsidRPr="00380C6C">
        <w:rPr>
          <w:rFonts w:cs="Times New Roman"/>
          <w:b/>
          <w:bCs w:val="0"/>
          <w:color w:val="4472C4" w:themeColor="accent1"/>
          <w:szCs w:val="24"/>
        </w:rPr>
        <w:t>C29</w:t>
      </w:r>
      <w:r w:rsidRPr="00380C6C">
        <w:rPr>
          <w:rFonts w:cs="Times New Roman"/>
          <w:color w:val="4472C4" w:themeColor="accent1"/>
          <w:szCs w:val="24"/>
        </w:rPr>
        <w:t>:</w:t>
      </w:r>
      <w:r w:rsidR="00AF4A7F" w:rsidRPr="00380C6C">
        <w:rPr>
          <w:rFonts w:cs="Times New Roman"/>
          <w:color w:val="4472C4" w:themeColor="accent1"/>
          <w:szCs w:val="24"/>
        </w:rPr>
        <w:t xml:space="preserve"> The authors need to provide a detailed diagram of the experimental set-up. From the method description they have provided, it is hard to know the extent of co-housing of the different genotypes, etc.</w:t>
      </w:r>
    </w:p>
    <w:p w14:paraId="7F603EAA" w14:textId="609BCF2D" w:rsidR="00B001DB" w:rsidRDefault="00B224BE" w:rsidP="002577C3">
      <w:pPr>
        <w:jc w:val="both"/>
        <w:rPr>
          <w:rFonts w:cs="Times New Roman"/>
          <w:szCs w:val="24"/>
        </w:rPr>
      </w:pPr>
      <w:r w:rsidRPr="00380C6C">
        <w:rPr>
          <w:rFonts w:cs="Times New Roman"/>
          <w:b/>
          <w:bCs w:val="0"/>
          <w:szCs w:val="24"/>
        </w:rPr>
        <w:t>R29</w:t>
      </w:r>
      <w:r>
        <w:rPr>
          <w:rFonts w:cs="Times New Roman"/>
          <w:szCs w:val="24"/>
        </w:rPr>
        <w:t>: We have now included Figure 1A (</w:t>
      </w:r>
      <w:r w:rsidRPr="00D60A56">
        <w:rPr>
          <w:rFonts w:cs="Times New Roman"/>
          <w:szCs w:val="24"/>
        </w:rPr>
        <w:t>below</w:t>
      </w:r>
      <w:r>
        <w:rPr>
          <w:rFonts w:cs="Times New Roman"/>
          <w:szCs w:val="24"/>
        </w:rPr>
        <w:t xml:space="preserve">), which details the breeding and co-housing design. We have also expanded </w:t>
      </w:r>
      <w:r w:rsidR="00D65A17">
        <w:rPr>
          <w:rFonts w:cs="Times New Roman"/>
          <w:szCs w:val="24"/>
        </w:rPr>
        <w:t>the corresponding</w:t>
      </w:r>
      <w:r>
        <w:rPr>
          <w:rFonts w:cs="Times New Roman"/>
          <w:szCs w:val="24"/>
        </w:rPr>
        <w:t xml:space="preserve"> Methods </w:t>
      </w:r>
      <w:r w:rsidR="00D65A17">
        <w:rPr>
          <w:rFonts w:cs="Times New Roman"/>
          <w:szCs w:val="24"/>
        </w:rPr>
        <w:t xml:space="preserve">section to include a detailed description </w:t>
      </w:r>
      <w:r>
        <w:rPr>
          <w:rFonts w:cs="Times New Roman"/>
          <w:szCs w:val="24"/>
        </w:rPr>
        <w:t xml:space="preserve">(lines </w:t>
      </w:r>
      <w:r w:rsidR="00D60A56">
        <w:rPr>
          <w:rFonts w:cs="Times New Roman"/>
          <w:szCs w:val="24"/>
        </w:rPr>
        <w:t>13</w:t>
      </w:r>
      <w:r w:rsidR="00DE7ADD">
        <w:rPr>
          <w:rFonts w:cs="Times New Roman"/>
          <w:szCs w:val="24"/>
        </w:rPr>
        <w:t>6</w:t>
      </w:r>
      <w:r w:rsidR="00D60A56">
        <w:rPr>
          <w:rFonts w:cs="Times New Roman"/>
          <w:szCs w:val="24"/>
        </w:rPr>
        <w:t>-14</w:t>
      </w:r>
      <w:r w:rsidR="00DE7ADD">
        <w:rPr>
          <w:rFonts w:cs="Times New Roman"/>
          <w:szCs w:val="24"/>
        </w:rPr>
        <w:t>2</w:t>
      </w:r>
      <w:r>
        <w:rPr>
          <w:rFonts w:cs="Times New Roman"/>
          <w:szCs w:val="24"/>
        </w:rPr>
        <w:t>).</w:t>
      </w:r>
    </w:p>
    <w:p w14:paraId="717585A9" w14:textId="4D28BA1B" w:rsidR="001558C2" w:rsidRPr="001558C2" w:rsidRDefault="00AF718D" w:rsidP="002577C3">
      <w:pPr>
        <w:tabs>
          <w:tab w:val="left" w:pos="8505"/>
        </w:tabs>
        <w:ind w:left="426" w:right="521"/>
        <w:jc w:val="both"/>
        <w:rPr>
          <w:rFonts w:cs="Times New Roman"/>
          <w:i/>
          <w:iCs/>
          <w:szCs w:val="24"/>
        </w:rPr>
      </w:pPr>
      <w:r w:rsidRPr="00AF718D">
        <w:rPr>
          <w:rFonts w:cs="Times New Roman"/>
          <w:i/>
          <w:iCs/>
          <w:szCs w:val="24"/>
        </w:rPr>
        <w:t>Fut2 h</w:t>
      </w:r>
      <w:r w:rsidR="001558C2" w:rsidRPr="001558C2">
        <w:rPr>
          <w:rFonts w:cs="Times New Roman"/>
          <w:i/>
          <w:iCs/>
          <w:szCs w:val="24"/>
        </w:rPr>
        <w:t>eterozygous x heterozygous breeding was performed to allow for Fut2</w:t>
      </w:r>
      <w:r w:rsidR="001558C2" w:rsidRPr="001558C2">
        <w:rPr>
          <w:rFonts w:cs="Times New Roman"/>
          <w:i/>
          <w:iCs/>
          <w:szCs w:val="24"/>
          <w:vertAlign w:val="superscript"/>
        </w:rPr>
        <w:t>KO</w:t>
      </w:r>
      <w:r w:rsidR="001558C2" w:rsidRPr="001558C2">
        <w:rPr>
          <w:rFonts w:cs="Times New Roman"/>
          <w:i/>
          <w:iCs/>
          <w:szCs w:val="24"/>
        </w:rPr>
        <w:t xml:space="preserve"> and Fut2</w:t>
      </w:r>
      <w:r w:rsidR="001558C2" w:rsidRPr="001558C2">
        <w:rPr>
          <w:rFonts w:cs="Times New Roman"/>
          <w:i/>
          <w:iCs/>
          <w:szCs w:val="24"/>
          <w:vertAlign w:val="superscript"/>
        </w:rPr>
        <w:t>WT</w:t>
      </w:r>
      <w:r w:rsidR="001558C2" w:rsidRPr="001558C2">
        <w:rPr>
          <w:rFonts w:cs="Times New Roman"/>
          <w:i/>
          <w:iCs/>
          <w:szCs w:val="24"/>
        </w:rPr>
        <w:t xml:space="preserve"> littermates, while also standardising effects of Fut2 that occur through vertical transmission. Fut2</w:t>
      </w:r>
      <w:r w:rsidR="001558C2" w:rsidRPr="00367B4E">
        <w:rPr>
          <w:rFonts w:cs="Times New Roman"/>
          <w:i/>
          <w:iCs/>
          <w:szCs w:val="24"/>
          <w:vertAlign w:val="superscript"/>
        </w:rPr>
        <w:t>KO</w:t>
      </w:r>
      <w:r w:rsidR="001558C2" w:rsidRPr="001558C2">
        <w:rPr>
          <w:rFonts w:cs="Times New Roman"/>
          <w:i/>
          <w:iCs/>
          <w:szCs w:val="24"/>
        </w:rPr>
        <w:t>, Fut2</w:t>
      </w:r>
      <w:r w:rsidR="001558C2" w:rsidRPr="00367B4E">
        <w:rPr>
          <w:rFonts w:cs="Times New Roman"/>
          <w:i/>
          <w:iCs/>
          <w:szCs w:val="24"/>
          <w:vertAlign w:val="superscript"/>
        </w:rPr>
        <w:t>HET</w:t>
      </w:r>
      <w:r w:rsidR="001558C2" w:rsidRPr="001558C2">
        <w:rPr>
          <w:rFonts w:cs="Times New Roman"/>
          <w:i/>
          <w:iCs/>
          <w:szCs w:val="24"/>
        </w:rPr>
        <w:t xml:space="preserve"> and Fut2</w:t>
      </w:r>
      <w:r w:rsidR="001558C2" w:rsidRPr="00367B4E">
        <w:rPr>
          <w:rFonts w:cs="Times New Roman"/>
          <w:i/>
          <w:iCs/>
          <w:szCs w:val="24"/>
          <w:vertAlign w:val="superscript"/>
        </w:rPr>
        <w:t>WT</w:t>
      </w:r>
      <w:r w:rsidR="001558C2" w:rsidRPr="001558C2">
        <w:rPr>
          <w:rFonts w:cs="Times New Roman"/>
          <w:i/>
          <w:iCs/>
          <w:szCs w:val="24"/>
        </w:rPr>
        <w:t xml:space="preserve"> littermates were co-housed from birth until weaning (~3 weeks), where they were genotyped by PCR amplicon melt curve using primers targeting the outer and inner regions of the Fut2 gene. Fut2</w:t>
      </w:r>
      <w:r w:rsidR="001558C2" w:rsidRPr="00367B4E">
        <w:rPr>
          <w:rFonts w:cs="Times New Roman"/>
          <w:i/>
          <w:iCs/>
          <w:szCs w:val="24"/>
          <w:vertAlign w:val="superscript"/>
        </w:rPr>
        <w:t>KO</w:t>
      </w:r>
      <w:r w:rsidR="001558C2" w:rsidRPr="001558C2">
        <w:rPr>
          <w:rFonts w:cs="Times New Roman"/>
          <w:i/>
          <w:iCs/>
          <w:szCs w:val="24"/>
        </w:rPr>
        <w:t xml:space="preserve"> and Fut2</w:t>
      </w:r>
      <w:r w:rsidR="001558C2" w:rsidRPr="00367B4E">
        <w:rPr>
          <w:rFonts w:cs="Times New Roman"/>
          <w:i/>
          <w:iCs/>
          <w:szCs w:val="24"/>
          <w:vertAlign w:val="superscript"/>
        </w:rPr>
        <w:t>WT</w:t>
      </w:r>
      <w:r w:rsidR="001558C2" w:rsidRPr="001558C2">
        <w:rPr>
          <w:rFonts w:cs="Times New Roman"/>
          <w:i/>
          <w:iCs/>
          <w:szCs w:val="24"/>
        </w:rPr>
        <w:t xml:space="preserve"> mice separated into cages after weaning based on sex and Fut2 genotype (Figure 1A). No experiments were performed on Fut2</w:t>
      </w:r>
      <w:r w:rsidR="001558C2" w:rsidRPr="001558C2">
        <w:rPr>
          <w:rFonts w:cs="Times New Roman"/>
          <w:i/>
          <w:iCs/>
          <w:szCs w:val="24"/>
          <w:vertAlign w:val="superscript"/>
        </w:rPr>
        <w:t>HET</w:t>
      </w:r>
      <w:r w:rsidR="001558C2" w:rsidRPr="001558C2">
        <w:rPr>
          <w:rFonts w:cs="Times New Roman"/>
          <w:i/>
          <w:iCs/>
          <w:szCs w:val="24"/>
        </w:rPr>
        <w:t xml:space="preserve"> mice.  In all experiments, </w:t>
      </w:r>
      <w:proofErr w:type="gramStart"/>
      <w:r w:rsidR="001558C2" w:rsidRPr="001558C2">
        <w:rPr>
          <w:rFonts w:cs="Times New Roman"/>
          <w:i/>
          <w:iCs/>
          <w:szCs w:val="24"/>
        </w:rPr>
        <w:t>6-week old</w:t>
      </w:r>
      <w:proofErr w:type="gramEnd"/>
      <w:r w:rsidR="001558C2" w:rsidRPr="001558C2">
        <w:rPr>
          <w:rFonts w:cs="Times New Roman"/>
          <w:i/>
          <w:iCs/>
          <w:szCs w:val="24"/>
        </w:rPr>
        <w:t>, age- and sex-matched mice were used. Each experimental group consisted of at least 4 cages to control for cage effects.</w:t>
      </w:r>
    </w:p>
    <w:p w14:paraId="73704AFA" w14:textId="74EA5884" w:rsidR="00B224BE" w:rsidRDefault="00D90C10" w:rsidP="002577C3">
      <w:pPr>
        <w:jc w:val="both"/>
        <w:rPr>
          <w:rFonts w:cs="Times New Roman"/>
          <w:szCs w:val="24"/>
        </w:rPr>
      </w:pPr>
      <w:r w:rsidRPr="00D90C10">
        <w:rPr>
          <w:rFonts w:cs="Times New Roman"/>
          <w:noProof/>
          <w:szCs w:val="24"/>
        </w:rPr>
        <w:drawing>
          <wp:inline distT="0" distB="0" distL="0" distR="0" wp14:anchorId="5D52B01F" wp14:editId="27B2803C">
            <wp:extent cx="2428647" cy="3564370"/>
            <wp:effectExtent l="0" t="0" r="0" b="0"/>
            <wp:docPr id="977525856" name="Picture 1" descr="A diagram of mice in a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25856" name="Picture 1" descr="A diagram of mice in a container&#10;&#10;Description automatically generated"/>
                    <pic:cNvPicPr/>
                  </pic:nvPicPr>
                  <pic:blipFill rotWithShape="1">
                    <a:blip r:embed="rId12"/>
                    <a:srcRect r="3181"/>
                    <a:stretch/>
                  </pic:blipFill>
                  <pic:spPr bwMode="auto">
                    <a:xfrm>
                      <a:off x="0" y="0"/>
                      <a:ext cx="2437935" cy="3578001"/>
                    </a:xfrm>
                    <a:prstGeom prst="rect">
                      <a:avLst/>
                    </a:prstGeom>
                    <a:ln>
                      <a:noFill/>
                    </a:ln>
                    <a:extLst>
                      <a:ext uri="{53640926-AAD7-44D8-BBD7-CCE9431645EC}">
                        <a14:shadowObscured xmlns:a14="http://schemas.microsoft.com/office/drawing/2010/main"/>
                      </a:ext>
                    </a:extLst>
                  </pic:spPr>
                </pic:pic>
              </a:graphicData>
            </a:graphic>
          </wp:inline>
        </w:drawing>
      </w:r>
    </w:p>
    <w:sectPr w:rsidR="00B224BE" w:rsidSect="006D2760">
      <w:headerReference w:type="default" r:id="rId13"/>
      <w:head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8BFF9" w14:textId="77777777" w:rsidR="0056428A" w:rsidRDefault="0056428A" w:rsidP="00121F87">
      <w:pPr>
        <w:spacing w:after="0" w:line="240" w:lineRule="auto"/>
      </w:pPr>
      <w:r>
        <w:separator/>
      </w:r>
    </w:p>
  </w:endnote>
  <w:endnote w:type="continuationSeparator" w:id="0">
    <w:p w14:paraId="443EF536" w14:textId="77777777" w:rsidR="0056428A" w:rsidRDefault="0056428A" w:rsidP="00121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708E3" w14:textId="77777777" w:rsidR="0056428A" w:rsidRDefault="0056428A" w:rsidP="00121F87">
      <w:pPr>
        <w:spacing w:after="0" w:line="240" w:lineRule="auto"/>
      </w:pPr>
      <w:r>
        <w:separator/>
      </w:r>
    </w:p>
  </w:footnote>
  <w:footnote w:type="continuationSeparator" w:id="0">
    <w:p w14:paraId="77B8B899" w14:textId="77777777" w:rsidR="0056428A" w:rsidRDefault="0056428A" w:rsidP="00121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7A16C" w14:textId="339DBBFA" w:rsidR="00121F87" w:rsidRDefault="00121F87" w:rsidP="00121F87">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A27E1" w14:textId="45412835" w:rsidR="00121F87" w:rsidRDefault="00121F87" w:rsidP="00121F87">
    <w:pPr>
      <w:pStyle w:val="Header"/>
      <w:jc w:val="right"/>
    </w:pPr>
    <w:r>
      <w:rPr>
        <w:noProof/>
      </w:rPr>
      <w:drawing>
        <wp:inline distT="0" distB="0" distL="0" distR="0" wp14:anchorId="6FB0508B" wp14:editId="5A0ED5C9">
          <wp:extent cx="2971800" cy="1440035"/>
          <wp:effectExtent l="0" t="0" r="0" b="8255"/>
          <wp:docPr id="22034223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42234" name="Picture 1" descr="A close-up of a logo&#10;&#10;Description automatically generated"/>
                  <pic:cNvPicPr/>
                </pic:nvPicPr>
                <pic:blipFill rotWithShape="1">
                  <a:blip r:embed="rId1">
                    <a:extLst>
                      <a:ext uri="{28A0092B-C50C-407E-A947-70E740481C1C}">
                        <a14:useLocalDpi xmlns:a14="http://schemas.microsoft.com/office/drawing/2010/main" val="0"/>
                      </a:ext>
                    </a:extLst>
                  </a:blip>
                  <a:srcRect r="41028"/>
                  <a:stretch/>
                </pic:blipFill>
                <pic:spPr bwMode="auto">
                  <a:xfrm>
                    <a:off x="0" y="0"/>
                    <a:ext cx="2972100" cy="144018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345F"/>
    <w:multiLevelType w:val="hybridMultilevel"/>
    <w:tmpl w:val="B6FEA2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EC4CA2"/>
    <w:multiLevelType w:val="hybridMultilevel"/>
    <w:tmpl w:val="5852D468"/>
    <w:lvl w:ilvl="0" w:tplc="B51A4E7C">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F072EB"/>
    <w:multiLevelType w:val="hybridMultilevel"/>
    <w:tmpl w:val="A3687E22"/>
    <w:lvl w:ilvl="0" w:tplc="12C0B0F2">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57556927">
    <w:abstractNumId w:val="0"/>
  </w:num>
  <w:num w:numId="2" w16cid:durableId="319892934">
    <w:abstractNumId w:val="2"/>
  </w:num>
  <w:num w:numId="3" w16cid:durableId="1457259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A7F"/>
    <w:rsid w:val="00035F9B"/>
    <w:rsid w:val="00047759"/>
    <w:rsid w:val="000613BA"/>
    <w:rsid w:val="00096126"/>
    <w:rsid w:val="000D3B68"/>
    <w:rsid w:val="00103562"/>
    <w:rsid w:val="00113843"/>
    <w:rsid w:val="001173BC"/>
    <w:rsid w:val="00121F87"/>
    <w:rsid w:val="001327F2"/>
    <w:rsid w:val="001403FC"/>
    <w:rsid w:val="00141532"/>
    <w:rsid w:val="00144711"/>
    <w:rsid w:val="00153EAE"/>
    <w:rsid w:val="001558C2"/>
    <w:rsid w:val="00162D29"/>
    <w:rsid w:val="00175857"/>
    <w:rsid w:val="00194150"/>
    <w:rsid w:val="00196139"/>
    <w:rsid w:val="001A1F29"/>
    <w:rsid w:val="001A3FD1"/>
    <w:rsid w:val="001D45D6"/>
    <w:rsid w:val="001E1F4A"/>
    <w:rsid w:val="001E73EB"/>
    <w:rsid w:val="002067E7"/>
    <w:rsid w:val="002200B7"/>
    <w:rsid w:val="00240E92"/>
    <w:rsid w:val="00244F17"/>
    <w:rsid w:val="00257519"/>
    <w:rsid w:val="002577C3"/>
    <w:rsid w:val="00284A8F"/>
    <w:rsid w:val="002B77AB"/>
    <w:rsid w:val="002E08F0"/>
    <w:rsid w:val="002F086B"/>
    <w:rsid w:val="002F364C"/>
    <w:rsid w:val="00343ADB"/>
    <w:rsid w:val="00364B87"/>
    <w:rsid w:val="00367B4E"/>
    <w:rsid w:val="003733E0"/>
    <w:rsid w:val="00380C6C"/>
    <w:rsid w:val="00394196"/>
    <w:rsid w:val="003E3066"/>
    <w:rsid w:val="003F04ED"/>
    <w:rsid w:val="003F1C84"/>
    <w:rsid w:val="00422AC3"/>
    <w:rsid w:val="00426776"/>
    <w:rsid w:val="004273BA"/>
    <w:rsid w:val="00472695"/>
    <w:rsid w:val="004871AD"/>
    <w:rsid w:val="004907CE"/>
    <w:rsid w:val="004933FF"/>
    <w:rsid w:val="004A254F"/>
    <w:rsid w:val="004C5EC8"/>
    <w:rsid w:val="004E6FE1"/>
    <w:rsid w:val="00502D3E"/>
    <w:rsid w:val="00502F1D"/>
    <w:rsid w:val="00517629"/>
    <w:rsid w:val="00553FAD"/>
    <w:rsid w:val="0056428A"/>
    <w:rsid w:val="0056551C"/>
    <w:rsid w:val="0057131E"/>
    <w:rsid w:val="0057456C"/>
    <w:rsid w:val="00591367"/>
    <w:rsid w:val="0059668B"/>
    <w:rsid w:val="00596C4D"/>
    <w:rsid w:val="005A1787"/>
    <w:rsid w:val="005B577C"/>
    <w:rsid w:val="005D4BAB"/>
    <w:rsid w:val="005E4EB2"/>
    <w:rsid w:val="0065642E"/>
    <w:rsid w:val="006644B3"/>
    <w:rsid w:val="006661C8"/>
    <w:rsid w:val="006862E5"/>
    <w:rsid w:val="006A527E"/>
    <w:rsid w:val="006C5B0B"/>
    <w:rsid w:val="006D2760"/>
    <w:rsid w:val="006D3467"/>
    <w:rsid w:val="006D43E6"/>
    <w:rsid w:val="006F5967"/>
    <w:rsid w:val="00702DC9"/>
    <w:rsid w:val="00704048"/>
    <w:rsid w:val="00741255"/>
    <w:rsid w:val="00743977"/>
    <w:rsid w:val="0075126D"/>
    <w:rsid w:val="00753168"/>
    <w:rsid w:val="0077233C"/>
    <w:rsid w:val="007E5427"/>
    <w:rsid w:val="00833685"/>
    <w:rsid w:val="008413AD"/>
    <w:rsid w:val="00844623"/>
    <w:rsid w:val="00877865"/>
    <w:rsid w:val="00892ABA"/>
    <w:rsid w:val="008A6F5E"/>
    <w:rsid w:val="008B02AF"/>
    <w:rsid w:val="008B0743"/>
    <w:rsid w:val="008C65AA"/>
    <w:rsid w:val="008D20F7"/>
    <w:rsid w:val="008E166C"/>
    <w:rsid w:val="008E621E"/>
    <w:rsid w:val="008F445E"/>
    <w:rsid w:val="009001BE"/>
    <w:rsid w:val="0091143D"/>
    <w:rsid w:val="00961FAF"/>
    <w:rsid w:val="009755E7"/>
    <w:rsid w:val="00980BDE"/>
    <w:rsid w:val="0099416C"/>
    <w:rsid w:val="009D0741"/>
    <w:rsid w:val="009D6431"/>
    <w:rsid w:val="009E34BE"/>
    <w:rsid w:val="009E5676"/>
    <w:rsid w:val="00A11927"/>
    <w:rsid w:val="00A208CC"/>
    <w:rsid w:val="00A30961"/>
    <w:rsid w:val="00A35E9F"/>
    <w:rsid w:val="00A43323"/>
    <w:rsid w:val="00A43E88"/>
    <w:rsid w:val="00A52FDD"/>
    <w:rsid w:val="00A75896"/>
    <w:rsid w:val="00A81B13"/>
    <w:rsid w:val="00A83352"/>
    <w:rsid w:val="00AE686A"/>
    <w:rsid w:val="00AF4A7F"/>
    <w:rsid w:val="00AF718D"/>
    <w:rsid w:val="00B001DB"/>
    <w:rsid w:val="00B224BE"/>
    <w:rsid w:val="00B56C4C"/>
    <w:rsid w:val="00B618DC"/>
    <w:rsid w:val="00B73660"/>
    <w:rsid w:val="00BC254D"/>
    <w:rsid w:val="00BC47E2"/>
    <w:rsid w:val="00BC4C1B"/>
    <w:rsid w:val="00BD59EC"/>
    <w:rsid w:val="00C15CB9"/>
    <w:rsid w:val="00C61E22"/>
    <w:rsid w:val="00C65AD9"/>
    <w:rsid w:val="00C65C8E"/>
    <w:rsid w:val="00C72CB7"/>
    <w:rsid w:val="00C803EC"/>
    <w:rsid w:val="00C82B51"/>
    <w:rsid w:val="00C8617B"/>
    <w:rsid w:val="00CB0FD3"/>
    <w:rsid w:val="00CD2BCE"/>
    <w:rsid w:val="00CE39D4"/>
    <w:rsid w:val="00CF3FA4"/>
    <w:rsid w:val="00D15C2B"/>
    <w:rsid w:val="00D379E4"/>
    <w:rsid w:val="00D43AA3"/>
    <w:rsid w:val="00D60A56"/>
    <w:rsid w:val="00D62376"/>
    <w:rsid w:val="00D65A17"/>
    <w:rsid w:val="00D72F8A"/>
    <w:rsid w:val="00D87BF6"/>
    <w:rsid w:val="00D90C10"/>
    <w:rsid w:val="00DB502D"/>
    <w:rsid w:val="00DE7ADD"/>
    <w:rsid w:val="00E05D92"/>
    <w:rsid w:val="00E1663D"/>
    <w:rsid w:val="00E30355"/>
    <w:rsid w:val="00E3420A"/>
    <w:rsid w:val="00E349F1"/>
    <w:rsid w:val="00E43DC1"/>
    <w:rsid w:val="00E649AF"/>
    <w:rsid w:val="00E65151"/>
    <w:rsid w:val="00E65D0F"/>
    <w:rsid w:val="00E66DA6"/>
    <w:rsid w:val="00E7300C"/>
    <w:rsid w:val="00E81653"/>
    <w:rsid w:val="00E93963"/>
    <w:rsid w:val="00E952FA"/>
    <w:rsid w:val="00EB466C"/>
    <w:rsid w:val="00EB58A5"/>
    <w:rsid w:val="00EC4888"/>
    <w:rsid w:val="00ED6BDC"/>
    <w:rsid w:val="00EE47C9"/>
    <w:rsid w:val="00EF2D81"/>
    <w:rsid w:val="00F01124"/>
    <w:rsid w:val="00F221C3"/>
    <w:rsid w:val="00F40C72"/>
    <w:rsid w:val="00F474FE"/>
    <w:rsid w:val="00F545FD"/>
    <w:rsid w:val="00F5702A"/>
    <w:rsid w:val="00F74B43"/>
    <w:rsid w:val="00F81FAF"/>
    <w:rsid w:val="00FA0B0E"/>
    <w:rsid w:val="00FA428C"/>
    <w:rsid w:val="00FD3C5F"/>
    <w:rsid w:val="00FE7DC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B972B"/>
  <w15:chartTrackingRefBased/>
  <w15:docId w15:val="{37E70570-522F-4E19-846C-78FD83679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Cs/>
        <w:kern w:val="2"/>
        <w:sz w:val="24"/>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3562"/>
    <w:rPr>
      <w:sz w:val="16"/>
      <w:szCs w:val="16"/>
    </w:rPr>
  </w:style>
  <w:style w:type="paragraph" w:styleId="CommentText">
    <w:name w:val="annotation text"/>
    <w:basedOn w:val="Normal"/>
    <w:link w:val="CommentTextChar"/>
    <w:uiPriority w:val="99"/>
    <w:unhideWhenUsed/>
    <w:rsid w:val="00103562"/>
    <w:pPr>
      <w:spacing w:line="240" w:lineRule="auto"/>
    </w:pPr>
    <w:rPr>
      <w:sz w:val="20"/>
      <w:szCs w:val="20"/>
    </w:rPr>
  </w:style>
  <w:style w:type="character" w:customStyle="1" w:styleId="CommentTextChar">
    <w:name w:val="Comment Text Char"/>
    <w:basedOn w:val="DefaultParagraphFont"/>
    <w:link w:val="CommentText"/>
    <w:uiPriority w:val="99"/>
    <w:rsid w:val="00103562"/>
    <w:rPr>
      <w:sz w:val="20"/>
      <w:szCs w:val="20"/>
    </w:rPr>
  </w:style>
  <w:style w:type="paragraph" w:styleId="CommentSubject">
    <w:name w:val="annotation subject"/>
    <w:basedOn w:val="CommentText"/>
    <w:next w:val="CommentText"/>
    <w:link w:val="CommentSubjectChar"/>
    <w:uiPriority w:val="99"/>
    <w:semiHidden/>
    <w:unhideWhenUsed/>
    <w:rsid w:val="00103562"/>
    <w:rPr>
      <w:b/>
    </w:rPr>
  </w:style>
  <w:style w:type="character" w:customStyle="1" w:styleId="CommentSubjectChar">
    <w:name w:val="Comment Subject Char"/>
    <w:basedOn w:val="CommentTextChar"/>
    <w:link w:val="CommentSubject"/>
    <w:uiPriority w:val="99"/>
    <w:semiHidden/>
    <w:rsid w:val="00103562"/>
    <w:rPr>
      <w:b/>
      <w:sz w:val="20"/>
      <w:szCs w:val="20"/>
    </w:rPr>
  </w:style>
  <w:style w:type="character" w:styleId="Hyperlink">
    <w:name w:val="Hyperlink"/>
    <w:basedOn w:val="DefaultParagraphFont"/>
    <w:uiPriority w:val="99"/>
    <w:unhideWhenUsed/>
    <w:rsid w:val="006644B3"/>
    <w:rPr>
      <w:color w:val="0563C1" w:themeColor="hyperlink"/>
      <w:u w:val="single"/>
    </w:rPr>
  </w:style>
  <w:style w:type="character" w:styleId="UnresolvedMention">
    <w:name w:val="Unresolved Mention"/>
    <w:basedOn w:val="DefaultParagraphFont"/>
    <w:uiPriority w:val="99"/>
    <w:semiHidden/>
    <w:unhideWhenUsed/>
    <w:rsid w:val="006644B3"/>
    <w:rPr>
      <w:color w:val="605E5C"/>
      <w:shd w:val="clear" w:color="auto" w:fill="E1DFDD"/>
    </w:rPr>
  </w:style>
  <w:style w:type="paragraph" w:styleId="ListParagraph">
    <w:name w:val="List Paragraph"/>
    <w:basedOn w:val="Normal"/>
    <w:uiPriority w:val="34"/>
    <w:qFormat/>
    <w:rsid w:val="001327F2"/>
    <w:pPr>
      <w:ind w:left="720"/>
      <w:contextualSpacing/>
    </w:pPr>
  </w:style>
  <w:style w:type="paragraph" w:styleId="BalloonText">
    <w:name w:val="Balloon Text"/>
    <w:basedOn w:val="Normal"/>
    <w:link w:val="BalloonTextChar"/>
    <w:uiPriority w:val="99"/>
    <w:semiHidden/>
    <w:unhideWhenUsed/>
    <w:rsid w:val="00F74B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B43"/>
    <w:rPr>
      <w:rFonts w:ascii="Segoe UI" w:hAnsi="Segoe UI" w:cs="Segoe UI"/>
      <w:sz w:val="18"/>
      <w:szCs w:val="18"/>
    </w:rPr>
  </w:style>
  <w:style w:type="paragraph" w:styleId="Header">
    <w:name w:val="header"/>
    <w:basedOn w:val="Normal"/>
    <w:link w:val="HeaderChar"/>
    <w:uiPriority w:val="99"/>
    <w:unhideWhenUsed/>
    <w:rsid w:val="00121F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F87"/>
  </w:style>
  <w:style w:type="paragraph" w:styleId="Footer">
    <w:name w:val="footer"/>
    <w:basedOn w:val="Normal"/>
    <w:link w:val="FooterChar"/>
    <w:uiPriority w:val="99"/>
    <w:unhideWhenUsed/>
    <w:rsid w:val="00121F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F87"/>
  </w:style>
  <w:style w:type="paragraph" w:styleId="Revision">
    <w:name w:val="Revision"/>
    <w:hidden/>
    <w:uiPriority w:val="99"/>
    <w:semiHidden/>
    <w:rsid w:val="005E4E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26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raint.rogers@sahmri.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rum.biobakery.org/t/multiple-comparison-correcting/258/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14</Pages>
  <Words>5156</Words>
  <Characters>30990</Characters>
  <Application>Microsoft Office Word</Application>
  <DocSecurity>0</DocSecurity>
  <Lines>607</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Taylor</dc:creator>
  <cp:keywords/>
  <dc:description/>
  <cp:lastModifiedBy>Yiming Wang</cp:lastModifiedBy>
  <cp:revision>23</cp:revision>
  <dcterms:created xsi:type="dcterms:W3CDTF">2024-04-28T05:49:00Z</dcterms:created>
  <dcterms:modified xsi:type="dcterms:W3CDTF">2024-05-06T13:22:00Z</dcterms:modified>
</cp:coreProperties>
</file>