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DA5E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YFB801-2粉尘防爆三相异步电动机</w:t>
      </w:r>
    </w:p>
    <w:p w14:paraId="079BB0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文件版本</w:t>
      </w:r>
      <w:r>
        <w:rPr>
          <w:rFonts w:ascii="Arial" w:hAnsi="Arial" w:eastAsia="等线" w:cs="Arial"/>
          <w:sz w:val="22"/>
        </w:rPr>
        <w:t>：V1.0 正式归档版</w:t>
      </w:r>
    </w:p>
    <w:p w14:paraId="315722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适用机型</w:t>
      </w:r>
      <w:r>
        <w:rPr>
          <w:rFonts w:ascii="Arial" w:hAnsi="Arial" w:eastAsia="等线" w:cs="Arial"/>
          <w:sz w:val="22"/>
        </w:rPr>
        <w:t>：佳木斯 YFB801-2（0.75kW/2极/380V）</w:t>
      </w:r>
    </w:p>
    <w:p w14:paraId="198C03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执行标准</w:t>
      </w:r>
      <w:r>
        <w:rPr>
          <w:rFonts w:ascii="Arial" w:hAnsi="Arial" w:eastAsia="等线" w:cs="Arial"/>
          <w:sz w:val="22"/>
        </w:rPr>
        <w:t>：GB12476.1、GB12476.5 可燃性粉尘环境电气设备标准</w:t>
      </w:r>
    </w:p>
    <w:p w14:paraId="320D59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用途说明</w:t>
      </w:r>
      <w:r>
        <w:rPr>
          <w:rFonts w:ascii="Arial" w:hAnsi="Arial" w:eastAsia="等线" w:cs="Arial"/>
          <w:sz w:val="22"/>
        </w:rPr>
        <w:t>：本文件为原厂规范整理版，可直接用于现场运维、设备存档、检修交底、验收资料归档</w:t>
      </w:r>
    </w:p>
    <w:p w14:paraId="6EE41BB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 产品型号释义</w:t>
      </w:r>
      <w:bookmarkEnd w:id="0"/>
    </w:p>
    <w:p w14:paraId="073663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YFB801-2 为佳木斯老式粉尘防爆三相异步电动机标准型号，各参数含义如下：</w:t>
      </w:r>
    </w:p>
    <w:p w14:paraId="07BFF98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Y：三相鼠笼式异步电动机</w:t>
      </w:r>
    </w:p>
    <w:p w14:paraId="242DD31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F：适用于粉尘爆炸危险环境</w:t>
      </w:r>
    </w:p>
    <w:p w14:paraId="52DB34A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B：外壳保护型粉尘防爆结构（tD防爆型式）</w:t>
      </w:r>
    </w:p>
    <w:p w14:paraId="6328000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80：电机机座中心高度80mm</w:t>
      </w:r>
    </w:p>
    <w:p w14:paraId="7D29301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1：1号标准铁芯（短铁芯结构）</w:t>
      </w:r>
    </w:p>
    <w:p w14:paraId="458C731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2：2极电机，同步转速3000r/min</w:t>
      </w:r>
    </w:p>
    <w:p w14:paraId="073851C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 主要额定技术参数</w:t>
      </w:r>
      <w:bookmarkEnd w:id="1"/>
    </w:p>
    <w:p w14:paraId="391A1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本机型为YFB801-2标配参数，所有运行、检修、校验均以此参数为准：</w:t>
      </w:r>
    </w:p>
    <w:p w14:paraId="78010D0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额定功率：0.75kW</w:t>
      </w:r>
    </w:p>
    <w:p w14:paraId="2B2F0D6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额定转速：约2825r/min（满载工况）</w:t>
      </w:r>
    </w:p>
    <w:p w14:paraId="1CB842F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额定电压：380V，额定频率：50Hz</w:t>
      </w:r>
    </w:p>
    <w:p w14:paraId="384511C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额定电流：1.8A</w:t>
      </w:r>
    </w:p>
    <w:p w14:paraId="24ED0A8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接线方式：三角形（△）接法</w:t>
      </w:r>
    </w:p>
    <w:p w14:paraId="27D0B01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工作制式：S1 连续不间断工作制</w:t>
      </w:r>
    </w:p>
    <w:p w14:paraId="6D56E18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防爆标志：DIP A21 TA,T4 / Ex tD A21 IP65</w:t>
      </w:r>
    </w:p>
    <w:p w14:paraId="0F82EE3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防护等级：IP65（尘密、防溅水结构）</w:t>
      </w:r>
    </w:p>
    <w:p w14:paraId="50F606C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冷却方式：IC411 全封闭自扇冷式</w:t>
      </w:r>
    </w:p>
    <w:p w14:paraId="2898154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绝缘等级：F级，绕组最高温升80K</w:t>
      </w:r>
    </w:p>
    <w:p w14:paraId="29AFEEE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温度组别：T4，最高表面温度≤135℃</w:t>
      </w:r>
    </w:p>
    <w:p w14:paraId="4577716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适用场所：可燃性粉尘20/21/22危险区域</w:t>
      </w:r>
    </w:p>
    <w:p w14:paraId="32EA3DE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安装方式：标准B3底脚安装，可选B5法兰、B35复合安装</w:t>
      </w:r>
    </w:p>
    <w:p w14:paraId="32CB906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 正常使用环境条件</w:t>
      </w:r>
      <w:bookmarkEnd w:id="2"/>
    </w:p>
    <w:p w14:paraId="56F29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电机需在符合以下标准的环境中运行，超工况使用会导致绝缘老化、防爆失效、设备损坏：</w:t>
      </w:r>
    </w:p>
    <w:p w14:paraId="0825127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海拔高度：≤1000m，超海拔环境需降功率使用</w:t>
      </w:r>
    </w:p>
    <w:p w14:paraId="28F9D6C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环境温度：-15℃～+40℃</w:t>
      </w:r>
    </w:p>
    <w:p w14:paraId="34B155F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相对湿度：25℃环境下，</w:t>
      </w:r>
      <w:bookmarkStart w:id="16" w:name="_GoBack"/>
      <w:bookmarkEnd w:id="16"/>
      <w:r>
        <w:rPr>
          <w:rFonts w:ascii="Arial" w:hAnsi="Arial" w:eastAsia="等线" w:cs="Arial"/>
          <w:sz w:val="22"/>
        </w:rPr>
        <w:t>月平均湿度≤95%，无凝露</w:t>
      </w:r>
    </w:p>
    <w:p w14:paraId="681342D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环境要求：无强腐蚀性气体、无剧烈冲击振动，无易燃易爆气体混合环境</w:t>
      </w:r>
    </w:p>
    <w:p w14:paraId="5DA7A9D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户外使用需加装防护设施，禁止长期淋雨、暴晒</w:t>
      </w:r>
    </w:p>
    <w:p w14:paraId="67944B7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4 投运前检查与验收规范</w:t>
      </w:r>
      <w:bookmarkEnd w:id="3"/>
    </w:p>
    <w:p w14:paraId="55EC0F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防爆电机核心禁忌：严禁磕碰、划伤、打磨防爆接合面，破损后电机防爆资质失效，禁止投入使用</w:t>
      </w:r>
    </w:p>
    <w:p w14:paraId="11F857B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外观检查：机座、端盖、接线盒无裂纹、变形、磕碰损伤，所有密封橡胶垫完整、无老化破损</w:t>
      </w:r>
    </w:p>
    <w:p w14:paraId="5BABAA4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盘车检查：手动转动转轴，运转顺滑无卡滞、无摩擦异响、无扫膛现象</w:t>
      </w:r>
    </w:p>
    <w:p w14:paraId="4299794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绝缘检测：采用500V兆欧表测量，冷态绕组对地、相间绝缘电阻≥10MΩ；绝缘低于0.5MΩ严禁通电，必须烘干处理</w:t>
      </w:r>
    </w:p>
    <w:p w14:paraId="7B17C5D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密封检查：电缆密封圈与进线电缆外径匹配，压紧密封良好，杜绝粉尘、水汽进入电机内腔</w:t>
      </w:r>
    </w:p>
    <w:p w14:paraId="6B6EBA4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资质核对：防爆标志、合格证与现场危险区域等级匹配</w:t>
      </w:r>
    </w:p>
    <w:p w14:paraId="46BF23B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5 设备安装规范</w:t>
      </w:r>
      <w:bookmarkEnd w:id="4"/>
    </w:p>
    <w:p w14:paraId="4547D2A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基础安装：设备底座牢固平整，地脚螺栓对角均匀锁紧，避免运行振动导致防爆止口松动、变形</w:t>
      </w:r>
    </w:p>
    <w:p w14:paraId="05A1A7F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传动安装：联轴器传动需精准找正，同轴度偏差符合标准；皮带传动张力适中，禁止过载顶压电机主轴</w:t>
      </w:r>
    </w:p>
    <w:p w14:paraId="3F4012B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通风散热：电机四周预留足够通风空间，散热筋无遮挡、无积尘堆积，保证散热效果</w:t>
      </w:r>
    </w:p>
    <w:p w14:paraId="62154D4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接线安装：进线电缆无外力拉扯、扭曲，接线盒密封严实，杜绝松动、漏气、漏尘问题</w:t>
      </w:r>
    </w:p>
    <w:p w14:paraId="4B1D275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6 电气接线规范</w:t>
      </w:r>
      <w:bookmarkEnd w:id="5"/>
    </w:p>
    <w:p w14:paraId="2F1A4E3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端子标识：电机接线端子标注U、V、W，任意调换两相接线可改变电机转向</w:t>
      </w:r>
    </w:p>
    <w:p w14:paraId="161B2EF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接线要求：380V工况严格采用三角形（△）接法，禁止错接星形接法，避免电机出力不足、过热烧毁</w:t>
      </w:r>
    </w:p>
    <w:p w14:paraId="79B2CE2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紧固要求：接线端子、防松垫片齐全紧固，无松动、虚接，防止运行发热打火</w:t>
      </w:r>
    </w:p>
    <w:p w14:paraId="180D429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接地要求：电机外壳保护接地可靠，接地螺栓无锈蚀、连接牢固，满足防爆电气接地规范</w:t>
      </w:r>
    </w:p>
    <w:p w14:paraId="15A2BB4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7 启动与运行管理要求</w:t>
      </w:r>
      <w:bookmarkEnd w:id="6"/>
    </w:p>
    <w:p w14:paraId="4FEE6F2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启动方式：支持直接启动，频繁启停工况需适当降低负载，避免绕组过热老化</w:t>
      </w:r>
    </w:p>
    <w:p w14:paraId="08BEA5F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电源工况：电压允许波动±5%，频率波动±1%，三相电压不平衡度＜1.5%</w:t>
      </w:r>
    </w:p>
    <w:p w14:paraId="1F24B72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温度限值：轴承外壳最高温度≤95℃，电机外壳最高表面温度≤135℃</w:t>
      </w:r>
    </w:p>
    <w:p w14:paraId="0783799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紧急停机：运行中出现异响、冒烟、异味、异常升温、剧烈振动，立即断电停机排查</w:t>
      </w:r>
    </w:p>
    <w:p w14:paraId="207EC6A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8 润滑与维护保养规范</w:t>
      </w:r>
      <w:bookmarkEnd w:id="7"/>
    </w:p>
    <w:p w14:paraId="07678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YFB801-2小型粉尘防爆电机采用</w:t>
      </w:r>
      <w:r>
        <w:rPr>
          <w:rFonts w:ascii="Arial" w:hAnsi="Arial" w:eastAsia="等线" w:cs="Arial"/>
          <w:b/>
          <w:sz w:val="22"/>
        </w:rPr>
        <w:t>双面密封免维护轴承</w:t>
      </w:r>
      <w:r>
        <w:rPr>
          <w:rFonts w:ascii="Arial" w:hAnsi="Arial" w:eastAsia="等线" w:cs="Arial"/>
          <w:sz w:val="22"/>
        </w:rPr>
        <w:t>，常规工况终身免补脂：</w:t>
      </w:r>
    </w:p>
    <w:p w14:paraId="2DC3066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常规工况：无需定期加注润滑脂，正常运行无需润滑维护</w:t>
      </w:r>
    </w:p>
    <w:p w14:paraId="1DBE967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恶劣工况（高温、高粉尘、连续重载）：大修时更换全新轴承，配套填充ZL-2锂基润滑脂</w:t>
      </w:r>
    </w:p>
    <w:p w14:paraId="2A0DD3C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润滑标准：轴承内腔填充1/2容积即可，禁止填满，防止轴承散热不良、过热抱死</w:t>
      </w:r>
    </w:p>
    <w:p w14:paraId="0321D2B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禁忌要求：禁止混用不同型号、不同品牌润滑脂</w:t>
      </w:r>
    </w:p>
    <w:p w14:paraId="5865B23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9 定期维护周期标准</w:t>
      </w:r>
      <w:bookmarkEnd w:id="8"/>
    </w:p>
    <w:p w14:paraId="14239AA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日常巡检（每班）：检查电机温度、运行噪音、振动、外壳积尘、接线盒密封状态，发现异常及时处理</w:t>
      </w:r>
    </w:p>
    <w:p w14:paraId="3E3B2F8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月度维护：吹扫电机散热筋、外壳粉尘，紧固设备所有固定螺栓、接线端子</w:t>
      </w:r>
    </w:p>
    <w:p w14:paraId="5DEDF01F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季度/2500小时维护：停机检测绝缘电阻，检查轴承运行状态、防爆密封结构完整性</w:t>
      </w:r>
    </w:p>
    <w:p w14:paraId="66E14EB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年度检修：全面绝缘检测、结构检查、密封件更换，完成整机工况校验</w:t>
      </w:r>
    </w:p>
    <w:p w14:paraId="3530F0C5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10 常见故障、原因及处理方案</w:t>
      </w:r>
      <w:bookmarkEnd w:id="9"/>
    </w:p>
    <w:p w14:paraId="5420811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10.1 电机通电不启动、嗡嗡异响</w:t>
      </w:r>
      <w:bookmarkEnd w:id="10"/>
    </w:p>
    <w:p w14:paraId="36A7D08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故障原因：电源缺相、接触器触点烧蚀、接线端子松动、绕组断线、负载卡死、轴承抱死、转子扫膛</w:t>
      </w:r>
    </w:p>
    <w:p w14:paraId="7B742BC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处理方案：检测三相电源电压、检修控制回路；复测绕组直流电阻；脱开负载单独试机；解体检查轴承与定转子气隙</w:t>
      </w:r>
    </w:p>
    <w:p w14:paraId="3367FFB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10.2 运行振动大、异响严重</w:t>
      </w:r>
      <w:bookmarkEnd w:id="11"/>
    </w:p>
    <w:p w14:paraId="2B6339A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故障原因：地脚螺栓松动、联轴器对中不良、轴承磨损损坏、风扇摩擦风罩、转子积尘失衡、定转子扫膛</w:t>
      </w:r>
    </w:p>
    <w:p w14:paraId="09F170F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处理方案：紧固底座螺栓、重新同轴找正；更换损坏轴承；清理转子积尘、调整风扇间隙；检修变形端盖与弯曲转轴</w:t>
      </w:r>
    </w:p>
    <w:p w14:paraId="37A84F2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10.3 电机异常过热、温升超标</w:t>
      </w:r>
      <w:bookmarkEnd w:id="12"/>
    </w:p>
    <w:p w14:paraId="40B40F1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故障原因：设备长期过载、电源电压异常、三相电压不平衡、散热粉尘堵塞、缺相运行、绕组匝间/相间短路、轴承润滑不良</w:t>
      </w:r>
    </w:p>
    <w:p w14:paraId="6CD3C79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处理方案：减负运行、校准电源参数；彻底吹扫散热结构；排查缺相故障；检修绕组、更换轴承润滑组件</w:t>
      </w:r>
    </w:p>
    <w:p w14:paraId="1F303904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10.4 绝缘电阻下降、设备受潮</w:t>
      </w:r>
      <w:bookmarkEnd w:id="13"/>
    </w:p>
    <w:p w14:paraId="5966A0C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故障原因：接线盒、机座密封失效，粉尘、水汽侵入电机内腔，环境湿度过高</w:t>
      </w:r>
    </w:p>
    <w:p w14:paraId="43F8BC78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处理方案：100℃-120℃低温缓慢烘干电机绕组，复测绝缘达标后，更换全部老化密封垫片</w:t>
      </w:r>
    </w:p>
    <w:p w14:paraId="172119B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11 防爆维修强制安全禁令</w:t>
      </w:r>
      <w:bookmarkEnd w:id="14"/>
    </w:p>
    <w:p w14:paraId="7B7E2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粉尘防爆电机维修必须严格遵守以下规范，违规维修将导致防爆失效，引发安全事故：</w:t>
      </w:r>
    </w:p>
    <w:p w14:paraId="62E8532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拆解检修时，严禁磕碰、划伤、打磨防爆接合面，接合面损伤后设备报废，禁止继续使用</w:t>
      </w:r>
    </w:p>
    <w:p w14:paraId="6DF10727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所有密封垫、电缆密封圈、防尘防水配件，老化破损必须更换新品，禁止复用旧件</w:t>
      </w:r>
    </w:p>
    <w:p w14:paraId="2AE053B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设备装配时，螺栓必须对角分次均匀拧紧，保证防爆接合面完全贴合、密封严实</w:t>
      </w:r>
    </w:p>
    <w:p w14:paraId="26616D7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粉尘危险区域开盖检修，必须断电挂牌上锁，静置10分钟以上，规避内部余热引燃粉尘风险</w:t>
      </w:r>
    </w:p>
    <w:p w14:paraId="22E857F0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绕组重绕必须严格匹配原厂线规、匝数、绝缘参数，禁止随意更改设备核心参数</w:t>
      </w:r>
    </w:p>
    <w:p w14:paraId="0D65450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维修完成后，必须空载试运行30分钟，无异常后方可带负荷运行</w:t>
      </w:r>
    </w:p>
    <w:p w14:paraId="43F7709A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12 设备贮存与闲置保养</w:t>
      </w:r>
      <w:bookmarkEnd w:id="15"/>
    </w:p>
    <w:p w14:paraId="00C663A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贮存环境：放置于干燥、通风、无尘、无积水的室内环境，远离腐蚀性介质</w:t>
      </w:r>
    </w:p>
    <w:p w14:paraId="6CA067F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闲置维护：长期停机设备，每3个月手动盘动转轴，防止轴承锈蚀、卡滞</w:t>
      </w:r>
    </w:p>
    <w:p w14:paraId="3ED707D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防尘防护：闲置期间封堵接线盒进线口，做好整机防尘防护，避免杂质进入设备内部</w:t>
      </w:r>
    </w:p>
    <w:p w14:paraId="5321ADA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0BD8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A88F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5"/>
  </w:num>
  <w:num w:numId="2">
    <w:abstractNumId w:val="17"/>
  </w:num>
  <w:num w:numId="3">
    <w:abstractNumId w:val="53"/>
  </w:num>
  <w:num w:numId="4">
    <w:abstractNumId w:val="14"/>
  </w:num>
  <w:num w:numId="5">
    <w:abstractNumId w:val="10"/>
  </w:num>
  <w:num w:numId="6">
    <w:abstractNumId w:val="28"/>
  </w:num>
  <w:num w:numId="7">
    <w:abstractNumId w:val="39"/>
  </w:num>
  <w:num w:numId="8">
    <w:abstractNumId w:val="60"/>
  </w:num>
  <w:num w:numId="9">
    <w:abstractNumId w:val="26"/>
  </w:num>
  <w:num w:numId="10">
    <w:abstractNumId w:val="5"/>
  </w:num>
  <w:num w:numId="11">
    <w:abstractNumId w:val="40"/>
  </w:num>
  <w:num w:numId="12">
    <w:abstractNumId w:val="54"/>
  </w:num>
  <w:num w:numId="13">
    <w:abstractNumId w:val="16"/>
  </w:num>
  <w:num w:numId="14">
    <w:abstractNumId w:val="50"/>
  </w:num>
  <w:num w:numId="15">
    <w:abstractNumId w:val="23"/>
  </w:num>
  <w:num w:numId="16">
    <w:abstractNumId w:val="38"/>
  </w:num>
  <w:num w:numId="17">
    <w:abstractNumId w:val="20"/>
  </w:num>
  <w:num w:numId="18">
    <w:abstractNumId w:val="19"/>
  </w:num>
  <w:num w:numId="19">
    <w:abstractNumId w:val="7"/>
  </w:num>
  <w:num w:numId="20">
    <w:abstractNumId w:val="48"/>
  </w:num>
  <w:num w:numId="21">
    <w:abstractNumId w:val="57"/>
  </w:num>
  <w:num w:numId="22">
    <w:abstractNumId w:val="31"/>
  </w:num>
  <w:num w:numId="23">
    <w:abstractNumId w:val="47"/>
  </w:num>
  <w:num w:numId="24">
    <w:abstractNumId w:val="8"/>
  </w:num>
  <w:num w:numId="25">
    <w:abstractNumId w:val="64"/>
  </w:num>
  <w:num w:numId="26">
    <w:abstractNumId w:val="62"/>
  </w:num>
  <w:num w:numId="27">
    <w:abstractNumId w:val="13"/>
  </w:num>
  <w:num w:numId="28">
    <w:abstractNumId w:val="58"/>
  </w:num>
  <w:num w:numId="29">
    <w:abstractNumId w:val="6"/>
  </w:num>
  <w:num w:numId="30">
    <w:abstractNumId w:val="45"/>
  </w:num>
  <w:num w:numId="31">
    <w:abstractNumId w:val="2"/>
  </w:num>
  <w:num w:numId="32">
    <w:abstractNumId w:val="52"/>
  </w:num>
  <w:num w:numId="33">
    <w:abstractNumId w:val="65"/>
  </w:num>
  <w:num w:numId="34">
    <w:abstractNumId w:val="0"/>
  </w:num>
  <w:num w:numId="35">
    <w:abstractNumId w:val="37"/>
  </w:num>
  <w:num w:numId="36">
    <w:abstractNumId w:val="51"/>
  </w:num>
  <w:num w:numId="37">
    <w:abstractNumId w:val="24"/>
  </w:num>
  <w:num w:numId="38">
    <w:abstractNumId w:val="21"/>
  </w:num>
  <w:num w:numId="39">
    <w:abstractNumId w:val="41"/>
  </w:num>
  <w:num w:numId="40">
    <w:abstractNumId w:val="63"/>
  </w:num>
  <w:num w:numId="41">
    <w:abstractNumId w:val="12"/>
  </w:num>
  <w:num w:numId="42">
    <w:abstractNumId w:val="4"/>
  </w:num>
  <w:num w:numId="43">
    <w:abstractNumId w:val="11"/>
  </w:num>
  <w:num w:numId="44">
    <w:abstractNumId w:val="55"/>
  </w:num>
  <w:num w:numId="45">
    <w:abstractNumId w:val="1"/>
  </w:num>
  <w:num w:numId="46">
    <w:abstractNumId w:val="34"/>
  </w:num>
  <w:num w:numId="47">
    <w:abstractNumId w:val="3"/>
  </w:num>
  <w:num w:numId="48">
    <w:abstractNumId w:val="56"/>
  </w:num>
  <w:num w:numId="49">
    <w:abstractNumId w:val="61"/>
  </w:num>
  <w:num w:numId="50">
    <w:abstractNumId w:val="49"/>
  </w:num>
  <w:num w:numId="51">
    <w:abstractNumId w:val="42"/>
  </w:num>
  <w:num w:numId="52">
    <w:abstractNumId w:val="59"/>
  </w:num>
  <w:num w:numId="53">
    <w:abstractNumId w:val="29"/>
  </w:num>
  <w:num w:numId="54">
    <w:abstractNumId w:val="30"/>
  </w:num>
  <w:num w:numId="55">
    <w:abstractNumId w:val="18"/>
  </w:num>
  <w:num w:numId="56">
    <w:abstractNumId w:val="43"/>
  </w:num>
  <w:num w:numId="57">
    <w:abstractNumId w:val="35"/>
  </w:num>
  <w:num w:numId="58">
    <w:abstractNumId w:val="22"/>
  </w:num>
  <w:num w:numId="59">
    <w:abstractNumId w:val="36"/>
  </w:num>
  <w:num w:numId="60">
    <w:abstractNumId w:val="9"/>
  </w:num>
  <w:num w:numId="61">
    <w:abstractNumId w:val="46"/>
  </w:num>
  <w:num w:numId="62">
    <w:abstractNumId w:val="32"/>
  </w:num>
  <w:num w:numId="63">
    <w:abstractNumId w:val="44"/>
  </w:num>
  <w:num w:numId="64">
    <w:abstractNumId w:val="27"/>
  </w:num>
  <w:num w:numId="65">
    <w:abstractNumId w:val="15"/>
  </w:num>
  <w:num w:numId="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28020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2473</Words>
  <Characters>2694</Characters>
  <TotalTime>0</TotalTime>
  <ScaleCrop>false</ScaleCrop>
  <LinksUpToDate>false</LinksUpToDate>
  <CharactersWithSpaces>2725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2026-07-23T09:13:00Z</dcterms:created>
  <dc:creator>Apache POI</dc:creator>
  <cp:lastModifiedBy>彭洪文</cp:lastModifiedBy>
  <dcterms:modified xsi:type="dcterms:W3CDTF">2026-07-23T09:15:06Z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{"Label":"1","ContentProducer":"001191110102MACQD9K64010000","ProduceID":"7665649059285929229","ReservedCode1":"","ContentPropagator":"","PropagateID":"","ReservedCode2":""}</vt:lpwstr>
  </property>
  <property fmtid="{D5CDD505-2E9C-101B-9397-08002B2CF9AE}" pid="3" name="KSOTemplateDocerSaveRecord">
    <vt:lpwstr>eyJoZGlkIjoiODViY2JkMjU3NGYzZTEwMzZmMGFkZWViYmNkYWU3NDIiLCJ1c2VySWQiOiIxNDYyMjY0NjYyIn0=</vt:lpwstr>
  </property>
  <property fmtid="{D5CDD505-2E9C-101B-9397-08002B2CF9AE}" pid="4" name="KSOProductBuildVer">
    <vt:lpwstr>2052-12.1.0.26895</vt:lpwstr>
  </property>
  <property fmtid="{D5CDD505-2E9C-101B-9397-08002B2CF9AE}" pid="5" name="ICV">
    <vt:lpwstr>514E769947FF48A895E22EC16F71B2BB_12</vt:lpwstr>
  </property>
</Properties>
</file>