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Protocol</w:t>
      </w:r>
    </w:p>
    <w:p>
      <w:pPr>
        <w:pStyle w:val="Heading1"/>
        <w:rPr/>
      </w:pPr>
      <w:bookmarkStart w:id="0" w:name="procedures"/>
      <w:r>
        <w:rPr/>
        <w:t>1</w:t>
        <w:tab/>
        <w:t>Procedures</w:t>
      </w:r>
      <w:bookmarkEnd w:id="0"/>
    </w:p>
    <w:p>
      <w:pPr>
        <w:pStyle w:val="FirstParagraph"/>
        <w:numPr>
          <w:ilvl w:val="0"/>
          <w:numId w:val="1"/>
        </w:numPr>
        <w:rPr/>
      </w:pPr>
      <w:r>
        <w:rPr/>
        <w:t>To find data suitable for our purpose, we searched the NCBI Gene Expression Omnibus database (GEO), and find the CD31 enriched single-cell RNA-seq of choroidal described by Voigt[</w:t>
      </w:r>
      <w:hyperlink w:anchor="ref-Voigt2019a">
        <w:r>
          <w:rPr>
            <w:rStyle w:val="InternetLink"/>
          </w:rPr>
          <w:t>8</w:t>
        </w:r>
      </w:hyperlink>
      <w:r>
        <w:rPr/>
        <w:t>], which characterized the arteriole, vein, and choriocapillaris endothelial cells.</w:t>
      </w:r>
    </w:p>
    <w:p>
      <w:pPr>
        <w:pStyle w:val="TextBody"/>
        <w:numPr>
          <w:ilvl w:val="0"/>
          <w:numId w:val="1"/>
        </w:numPr>
        <w:rPr/>
      </w:pPr>
      <w:r>
        <w:rPr/>
        <w:t>T</w:t>
      </w:r>
      <w:r>
        <w:rPr/>
        <w:t>he choriocapillaris endothelial cells are used to define the potential ligands expressed by the choriocapillaris endothelial cells that might regulator macular degeneration related genes expressed by RPE.</w:t>
      </w:r>
    </w:p>
    <w:p>
      <w:pPr>
        <w:pStyle w:val="TextBody"/>
        <w:numPr>
          <w:ilvl w:val="0"/>
          <w:numId w:val="1"/>
        </w:numPr>
        <w:rPr/>
      </w:pPr>
      <w:r>
        <w:rPr/>
        <w:t>The single-cell trajectory was conducted on choriocapillaris endothelial cells among CD31 enriched patients to find the differentially expressed ligands along the trajectory using monocle3[</w:t>
      </w:r>
      <w:hyperlink w:anchor="ref-Qiu2017">
        <w:r>
          <w:rPr>
            <w:rStyle w:val="InternetLink"/>
          </w:rPr>
          <w:t>4</w:t>
        </w:r>
      </w:hyperlink>
      <w:r>
        <w:rPr/>
        <w:t>,</w:t>
      </w:r>
      <w:hyperlink w:anchor="ref-Qiu2017a">
        <w:r>
          <w:rPr>
            <w:rStyle w:val="InternetLink"/>
          </w:rPr>
          <w:t>5</w:t>
        </w:r>
      </w:hyperlink>
      <w:r>
        <w:rPr/>
        <w:t>,</w:t>
      </w:r>
      <w:hyperlink w:anchor="ref-Trapnell2014a">
        <w:r>
          <w:rPr>
            <w:rStyle w:val="InternetLink"/>
          </w:rPr>
          <w:t>7</w:t>
        </w:r>
      </w:hyperlink>
      <w:r>
        <w:rPr/>
        <w:t>], batch effects were removed using the method described by Haghverdi[</w:t>
      </w:r>
      <w:hyperlink w:anchor="ref-Haghverdi2018">
        <w:r>
          <w:rPr>
            <w:rStyle w:val="InternetLink"/>
          </w:rPr>
          <w:t>1</w:t>
        </w:r>
      </w:hyperlink>
      <w:r>
        <w:rPr/>
        <w:t>].</w:t>
      </w:r>
    </w:p>
    <w:p>
      <w:pPr>
        <w:pStyle w:val="TextBody"/>
        <w:numPr>
          <w:ilvl w:val="0"/>
          <w:numId w:val="1"/>
        </w:numPr>
        <w:rPr/>
      </w:pPr>
      <w:r>
        <w:rPr/>
        <w:t>For the RPE data, we use the bulk RNA-seq data mentioned by Kim[</w:t>
      </w:r>
      <w:hyperlink w:anchor="ref-Kim2018a">
        <w:r>
          <w:rPr>
            <w:rStyle w:val="InternetLink"/>
          </w:rPr>
          <w:t>2</w:t>
        </w:r>
      </w:hyperlink>
      <w:r>
        <w:rPr/>
        <w:t>], which they find a significant impact on the anti-sense transcripts between the normal and early AMD patients compare to the sense transcripts.</w:t>
      </w:r>
    </w:p>
    <w:p>
      <w:pPr>
        <w:pStyle w:val="TextBody"/>
        <w:numPr>
          <w:ilvl w:val="0"/>
          <w:numId w:val="1"/>
        </w:numPr>
        <w:rPr/>
      </w:pPr>
      <w:r>
        <w:rPr/>
        <w:t>This data is used to define the background expressed genes and age-related macular degeneration genes in early AMD.</w:t>
      </w:r>
    </w:p>
    <w:p>
      <w:pPr>
        <w:pStyle w:val="TextBody"/>
        <w:numPr>
          <w:ilvl w:val="0"/>
          <w:numId w:val="1"/>
        </w:numPr>
        <w:rPr/>
      </w:pPr>
      <w:r>
        <w:rPr/>
        <w:t>Differential expression analysis was carried out with edgeR-limma[</w:t>
      </w:r>
      <w:hyperlink w:anchor="ref-McCarthy2012">
        <w:r>
          <w:rPr>
            <w:rStyle w:val="InternetLink"/>
          </w:rPr>
          <w:t>3</w:t>
        </w:r>
      </w:hyperlink>
      <w:r>
        <w:rPr/>
        <w:t>,</w:t>
      </w:r>
      <w:hyperlink w:anchor="ref-Ritchie2015">
        <w:r>
          <w:rPr>
            <w:rStyle w:val="InternetLink"/>
          </w:rPr>
          <w:t>6</w:t>
        </w:r>
      </w:hyperlink>
      <w:r>
        <w:rPr/>
        <w:t>] R/Bioconductor packages between normal and early AMD patients.</w:t>
      </w:r>
    </w:p>
    <w:p>
      <w:pPr>
        <w:pStyle w:val="Heading1"/>
        <w:rPr/>
      </w:pPr>
      <w:bookmarkStart w:id="1" w:name="reference"/>
      <w:r>
        <w:rPr/>
        <w:t>2</w:t>
        <w:tab/>
      </w:r>
      <w:r>
        <w:rPr>
          <w:rFonts w:eastAsia="" w:cs="" w:cstheme="majorBidi" w:eastAsiaTheme="majorEastAsia"/>
          <w:b/>
          <w:bCs/>
          <w:color w:val="345A8A" w:themeColor="accent1" w:themeShade="b5"/>
          <w:sz w:val="32"/>
          <w:szCs w:val="32"/>
        </w:rPr>
        <w:t>Reference</w:t>
      </w:r>
      <w:bookmarkEnd w:id="1"/>
      <w:r>
        <w:rPr>
          <w:rFonts w:eastAsia="" w:cs="" w:cstheme="majorBidi" w:eastAsiaTheme="majorEastAsia"/>
          <w:b/>
          <w:bCs/>
          <w:color w:val="345A8A" w:themeColor="accent1" w:themeShade="b5"/>
          <w:sz w:val="32"/>
          <w:szCs w:val="32"/>
        </w:rPr>
        <w:t>s</w:t>
      </w:r>
    </w:p>
    <w:p>
      <w:pPr>
        <w:pStyle w:val="Bibliography"/>
        <w:rPr/>
      </w:pPr>
      <w:r>
        <w:rPr/>
        <w:t>[1] L. Haghverdi, A.T.L. Lun, M.D. Morgan, J.C. Marioni, Batch effects in single-cell RNA-sequencing data are corrected by matching mutual nearest neighbors, Nat. Biotechnol. 36 (2018) 421–427.</w:t>
      </w:r>
      <w:bookmarkStart w:id="2" w:name="ref-Haghverdi2018"/>
      <w:bookmarkEnd w:id="2"/>
    </w:p>
    <w:p>
      <w:pPr>
        <w:pStyle w:val="Bibliography"/>
        <w:rPr/>
      </w:pPr>
      <w:r>
        <w:rPr/>
        <w:t>[2] E.J. Kim, G.R. Grant, A.S. Bowman, N. Haider, H.V. Gudiseva, V.R.M. Chavali, Complete Transcriptome Profiling of Normal and Age-Related Macular Degeneration Eye Tissues Reveals Dysregulation of Anti-Sense Transcription, Scientific Reports. 8 (2018) 1–13.</w:t>
      </w:r>
      <w:bookmarkStart w:id="3" w:name="ref-Kim2018a"/>
      <w:bookmarkEnd w:id="3"/>
    </w:p>
    <w:p>
      <w:pPr>
        <w:pStyle w:val="Bibliography"/>
        <w:rPr/>
      </w:pPr>
      <w:r>
        <w:rPr/>
        <w:t>[3] D.J. McCarthy, Y. Chen, G.K. Smyth, Differential expression analysis of multifactor RNA-Seq experiments with respect to biological variation, Nucleic Acids Research. 40 (2012) 4288–4297.</w:t>
      </w:r>
      <w:bookmarkStart w:id="4" w:name="ref-McCarthy2012"/>
      <w:bookmarkEnd w:id="4"/>
    </w:p>
    <w:p>
      <w:pPr>
        <w:pStyle w:val="Bibliography"/>
        <w:rPr/>
      </w:pPr>
      <w:r>
        <w:rPr/>
        <w:t>[4] X. Qiu, A. Hill, J. Packer, D. Lin, Y.A. Ma, C. Trapnell, Single-cell mRNA quantification and differential analysis with Census, Nature Methods. 14 (2017) 309–315.</w:t>
      </w:r>
      <w:bookmarkStart w:id="5" w:name="ref-Qiu2017"/>
      <w:bookmarkEnd w:id="5"/>
    </w:p>
    <w:p>
      <w:pPr>
        <w:pStyle w:val="Bibliography"/>
        <w:rPr/>
      </w:pPr>
      <w:r>
        <w:rPr/>
        <w:t>[5] X. Qiu, Q. Mao, Y. Tang, L. Wang, R. Chawla, H.A. Pliner, C. Trapnell, Reversed graph embedding resolves complex single-cell trajectories, Nature Methods. 14 (2017) 979–982.</w:t>
      </w:r>
      <w:bookmarkStart w:id="6" w:name="ref-Qiu2017a"/>
      <w:bookmarkEnd w:id="6"/>
    </w:p>
    <w:p>
      <w:pPr>
        <w:pStyle w:val="Bibliography"/>
        <w:rPr/>
      </w:pPr>
      <w:r>
        <w:rPr/>
        <w:t>[6] M.E. Ritchie, B. Phipson, D. Wu, Y. Hu, C.W. Law, W. Shi, G.K. Smyth, Limma powers differential expression analyses for RNA-sequencing and microarray studies, Nucleic Acids Research. 43 (2015) e47.</w:t>
      </w:r>
      <w:bookmarkStart w:id="7" w:name="ref-Ritchie2015"/>
      <w:bookmarkEnd w:id="7"/>
    </w:p>
    <w:p>
      <w:pPr>
        <w:pStyle w:val="Bibliography"/>
        <w:rPr/>
      </w:pPr>
      <w:r>
        <w:rPr/>
        <w:t>[7] C. Trapnell, D. Cacchiarelli, J. Grimsby, P. Pokharel, S. Li, M. Morse, N.J. Lennon, K.J. Livak, T.S. Mikkelsen, J.L. Rinn, The dynamics and regulators of cell fate decisions are revealed by pseudotemporal ordering of single cells, Nature Biotechnology. 32 (2014) 381–386.</w:t>
      </w:r>
      <w:bookmarkStart w:id="8" w:name="ref-Trapnell2014a"/>
      <w:bookmarkEnd w:id="8"/>
    </w:p>
    <w:p>
      <w:pPr>
        <w:pStyle w:val="Bibliography"/>
        <w:spacing w:before="0" w:after="200"/>
        <w:rPr/>
      </w:pPr>
      <w:r>
        <w:rPr/>
        <w:t>[8] A.P. Voigt, K. Mulfaul, N.K. Mullin, M.J. Flamme-Wiese, J.C. Giacalone, E.M. Stone, B.A. Tucker, T.E. Scheetz, R.F. Mullins, Single-cell transcriptomics of the human retinal pigment epithelium and choroid in health and macular degeneration, Proceedings of the National Academy of Sciences of the United States of America. 116 (2019) 24100–24107.</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LibreOffice/6.4.6.2$Linux_X86_64 LibreOffice_project/40$Build-2</Application>
  <Pages>2</Pages>
  <Words>447</Words>
  <Characters>2631</Characters>
  <CharactersWithSpaces>3048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2020-11-12T13:30:07Z</dcterms:created>
  <dc:creator/>
  <dc:description/>
  <dc:language>en-US</dc:language>
  <cp:lastModifiedBy/>
  <dcterms:modified xsi:type="dcterms:W3CDTF">2020-11-12T21:32:34Z</dcterms:modified>
  <cp:revision>3</cp:revision>
  <dc:subject/>
  <dc:title>Protocol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
  </property>
  <property fmtid="{D5CDD505-2E9C-101B-9397-08002B2CF9AE}" pid="9" name="csl">
    <vt:lpwstr>elsevier-with-titles-alphabetical.csl</vt:lpwstr>
  </property>
  <property fmtid="{D5CDD505-2E9C-101B-9397-08002B2CF9AE}" pid="10" name="link-citations">
    <vt:lpwstr>yes</vt:lpwstr>
  </property>
  <property fmtid="{D5CDD505-2E9C-101B-9397-08002B2CF9AE}" pid="11" name="output">
    <vt:lpwstr/>
  </property>
</Properties>
</file>