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27F6" w14:textId="77777777" w:rsidR="00EE6AF2" w:rsidRDefault="00F303A6">
      <w:pPr>
        <w:pStyle w:val="a4"/>
        <w:rPr>
          <w:lang w:eastAsia="zh-CN"/>
        </w:rPr>
      </w:pPr>
      <w:r>
        <w:rPr>
          <w:lang w:eastAsia="zh-CN"/>
        </w:rPr>
        <w:t>坏死</w:t>
      </w:r>
      <w:proofErr w:type="gramStart"/>
      <w:r>
        <w:rPr>
          <w:lang w:eastAsia="zh-CN"/>
        </w:rPr>
        <w:t>性调亡</w:t>
      </w:r>
      <w:proofErr w:type="gramEnd"/>
      <w:r>
        <w:rPr>
          <w:lang w:eastAsia="zh-CN"/>
        </w:rPr>
        <w:t>与肾癌</w:t>
      </w:r>
    </w:p>
    <w:p w14:paraId="30A3F17E" w14:textId="77777777" w:rsidR="00EE6AF2" w:rsidRDefault="00F303A6">
      <w:pPr>
        <w:pStyle w:val="1"/>
        <w:rPr>
          <w:lang w:eastAsia="zh-CN"/>
        </w:rPr>
      </w:pPr>
      <w:bookmarkStart w:id="0" w:name="背景"/>
      <w:r>
        <w:rPr>
          <w:lang w:eastAsia="zh-CN"/>
        </w:rPr>
        <w:t xml:space="preserve">1. </w:t>
      </w:r>
      <w:r>
        <w:rPr>
          <w:lang w:eastAsia="zh-CN"/>
        </w:rPr>
        <w:t>背景</w:t>
      </w:r>
    </w:p>
    <w:p w14:paraId="1C74428C" w14:textId="77777777" w:rsidR="00EE6AF2" w:rsidRDefault="00F303A6">
      <w:pPr>
        <w:pStyle w:val="FirstParagraph"/>
        <w:rPr>
          <w:lang w:eastAsia="zh-CN"/>
        </w:rPr>
      </w:pPr>
      <w:r>
        <w:rPr>
          <w:lang w:eastAsia="zh-CN"/>
        </w:rPr>
        <w:t>坏死性凋亡是一种受到严格调控的细胞坏死，其通常在凋亡（</w:t>
      </w:r>
      <w:r>
        <w:rPr>
          <w:lang w:eastAsia="zh-CN"/>
        </w:rPr>
        <w:t>apoptosis</w:t>
      </w:r>
      <w:r>
        <w:rPr>
          <w:lang w:eastAsia="zh-CN"/>
        </w:rPr>
        <w:t>）触发条件不足的情况下发生</w:t>
      </w:r>
      <w:r>
        <w:rPr>
          <w:lang w:eastAsia="zh-CN"/>
        </w:rPr>
        <w:t>[</w:t>
      </w:r>
      <w:hyperlink w:anchor="ref-DArcy2019">
        <w:r>
          <w:rPr>
            <w:rStyle w:val="ad"/>
            <w:lang w:eastAsia="zh-CN"/>
          </w:rPr>
          <w:t>D</w:t>
        </w:r>
        <w:proofErr w:type="gramStart"/>
        <w:r>
          <w:rPr>
            <w:rStyle w:val="ad"/>
            <w:lang w:eastAsia="zh-CN"/>
          </w:rPr>
          <w:t>’</w:t>
        </w:r>
        <w:proofErr w:type="gramEnd"/>
        <w:r>
          <w:rPr>
            <w:rStyle w:val="ad"/>
            <w:lang w:eastAsia="zh-CN"/>
          </w:rPr>
          <w:t>Arcy, 2019</w:t>
        </w:r>
      </w:hyperlink>
      <w:r>
        <w:rPr>
          <w:lang w:eastAsia="zh-CN"/>
        </w:rPr>
        <w:t>]</w:t>
      </w:r>
      <w:r>
        <w:rPr>
          <w:lang w:eastAsia="zh-CN"/>
        </w:rPr>
        <w:t>。目前研究较为清楚的是激活</w:t>
      </w:r>
      <w:r>
        <w:rPr>
          <w:lang w:eastAsia="zh-CN"/>
        </w:rPr>
        <w:t>TNFR1</w:t>
      </w:r>
      <w:r>
        <w:rPr>
          <w:lang w:eastAsia="zh-CN"/>
        </w:rPr>
        <w:t>受体所</w:t>
      </w:r>
      <w:proofErr w:type="gramStart"/>
      <w:r>
        <w:rPr>
          <w:lang w:eastAsia="zh-CN"/>
        </w:rPr>
        <w:t>介</w:t>
      </w:r>
      <w:proofErr w:type="gramEnd"/>
      <w:r>
        <w:rPr>
          <w:lang w:eastAsia="zh-CN"/>
        </w:rPr>
        <w:t>导的坏死性凋亡，但是研究显示其他受体如</w:t>
      </w:r>
      <w:r>
        <w:rPr>
          <w:lang w:eastAsia="zh-CN"/>
        </w:rPr>
        <w:t>TNFR2</w:t>
      </w:r>
      <w:r>
        <w:rPr>
          <w:lang w:eastAsia="zh-CN"/>
        </w:rPr>
        <w:t>同样也可以</w:t>
      </w:r>
      <w:proofErr w:type="gramStart"/>
      <w:r>
        <w:rPr>
          <w:lang w:eastAsia="zh-CN"/>
        </w:rPr>
        <w:t>介</w:t>
      </w:r>
      <w:proofErr w:type="gramEnd"/>
      <w:r>
        <w:rPr>
          <w:lang w:eastAsia="zh-CN"/>
        </w:rPr>
        <w:t>导坏死性凋亡的发生。在肾癌的研究中发现</w:t>
      </w:r>
      <w:r>
        <w:rPr>
          <w:lang w:eastAsia="zh-CN"/>
        </w:rPr>
        <w:t>TNFR2</w:t>
      </w:r>
      <w:r>
        <w:rPr>
          <w:lang w:eastAsia="zh-CN"/>
        </w:rPr>
        <w:t>的表达水平与患者的</w:t>
      </w:r>
      <w:proofErr w:type="gramStart"/>
      <w:r>
        <w:rPr>
          <w:lang w:eastAsia="zh-CN"/>
        </w:rPr>
        <w:t>的</w:t>
      </w:r>
      <w:proofErr w:type="gramEnd"/>
      <w:r>
        <w:rPr>
          <w:lang w:eastAsia="zh-CN"/>
        </w:rPr>
        <w:t>病情等级呈正相关，血浆中</w:t>
      </w:r>
      <w:r>
        <w:rPr>
          <w:lang w:eastAsia="zh-CN"/>
        </w:rPr>
        <w:t>TNFR2</w:t>
      </w:r>
      <w:r>
        <w:rPr>
          <w:lang w:eastAsia="zh-CN"/>
        </w:rPr>
        <w:t>的水平也与肾脏肿瘤的转移和病情等级呈正相关</w:t>
      </w:r>
      <w:r>
        <w:rPr>
          <w:lang w:eastAsia="zh-CN"/>
        </w:rPr>
        <w:t>[</w:t>
      </w:r>
      <w:hyperlink w:anchor="ref-AlLamki2010">
        <w:r>
          <w:rPr>
            <w:rStyle w:val="ad"/>
            <w:lang w:eastAsia="zh-CN"/>
          </w:rPr>
          <w:t>Al-Lamki et al., 2010</w:t>
        </w:r>
      </w:hyperlink>
      <w:r>
        <w:rPr>
          <w:lang w:eastAsia="zh-CN"/>
        </w:rPr>
        <w:t xml:space="preserve">; </w:t>
      </w:r>
      <w:hyperlink w:anchor="ref-Einollahi2012">
        <w:r>
          <w:rPr>
            <w:rStyle w:val="ad"/>
            <w:lang w:eastAsia="zh-CN"/>
          </w:rPr>
          <w:t>Einollahi, 2012</w:t>
        </w:r>
      </w:hyperlink>
      <w:r>
        <w:rPr>
          <w:lang w:eastAsia="zh-CN"/>
        </w:rPr>
        <w:t>]</w:t>
      </w:r>
      <w:r>
        <w:rPr>
          <w:lang w:eastAsia="zh-CN"/>
        </w:rPr>
        <w:t>。体外实验研究发现使用</w:t>
      </w:r>
      <w:r>
        <w:rPr>
          <w:lang w:eastAsia="zh-CN"/>
        </w:rPr>
        <w:t>TNF</w:t>
      </w:r>
      <w:r>
        <w:rPr>
          <w:lang w:eastAsia="zh-CN"/>
        </w:rPr>
        <w:t>刺激</w:t>
      </w:r>
      <w:r>
        <w:rPr>
          <w:lang w:eastAsia="zh-CN"/>
        </w:rPr>
        <w:t>TNFR2</w:t>
      </w:r>
      <w:r>
        <w:rPr>
          <w:lang w:eastAsia="zh-CN"/>
        </w:rPr>
        <w:t>能够促进肾脏肿瘤进入分裂期</w:t>
      </w:r>
      <w:r>
        <w:rPr>
          <w:lang w:eastAsia="zh-CN"/>
        </w:rPr>
        <w:t>[</w:t>
      </w:r>
      <w:hyperlink w:anchor="ref-Wang2013">
        <w:r>
          <w:rPr>
            <w:rStyle w:val="ad"/>
            <w:lang w:eastAsia="zh-CN"/>
          </w:rPr>
          <w:t>Wang and Al-Lamki, 2013</w:t>
        </w:r>
      </w:hyperlink>
      <w:r>
        <w:rPr>
          <w:lang w:eastAsia="zh-CN"/>
        </w:rPr>
        <w:t>]</w:t>
      </w:r>
      <w:r>
        <w:rPr>
          <w:lang w:eastAsia="zh-CN"/>
        </w:rPr>
        <w:t>。肾脏肿瘤由多种亚型构成，其中最常见的是肾透明细胞癌（</w:t>
      </w:r>
      <w:proofErr w:type="spellStart"/>
      <w:r>
        <w:rPr>
          <w:lang w:eastAsia="zh-CN"/>
        </w:rPr>
        <w:t>ccRCC</w:t>
      </w:r>
      <w:proofErr w:type="spellEnd"/>
      <w:r>
        <w:rPr>
          <w:lang w:eastAsia="zh-CN"/>
        </w:rPr>
        <w:t>）约占所有肾脏肿瘤的</w:t>
      </w:r>
      <w:r>
        <w:rPr>
          <w:lang w:eastAsia="zh-CN"/>
        </w:rPr>
        <w:t>80%</w:t>
      </w:r>
      <w:r>
        <w:rPr>
          <w:lang w:eastAsia="zh-CN"/>
        </w:rPr>
        <w:t>以上。研究发现坏死性凋亡也参与到肾癌的发生与发展过程</w:t>
      </w:r>
      <w:r>
        <w:rPr>
          <w:lang w:eastAsia="zh-CN"/>
        </w:rPr>
        <w:t>[</w:t>
      </w:r>
      <w:hyperlink w:anchor="ref-Fu2022-md">
        <w:r>
          <w:rPr>
            <w:rStyle w:val="ad"/>
            <w:lang w:eastAsia="zh-CN"/>
          </w:rPr>
          <w:t>Fu et al., 2022</w:t>
        </w:r>
      </w:hyperlink>
      <w:r>
        <w:rPr>
          <w:lang w:eastAsia="zh-CN"/>
        </w:rPr>
        <w:t xml:space="preserve">; </w:t>
      </w:r>
      <w:hyperlink w:anchor="ref-Bao2022-rz">
        <w:r>
          <w:rPr>
            <w:rStyle w:val="ad"/>
            <w:lang w:eastAsia="zh-CN"/>
          </w:rPr>
          <w:t>Bao et al., 20</w:t>
        </w:r>
        <w:r>
          <w:rPr>
            <w:rStyle w:val="ad"/>
            <w:lang w:eastAsia="zh-CN"/>
          </w:rPr>
          <w:t>22</w:t>
        </w:r>
      </w:hyperlink>
      <w:r>
        <w:rPr>
          <w:lang w:eastAsia="zh-CN"/>
        </w:rPr>
        <w:t>]</w:t>
      </w:r>
      <w:r>
        <w:rPr>
          <w:lang w:eastAsia="zh-CN"/>
        </w:rPr>
        <w:t>，但是具体有哪些坏死性相关基因参与到肾癌的发生发展过程以及其具体的机制目前了解的还较为有限。本研究旨在通过机器学习等方法筛选与肾癌发展相关的坏死性凋亡基因。</w:t>
      </w:r>
    </w:p>
    <w:p w14:paraId="3329AB2F" w14:textId="77777777" w:rsidR="00EE6AF2" w:rsidRDefault="00F303A6">
      <w:pPr>
        <w:pStyle w:val="1"/>
        <w:rPr>
          <w:lang w:eastAsia="zh-CN"/>
        </w:rPr>
      </w:pPr>
      <w:bookmarkStart w:id="1" w:name="数据"/>
      <w:bookmarkEnd w:id="0"/>
      <w:r>
        <w:rPr>
          <w:lang w:eastAsia="zh-CN"/>
        </w:rPr>
        <w:t xml:space="preserve">2. </w:t>
      </w:r>
      <w:r>
        <w:rPr>
          <w:lang w:eastAsia="zh-CN"/>
        </w:rPr>
        <w:t>数据</w:t>
      </w:r>
    </w:p>
    <w:p w14:paraId="6098F7FF" w14:textId="77777777" w:rsidR="00EE6AF2" w:rsidRDefault="00F303A6">
      <w:pPr>
        <w:pStyle w:val="2"/>
        <w:rPr>
          <w:lang w:eastAsia="zh-CN"/>
        </w:rPr>
      </w:pPr>
      <w:bookmarkStart w:id="2" w:name="坏死性调亡相关基因"/>
      <w:r>
        <w:rPr>
          <w:lang w:eastAsia="zh-CN"/>
        </w:rPr>
        <w:t xml:space="preserve">2.1 </w:t>
      </w:r>
      <w:r>
        <w:rPr>
          <w:lang w:eastAsia="zh-CN"/>
        </w:rPr>
        <w:t>坏死</w:t>
      </w:r>
      <w:proofErr w:type="gramStart"/>
      <w:r>
        <w:rPr>
          <w:lang w:eastAsia="zh-CN"/>
        </w:rPr>
        <w:t>性调亡相关</w:t>
      </w:r>
      <w:proofErr w:type="gramEnd"/>
      <w:r>
        <w:rPr>
          <w:lang w:eastAsia="zh-CN"/>
        </w:rPr>
        <w:t>基因</w:t>
      </w:r>
    </w:p>
    <w:p w14:paraId="676EEE3E" w14:textId="77777777" w:rsidR="00EE6AF2" w:rsidRDefault="00F303A6">
      <w:pPr>
        <w:pStyle w:val="FirstParagraph"/>
      </w:pPr>
      <w:proofErr w:type="spellStart"/>
      <w:r>
        <w:t>通过</w:t>
      </w:r>
      <w:r>
        <w:t>necroptotic</w:t>
      </w:r>
      <w:r>
        <w:t>和</w:t>
      </w:r>
      <w:r>
        <w:t>necroptosis</w:t>
      </w:r>
      <w:r>
        <w:t>关键词在</w:t>
      </w:r>
      <w:r>
        <w:t>Gene</w:t>
      </w:r>
      <w:proofErr w:type="spellEnd"/>
      <w:r>
        <w:t xml:space="preserve"> Ontology</w:t>
      </w:r>
      <w:r>
        <w:t>，</w:t>
      </w:r>
      <w:r>
        <w:t xml:space="preserve">KEGG </w:t>
      </w:r>
      <w:proofErr w:type="spellStart"/>
      <w:r>
        <w:t>pathway</w:t>
      </w:r>
      <w:r>
        <w:t>和</w:t>
      </w:r>
      <w:r>
        <w:t>reactome</w:t>
      </w:r>
      <w:proofErr w:type="spellEnd"/>
      <w:r>
        <w:t xml:space="preserve"> </w:t>
      </w:r>
      <w:proofErr w:type="spellStart"/>
      <w:r>
        <w:t>pathway</w:t>
      </w:r>
      <w:r>
        <w:t>中检索坏死性凋亡相关基因集合，并取并集</w:t>
      </w:r>
      <w:proofErr w:type="spellEnd"/>
      <w:r>
        <w:t>。</w:t>
      </w:r>
    </w:p>
    <w:p w14:paraId="25B69CFD" w14:textId="77777777" w:rsidR="00EE6AF2" w:rsidRDefault="00F303A6">
      <w:pPr>
        <w:pStyle w:val="2"/>
      </w:pPr>
      <w:bookmarkStart w:id="3" w:name="肾癌相关的测序数据"/>
      <w:bookmarkEnd w:id="2"/>
      <w:r>
        <w:t xml:space="preserve">2.2 </w:t>
      </w:r>
      <w:r>
        <w:t>肾癌相关的测序数据</w:t>
      </w:r>
    </w:p>
    <w:tbl>
      <w:tblPr>
        <w:tblStyle w:val="Table"/>
        <w:tblW w:w="5000" w:type="pct"/>
        <w:tblLayout w:type="fixed"/>
        <w:tblLook w:val="0020" w:firstRow="1" w:lastRow="0" w:firstColumn="0" w:lastColumn="0" w:noHBand="0" w:noVBand="0"/>
      </w:tblPr>
      <w:tblGrid>
        <w:gridCol w:w="1323"/>
        <w:gridCol w:w="1018"/>
        <w:gridCol w:w="814"/>
        <w:gridCol w:w="4183"/>
        <w:gridCol w:w="1518"/>
      </w:tblGrid>
      <w:tr w:rsidR="00EE6AF2" w14:paraId="5A3AF0CF" w14:textId="77777777" w:rsidTr="00F303A6">
        <w:trPr>
          <w:cnfStyle w:val="100000000000" w:firstRow="1" w:lastRow="0" w:firstColumn="0" w:lastColumn="0" w:oddVBand="0" w:evenVBand="0" w:oddHBand="0" w:evenHBand="0" w:firstRowFirstColumn="0" w:firstRowLastColumn="0" w:lastRowFirstColumn="0" w:lastRowLastColumn="0"/>
          <w:tblHeader/>
        </w:trPr>
        <w:tc>
          <w:tcPr>
            <w:tcW w:w="1323" w:type="dxa"/>
          </w:tcPr>
          <w:p w14:paraId="69B14EEE" w14:textId="77777777" w:rsidR="00EE6AF2" w:rsidRDefault="00F303A6">
            <w:pPr>
              <w:pStyle w:val="Compact"/>
            </w:pPr>
            <w:r>
              <w:t>Dataset ID</w:t>
            </w:r>
          </w:p>
        </w:tc>
        <w:tc>
          <w:tcPr>
            <w:tcW w:w="1018" w:type="dxa"/>
          </w:tcPr>
          <w:p w14:paraId="522DE311" w14:textId="77777777" w:rsidR="00EE6AF2" w:rsidRDefault="00F303A6">
            <w:pPr>
              <w:pStyle w:val="Compact"/>
            </w:pPr>
            <w:r>
              <w:t>样本类型</w:t>
            </w:r>
          </w:p>
        </w:tc>
        <w:tc>
          <w:tcPr>
            <w:tcW w:w="814" w:type="dxa"/>
          </w:tcPr>
          <w:p w14:paraId="456CDE83" w14:textId="77777777" w:rsidR="00EE6AF2" w:rsidRDefault="00F303A6">
            <w:pPr>
              <w:pStyle w:val="Compact"/>
            </w:pPr>
            <w:r>
              <w:t>样本数</w:t>
            </w:r>
          </w:p>
        </w:tc>
        <w:tc>
          <w:tcPr>
            <w:tcW w:w="4183" w:type="dxa"/>
          </w:tcPr>
          <w:p w14:paraId="7CA13189" w14:textId="77777777" w:rsidR="00EE6AF2" w:rsidRDefault="00F303A6">
            <w:pPr>
              <w:pStyle w:val="Compact"/>
            </w:pPr>
            <w:r>
              <w:t>样本特征</w:t>
            </w:r>
          </w:p>
        </w:tc>
        <w:tc>
          <w:tcPr>
            <w:tcW w:w="1518" w:type="dxa"/>
          </w:tcPr>
          <w:p w14:paraId="4EF64ED4" w14:textId="77777777" w:rsidR="00EE6AF2" w:rsidRDefault="00F303A6">
            <w:pPr>
              <w:pStyle w:val="Compact"/>
            </w:pPr>
            <w:r>
              <w:t>数据类型</w:t>
            </w:r>
          </w:p>
        </w:tc>
      </w:tr>
      <w:tr w:rsidR="00EE6AF2" w14:paraId="25ED594B" w14:textId="77777777" w:rsidTr="00F303A6">
        <w:tc>
          <w:tcPr>
            <w:tcW w:w="1323" w:type="dxa"/>
          </w:tcPr>
          <w:p w14:paraId="22350E37" w14:textId="77777777" w:rsidR="00EE6AF2" w:rsidRPr="00203CD3" w:rsidRDefault="00F303A6">
            <w:pPr>
              <w:pStyle w:val="Compact"/>
              <w:rPr>
                <w:sz w:val="21"/>
                <w:szCs w:val="21"/>
              </w:rPr>
            </w:pPr>
            <w:r w:rsidRPr="00203CD3">
              <w:rPr>
                <w:sz w:val="21"/>
                <w:szCs w:val="21"/>
              </w:rPr>
              <w:t>GSE29609</w:t>
            </w:r>
          </w:p>
        </w:tc>
        <w:tc>
          <w:tcPr>
            <w:tcW w:w="1018" w:type="dxa"/>
          </w:tcPr>
          <w:p w14:paraId="686F25BA" w14:textId="77777777" w:rsidR="00EE6AF2" w:rsidRDefault="00F303A6">
            <w:pPr>
              <w:pStyle w:val="Compact"/>
            </w:pPr>
            <w:r>
              <w:t>组织</w:t>
            </w:r>
          </w:p>
        </w:tc>
        <w:tc>
          <w:tcPr>
            <w:tcW w:w="814" w:type="dxa"/>
          </w:tcPr>
          <w:p w14:paraId="0B0730EF" w14:textId="77777777" w:rsidR="00EE6AF2" w:rsidRDefault="00F303A6">
            <w:pPr>
              <w:pStyle w:val="Compact"/>
            </w:pPr>
            <w:r>
              <w:t>39</w:t>
            </w:r>
          </w:p>
        </w:tc>
        <w:tc>
          <w:tcPr>
            <w:tcW w:w="4183" w:type="dxa"/>
          </w:tcPr>
          <w:p w14:paraId="2DECE491" w14:textId="77777777" w:rsidR="00EE6AF2" w:rsidRDefault="00F303A6">
            <w:pPr>
              <w:pStyle w:val="Compact"/>
            </w:pPr>
            <w:r>
              <w:t>肾</w:t>
            </w:r>
            <w:r>
              <w:t>癌组织</w:t>
            </w:r>
            <w:r>
              <w:t>(ccRCC)</w:t>
            </w:r>
          </w:p>
        </w:tc>
        <w:tc>
          <w:tcPr>
            <w:tcW w:w="1518" w:type="dxa"/>
          </w:tcPr>
          <w:p w14:paraId="74095ACD" w14:textId="77777777" w:rsidR="00EE6AF2" w:rsidRDefault="00F303A6">
            <w:pPr>
              <w:pStyle w:val="Compact"/>
            </w:pPr>
            <w:r>
              <w:t>microarray</w:t>
            </w:r>
          </w:p>
        </w:tc>
      </w:tr>
      <w:tr w:rsidR="00EE6AF2" w14:paraId="3A6E8C1B" w14:textId="77777777" w:rsidTr="00F303A6">
        <w:tc>
          <w:tcPr>
            <w:tcW w:w="1323" w:type="dxa"/>
          </w:tcPr>
          <w:p w14:paraId="1D875E9A" w14:textId="77777777" w:rsidR="00EE6AF2" w:rsidRPr="00203CD3" w:rsidRDefault="00F303A6">
            <w:pPr>
              <w:pStyle w:val="Compact"/>
              <w:rPr>
                <w:sz w:val="21"/>
                <w:szCs w:val="21"/>
              </w:rPr>
            </w:pPr>
            <w:r w:rsidRPr="00203CD3">
              <w:rPr>
                <w:sz w:val="21"/>
                <w:szCs w:val="21"/>
              </w:rPr>
              <w:t>GSE162948</w:t>
            </w:r>
          </w:p>
        </w:tc>
        <w:tc>
          <w:tcPr>
            <w:tcW w:w="1018" w:type="dxa"/>
          </w:tcPr>
          <w:p w14:paraId="6D44F0F1" w14:textId="77777777" w:rsidR="00EE6AF2" w:rsidRDefault="00F303A6">
            <w:pPr>
              <w:pStyle w:val="Compact"/>
            </w:pPr>
            <w:r>
              <w:t>组织</w:t>
            </w:r>
          </w:p>
        </w:tc>
        <w:tc>
          <w:tcPr>
            <w:tcW w:w="814" w:type="dxa"/>
          </w:tcPr>
          <w:p w14:paraId="08DC33D5" w14:textId="77777777" w:rsidR="00EE6AF2" w:rsidRDefault="00F303A6">
            <w:pPr>
              <w:pStyle w:val="Compact"/>
            </w:pPr>
            <w:r>
              <w:t>32</w:t>
            </w:r>
          </w:p>
        </w:tc>
        <w:tc>
          <w:tcPr>
            <w:tcW w:w="4183" w:type="dxa"/>
          </w:tcPr>
          <w:p w14:paraId="02BD239C" w14:textId="77777777" w:rsidR="00EE6AF2" w:rsidRDefault="00F303A6">
            <w:pPr>
              <w:pStyle w:val="Compact"/>
            </w:pPr>
            <w:r>
              <w:t>肾癌组织</w:t>
            </w:r>
            <w:r>
              <w:t>(ccRCC)</w:t>
            </w:r>
          </w:p>
        </w:tc>
        <w:tc>
          <w:tcPr>
            <w:tcW w:w="1518" w:type="dxa"/>
          </w:tcPr>
          <w:p w14:paraId="2D0BD81D" w14:textId="77777777" w:rsidR="00EE6AF2" w:rsidRDefault="00F303A6">
            <w:pPr>
              <w:pStyle w:val="Compact"/>
            </w:pPr>
            <w:r>
              <w:t>bulk RNAseq</w:t>
            </w:r>
          </w:p>
        </w:tc>
      </w:tr>
      <w:tr w:rsidR="00EE6AF2" w14:paraId="64D2A97F" w14:textId="77777777" w:rsidTr="00F303A6">
        <w:tc>
          <w:tcPr>
            <w:tcW w:w="1323" w:type="dxa"/>
          </w:tcPr>
          <w:p w14:paraId="3E01C1CC" w14:textId="77777777" w:rsidR="00EE6AF2" w:rsidRPr="00203CD3" w:rsidRDefault="00F303A6">
            <w:pPr>
              <w:pStyle w:val="Compact"/>
              <w:rPr>
                <w:sz w:val="21"/>
                <w:szCs w:val="21"/>
              </w:rPr>
            </w:pPr>
            <w:r w:rsidRPr="00203CD3">
              <w:rPr>
                <w:sz w:val="21"/>
                <w:szCs w:val="21"/>
              </w:rPr>
              <w:t>GSE14762</w:t>
            </w:r>
          </w:p>
        </w:tc>
        <w:tc>
          <w:tcPr>
            <w:tcW w:w="1018" w:type="dxa"/>
          </w:tcPr>
          <w:p w14:paraId="64748EB7" w14:textId="77777777" w:rsidR="00EE6AF2" w:rsidRDefault="00F303A6">
            <w:pPr>
              <w:pStyle w:val="Compact"/>
            </w:pPr>
            <w:r>
              <w:t>组织</w:t>
            </w:r>
          </w:p>
        </w:tc>
        <w:tc>
          <w:tcPr>
            <w:tcW w:w="814" w:type="dxa"/>
          </w:tcPr>
          <w:p w14:paraId="6693F9FD" w14:textId="77777777" w:rsidR="00EE6AF2" w:rsidRDefault="00F303A6">
            <w:pPr>
              <w:pStyle w:val="Compact"/>
            </w:pPr>
            <w:r>
              <w:t>22</w:t>
            </w:r>
          </w:p>
        </w:tc>
        <w:tc>
          <w:tcPr>
            <w:tcW w:w="4183" w:type="dxa"/>
          </w:tcPr>
          <w:p w14:paraId="55EA543F" w14:textId="77777777" w:rsidR="00EE6AF2" w:rsidRDefault="00F303A6">
            <w:pPr>
              <w:pStyle w:val="Compact"/>
              <w:rPr>
                <w:lang w:eastAsia="zh-CN"/>
              </w:rPr>
            </w:pPr>
            <w:r>
              <w:rPr>
                <w:lang w:eastAsia="zh-CN"/>
              </w:rPr>
              <w:t>12</w:t>
            </w:r>
            <w:r>
              <w:rPr>
                <w:lang w:eastAsia="zh-CN"/>
              </w:rPr>
              <w:t>个正常肾脏组织，</w:t>
            </w:r>
            <w:r>
              <w:rPr>
                <w:lang w:eastAsia="zh-CN"/>
              </w:rPr>
              <w:t>10</w:t>
            </w:r>
            <w:r>
              <w:rPr>
                <w:lang w:eastAsia="zh-CN"/>
              </w:rPr>
              <w:t>个肾癌组织</w:t>
            </w:r>
            <w:r>
              <w:rPr>
                <w:lang w:eastAsia="zh-CN"/>
              </w:rPr>
              <w:t>(</w:t>
            </w:r>
            <w:proofErr w:type="spellStart"/>
            <w:r>
              <w:rPr>
                <w:lang w:eastAsia="zh-CN"/>
              </w:rPr>
              <w:t>ccRCC</w:t>
            </w:r>
            <w:proofErr w:type="spellEnd"/>
            <w:r>
              <w:rPr>
                <w:lang w:eastAsia="zh-CN"/>
              </w:rPr>
              <w:t>)</w:t>
            </w:r>
          </w:p>
        </w:tc>
        <w:tc>
          <w:tcPr>
            <w:tcW w:w="1518" w:type="dxa"/>
          </w:tcPr>
          <w:p w14:paraId="19AEDFF6" w14:textId="77777777" w:rsidR="00EE6AF2" w:rsidRDefault="00F303A6">
            <w:pPr>
              <w:pStyle w:val="Compact"/>
            </w:pPr>
            <w:r>
              <w:t>microarray</w:t>
            </w:r>
          </w:p>
        </w:tc>
      </w:tr>
      <w:tr w:rsidR="00EE6AF2" w14:paraId="42CA0208" w14:textId="77777777" w:rsidTr="00F303A6">
        <w:tc>
          <w:tcPr>
            <w:tcW w:w="1323" w:type="dxa"/>
          </w:tcPr>
          <w:p w14:paraId="00BD51C5" w14:textId="77777777" w:rsidR="00EE6AF2" w:rsidRPr="00203CD3" w:rsidRDefault="00F303A6">
            <w:pPr>
              <w:pStyle w:val="Compact"/>
              <w:rPr>
                <w:sz w:val="21"/>
                <w:szCs w:val="21"/>
              </w:rPr>
            </w:pPr>
            <w:r w:rsidRPr="00203CD3">
              <w:rPr>
                <w:i/>
                <w:iCs/>
                <w:sz w:val="21"/>
                <w:szCs w:val="21"/>
              </w:rPr>
              <w:t>GSE7367</w:t>
            </w:r>
          </w:p>
        </w:tc>
        <w:tc>
          <w:tcPr>
            <w:tcW w:w="1018" w:type="dxa"/>
          </w:tcPr>
          <w:p w14:paraId="79F6A3DE" w14:textId="77777777" w:rsidR="00EE6AF2" w:rsidRDefault="00F303A6">
            <w:pPr>
              <w:pStyle w:val="Compact"/>
            </w:pPr>
            <w:r>
              <w:t>组织</w:t>
            </w:r>
          </w:p>
        </w:tc>
        <w:tc>
          <w:tcPr>
            <w:tcW w:w="814" w:type="dxa"/>
          </w:tcPr>
          <w:p w14:paraId="05F9696C" w14:textId="77777777" w:rsidR="00EE6AF2" w:rsidRDefault="00F303A6">
            <w:pPr>
              <w:pStyle w:val="Compact"/>
            </w:pPr>
            <w:r>
              <w:t>48</w:t>
            </w:r>
          </w:p>
        </w:tc>
        <w:tc>
          <w:tcPr>
            <w:tcW w:w="4183" w:type="dxa"/>
          </w:tcPr>
          <w:p w14:paraId="4C4E174B" w14:textId="77777777" w:rsidR="00EE6AF2" w:rsidRDefault="00F303A6">
            <w:pPr>
              <w:pStyle w:val="Compact"/>
              <w:rPr>
                <w:lang w:eastAsia="zh-CN"/>
              </w:rPr>
            </w:pPr>
            <w:r>
              <w:rPr>
                <w:lang w:eastAsia="zh-CN"/>
              </w:rPr>
              <w:t>24</w:t>
            </w:r>
            <w:r>
              <w:rPr>
                <w:lang w:eastAsia="zh-CN"/>
              </w:rPr>
              <w:t>个癌旁组织和</w:t>
            </w:r>
            <w:r>
              <w:rPr>
                <w:lang w:eastAsia="zh-CN"/>
              </w:rPr>
              <w:t>24</w:t>
            </w:r>
            <w:r>
              <w:rPr>
                <w:lang w:eastAsia="zh-CN"/>
              </w:rPr>
              <w:t>和对应的肾癌组织</w:t>
            </w:r>
            <w:r>
              <w:rPr>
                <w:lang w:eastAsia="zh-CN"/>
              </w:rPr>
              <w:t>(</w:t>
            </w:r>
            <w:proofErr w:type="spellStart"/>
            <w:r>
              <w:rPr>
                <w:lang w:eastAsia="zh-CN"/>
              </w:rPr>
              <w:t>ccRCC</w:t>
            </w:r>
            <w:proofErr w:type="spellEnd"/>
            <w:r>
              <w:rPr>
                <w:lang w:eastAsia="zh-CN"/>
              </w:rPr>
              <w:t>)</w:t>
            </w:r>
          </w:p>
        </w:tc>
        <w:tc>
          <w:tcPr>
            <w:tcW w:w="1518" w:type="dxa"/>
          </w:tcPr>
          <w:p w14:paraId="6AE087E3" w14:textId="77777777" w:rsidR="00EE6AF2" w:rsidRDefault="00F303A6">
            <w:pPr>
              <w:pStyle w:val="Compact"/>
            </w:pPr>
            <w:r>
              <w:t>microarray</w:t>
            </w:r>
          </w:p>
        </w:tc>
      </w:tr>
      <w:tr w:rsidR="00EE6AF2" w14:paraId="0DC626BE" w14:textId="77777777" w:rsidTr="00F303A6">
        <w:tc>
          <w:tcPr>
            <w:tcW w:w="1323" w:type="dxa"/>
          </w:tcPr>
          <w:p w14:paraId="5ABCBC67" w14:textId="77777777" w:rsidR="00EE6AF2" w:rsidRPr="00203CD3" w:rsidRDefault="00F303A6">
            <w:pPr>
              <w:pStyle w:val="Compact"/>
              <w:rPr>
                <w:sz w:val="21"/>
                <w:szCs w:val="21"/>
              </w:rPr>
            </w:pPr>
            <w:r w:rsidRPr="00203CD3">
              <w:rPr>
                <w:i/>
                <w:iCs/>
                <w:sz w:val="21"/>
                <w:szCs w:val="21"/>
              </w:rPr>
              <w:t>GSE102101</w:t>
            </w:r>
          </w:p>
        </w:tc>
        <w:tc>
          <w:tcPr>
            <w:tcW w:w="1018" w:type="dxa"/>
          </w:tcPr>
          <w:p w14:paraId="1594B0E9" w14:textId="77777777" w:rsidR="00EE6AF2" w:rsidRDefault="00F303A6">
            <w:pPr>
              <w:pStyle w:val="Compact"/>
            </w:pPr>
            <w:r>
              <w:t>组织</w:t>
            </w:r>
          </w:p>
        </w:tc>
        <w:tc>
          <w:tcPr>
            <w:tcW w:w="814" w:type="dxa"/>
          </w:tcPr>
          <w:p w14:paraId="045386EE" w14:textId="77777777" w:rsidR="00EE6AF2" w:rsidRDefault="00F303A6">
            <w:pPr>
              <w:pStyle w:val="Compact"/>
            </w:pPr>
            <w:r>
              <w:t>20</w:t>
            </w:r>
          </w:p>
        </w:tc>
        <w:tc>
          <w:tcPr>
            <w:tcW w:w="4183" w:type="dxa"/>
          </w:tcPr>
          <w:p w14:paraId="136C195A" w14:textId="77777777" w:rsidR="00EE6AF2" w:rsidRDefault="00F303A6">
            <w:pPr>
              <w:pStyle w:val="Compact"/>
              <w:rPr>
                <w:lang w:eastAsia="zh-CN"/>
              </w:rPr>
            </w:pPr>
            <w:r>
              <w:rPr>
                <w:lang w:eastAsia="zh-CN"/>
              </w:rPr>
              <w:t>10</w:t>
            </w:r>
            <w:r>
              <w:rPr>
                <w:lang w:eastAsia="zh-CN"/>
              </w:rPr>
              <w:t>个癌</w:t>
            </w:r>
            <w:proofErr w:type="gramStart"/>
            <w:r>
              <w:rPr>
                <w:lang w:eastAsia="zh-CN"/>
              </w:rPr>
              <w:t>旁组织</w:t>
            </w:r>
            <w:proofErr w:type="gramEnd"/>
            <w:r>
              <w:rPr>
                <w:lang w:eastAsia="zh-CN"/>
              </w:rPr>
              <w:t>和</w:t>
            </w:r>
            <w:r>
              <w:rPr>
                <w:lang w:eastAsia="zh-CN"/>
              </w:rPr>
              <w:t>10</w:t>
            </w:r>
            <w:r>
              <w:rPr>
                <w:lang w:eastAsia="zh-CN"/>
              </w:rPr>
              <w:t>和对应的肾癌组织</w:t>
            </w:r>
            <w:r>
              <w:rPr>
                <w:lang w:eastAsia="zh-CN"/>
              </w:rPr>
              <w:t>(</w:t>
            </w:r>
            <w:proofErr w:type="spellStart"/>
            <w:r>
              <w:rPr>
                <w:lang w:eastAsia="zh-CN"/>
              </w:rPr>
              <w:t>ccRCC</w:t>
            </w:r>
            <w:proofErr w:type="spellEnd"/>
            <w:r>
              <w:rPr>
                <w:lang w:eastAsia="zh-CN"/>
              </w:rPr>
              <w:t>)</w:t>
            </w:r>
          </w:p>
        </w:tc>
        <w:tc>
          <w:tcPr>
            <w:tcW w:w="1518" w:type="dxa"/>
          </w:tcPr>
          <w:p w14:paraId="351550B6" w14:textId="77777777" w:rsidR="00EE6AF2" w:rsidRDefault="00F303A6">
            <w:pPr>
              <w:pStyle w:val="Compact"/>
            </w:pPr>
            <w:r>
              <w:t xml:space="preserve">bulk </w:t>
            </w:r>
            <w:proofErr w:type="spellStart"/>
            <w:r>
              <w:t>RNAseq</w:t>
            </w:r>
            <w:proofErr w:type="spellEnd"/>
          </w:p>
        </w:tc>
      </w:tr>
      <w:tr w:rsidR="00EE6AF2" w14:paraId="0E75742D" w14:textId="77777777" w:rsidTr="00F303A6">
        <w:tc>
          <w:tcPr>
            <w:tcW w:w="1323" w:type="dxa"/>
          </w:tcPr>
          <w:p w14:paraId="05C90B96" w14:textId="77777777" w:rsidR="00EE6AF2" w:rsidRPr="00203CD3" w:rsidRDefault="00F303A6">
            <w:pPr>
              <w:pStyle w:val="Compact"/>
              <w:rPr>
                <w:sz w:val="21"/>
                <w:szCs w:val="21"/>
              </w:rPr>
            </w:pPr>
            <w:r w:rsidRPr="00203CD3">
              <w:rPr>
                <w:i/>
                <w:iCs/>
                <w:sz w:val="21"/>
                <w:szCs w:val="21"/>
              </w:rPr>
              <w:t>GSE73731</w:t>
            </w:r>
          </w:p>
        </w:tc>
        <w:tc>
          <w:tcPr>
            <w:tcW w:w="1018" w:type="dxa"/>
          </w:tcPr>
          <w:p w14:paraId="0CCE34B0" w14:textId="77777777" w:rsidR="00EE6AF2" w:rsidRDefault="00F303A6">
            <w:pPr>
              <w:pStyle w:val="Compact"/>
            </w:pPr>
            <w:r>
              <w:t>组织</w:t>
            </w:r>
          </w:p>
        </w:tc>
        <w:tc>
          <w:tcPr>
            <w:tcW w:w="814" w:type="dxa"/>
          </w:tcPr>
          <w:p w14:paraId="5DC80A72" w14:textId="77777777" w:rsidR="00EE6AF2" w:rsidRDefault="00F303A6">
            <w:pPr>
              <w:pStyle w:val="Compact"/>
            </w:pPr>
            <w:r>
              <w:t>265</w:t>
            </w:r>
          </w:p>
        </w:tc>
        <w:tc>
          <w:tcPr>
            <w:tcW w:w="4183" w:type="dxa"/>
          </w:tcPr>
          <w:p w14:paraId="5E458E54" w14:textId="77777777" w:rsidR="00EE6AF2" w:rsidRDefault="00F303A6">
            <w:pPr>
              <w:pStyle w:val="Compact"/>
            </w:pPr>
            <w:r>
              <w:t>肾癌组织</w:t>
            </w:r>
            <w:r>
              <w:t>(ccRCC)</w:t>
            </w:r>
          </w:p>
        </w:tc>
        <w:tc>
          <w:tcPr>
            <w:tcW w:w="1518" w:type="dxa"/>
          </w:tcPr>
          <w:p w14:paraId="2D722155" w14:textId="77777777" w:rsidR="00EE6AF2" w:rsidRDefault="00F303A6">
            <w:pPr>
              <w:pStyle w:val="Compact"/>
            </w:pPr>
            <w:r>
              <w:t>microarray</w:t>
            </w:r>
          </w:p>
        </w:tc>
      </w:tr>
      <w:tr w:rsidR="00EE6AF2" w14:paraId="01153DF4" w14:textId="77777777" w:rsidTr="00F303A6">
        <w:tc>
          <w:tcPr>
            <w:tcW w:w="1323" w:type="dxa"/>
          </w:tcPr>
          <w:p w14:paraId="4AF6A1F6" w14:textId="77777777" w:rsidR="00EE6AF2" w:rsidRPr="00203CD3" w:rsidRDefault="00F303A6">
            <w:pPr>
              <w:pStyle w:val="Compact"/>
              <w:rPr>
                <w:sz w:val="21"/>
                <w:szCs w:val="21"/>
              </w:rPr>
            </w:pPr>
            <w:r w:rsidRPr="00203CD3">
              <w:rPr>
                <w:i/>
                <w:iCs/>
                <w:sz w:val="21"/>
                <w:szCs w:val="21"/>
              </w:rPr>
              <w:t>GSE40435</w:t>
            </w:r>
          </w:p>
        </w:tc>
        <w:tc>
          <w:tcPr>
            <w:tcW w:w="1018" w:type="dxa"/>
          </w:tcPr>
          <w:p w14:paraId="72B03C5F" w14:textId="77777777" w:rsidR="00EE6AF2" w:rsidRDefault="00F303A6">
            <w:pPr>
              <w:pStyle w:val="Compact"/>
            </w:pPr>
            <w:r>
              <w:t>组织</w:t>
            </w:r>
          </w:p>
        </w:tc>
        <w:tc>
          <w:tcPr>
            <w:tcW w:w="814" w:type="dxa"/>
          </w:tcPr>
          <w:p w14:paraId="6E08F8D4" w14:textId="77777777" w:rsidR="00EE6AF2" w:rsidRDefault="00F303A6">
            <w:pPr>
              <w:pStyle w:val="Compact"/>
            </w:pPr>
            <w:r>
              <w:t>202</w:t>
            </w:r>
          </w:p>
        </w:tc>
        <w:tc>
          <w:tcPr>
            <w:tcW w:w="4183" w:type="dxa"/>
          </w:tcPr>
          <w:p w14:paraId="693EC1A4" w14:textId="77777777" w:rsidR="00EE6AF2" w:rsidRDefault="00F303A6">
            <w:pPr>
              <w:pStyle w:val="Compact"/>
              <w:rPr>
                <w:lang w:eastAsia="zh-CN"/>
              </w:rPr>
            </w:pPr>
            <w:r>
              <w:rPr>
                <w:lang w:eastAsia="zh-CN"/>
              </w:rPr>
              <w:t>101</w:t>
            </w:r>
            <w:r>
              <w:rPr>
                <w:lang w:eastAsia="zh-CN"/>
              </w:rPr>
              <w:t>个癌</w:t>
            </w:r>
            <w:proofErr w:type="gramStart"/>
            <w:r>
              <w:rPr>
                <w:lang w:eastAsia="zh-CN"/>
              </w:rPr>
              <w:t>旁组织</w:t>
            </w:r>
            <w:proofErr w:type="gramEnd"/>
            <w:r>
              <w:rPr>
                <w:lang w:eastAsia="zh-CN"/>
              </w:rPr>
              <w:t>和</w:t>
            </w:r>
            <w:r>
              <w:rPr>
                <w:lang w:eastAsia="zh-CN"/>
              </w:rPr>
              <w:t>101</w:t>
            </w:r>
            <w:r>
              <w:rPr>
                <w:lang w:eastAsia="zh-CN"/>
              </w:rPr>
              <w:t>和对应的肾癌</w:t>
            </w:r>
            <w:r>
              <w:rPr>
                <w:lang w:eastAsia="zh-CN"/>
              </w:rPr>
              <w:lastRenderedPageBreak/>
              <w:t>组织</w:t>
            </w:r>
            <w:r>
              <w:rPr>
                <w:lang w:eastAsia="zh-CN"/>
              </w:rPr>
              <w:t>(</w:t>
            </w:r>
            <w:proofErr w:type="spellStart"/>
            <w:r>
              <w:rPr>
                <w:lang w:eastAsia="zh-CN"/>
              </w:rPr>
              <w:t>ccRCC</w:t>
            </w:r>
            <w:proofErr w:type="spellEnd"/>
            <w:r>
              <w:rPr>
                <w:lang w:eastAsia="zh-CN"/>
              </w:rPr>
              <w:t>)</w:t>
            </w:r>
          </w:p>
        </w:tc>
        <w:tc>
          <w:tcPr>
            <w:tcW w:w="1518" w:type="dxa"/>
          </w:tcPr>
          <w:p w14:paraId="2797AEAF" w14:textId="77777777" w:rsidR="00EE6AF2" w:rsidRDefault="00F303A6">
            <w:pPr>
              <w:pStyle w:val="Compact"/>
            </w:pPr>
            <w:r>
              <w:lastRenderedPageBreak/>
              <w:t>microarray</w:t>
            </w:r>
          </w:p>
        </w:tc>
      </w:tr>
      <w:tr w:rsidR="00EE6AF2" w14:paraId="10A387DB" w14:textId="77777777" w:rsidTr="00F303A6">
        <w:tc>
          <w:tcPr>
            <w:tcW w:w="1323" w:type="dxa"/>
          </w:tcPr>
          <w:p w14:paraId="26F66CF8" w14:textId="77777777" w:rsidR="00EE6AF2" w:rsidRPr="00203CD3" w:rsidRDefault="00F303A6">
            <w:pPr>
              <w:pStyle w:val="Compact"/>
              <w:rPr>
                <w:sz w:val="21"/>
                <w:szCs w:val="21"/>
              </w:rPr>
            </w:pPr>
            <w:r w:rsidRPr="00203CD3">
              <w:rPr>
                <w:i/>
                <w:iCs/>
                <w:sz w:val="21"/>
                <w:szCs w:val="21"/>
              </w:rPr>
              <w:t>TCGA-KIRC</w:t>
            </w:r>
          </w:p>
        </w:tc>
        <w:tc>
          <w:tcPr>
            <w:tcW w:w="1018" w:type="dxa"/>
          </w:tcPr>
          <w:p w14:paraId="56BF29D4" w14:textId="77777777" w:rsidR="00EE6AF2" w:rsidRDefault="00F303A6">
            <w:pPr>
              <w:pStyle w:val="Compact"/>
            </w:pPr>
            <w:r>
              <w:t>组织</w:t>
            </w:r>
          </w:p>
        </w:tc>
        <w:tc>
          <w:tcPr>
            <w:tcW w:w="814" w:type="dxa"/>
          </w:tcPr>
          <w:p w14:paraId="7EB49725" w14:textId="77777777" w:rsidR="00EE6AF2" w:rsidRDefault="00F303A6">
            <w:pPr>
              <w:pStyle w:val="Compact"/>
            </w:pPr>
            <w:r>
              <w:t>534</w:t>
            </w:r>
          </w:p>
        </w:tc>
        <w:tc>
          <w:tcPr>
            <w:tcW w:w="4183" w:type="dxa"/>
          </w:tcPr>
          <w:p w14:paraId="711768F7" w14:textId="77777777" w:rsidR="00EE6AF2" w:rsidRDefault="00F303A6">
            <w:pPr>
              <w:pStyle w:val="Compact"/>
              <w:rPr>
                <w:lang w:eastAsia="zh-CN"/>
              </w:rPr>
            </w:pPr>
            <w:r>
              <w:rPr>
                <w:lang w:eastAsia="zh-CN"/>
              </w:rPr>
              <w:t>肾癌组织</w:t>
            </w:r>
            <w:r>
              <w:rPr>
                <w:lang w:eastAsia="zh-CN"/>
              </w:rPr>
              <w:t>(</w:t>
            </w:r>
            <w:proofErr w:type="spellStart"/>
            <w:r>
              <w:rPr>
                <w:lang w:eastAsia="zh-CN"/>
              </w:rPr>
              <w:t>ccRCC</w:t>
            </w:r>
            <w:proofErr w:type="spellEnd"/>
            <w:r>
              <w:rPr>
                <w:lang w:eastAsia="zh-CN"/>
              </w:rPr>
              <w:t>，有生存时间和状态信息</w:t>
            </w:r>
            <w:r>
              <w:rPr>
                <w:lang w:eastAsia="zh-CN"/>
              </w:rPr>
              <w:t>)</w:t>
            </w:r>
          </w:p>
        </w:tc>
        <w:tc>
          <w:tcPr>
            <w:tcW w:w="1518" w:type="dxa"/>
          </w:tcPr>
          <w:p w14:paraId="2A22B5C1" w14:textId="77777777" w:rsidR="00EE6AF2" w:rsidRDefault="00F303A6">
            <w:pPr>
              <w:pStyle w:val="Compact"/>
            </w:pPr>
            <w:r>
              <w:t xml:space="preserve">bulk </w:t>
            </w:r>
            <w:proofErr w:type="spellStart"/>
            <w:r>
              <w:t>RNAseq</w:t>
            </w:r>
            <w:proofErr w:type="spellEnd"/>
          </w:p>
        </w:tc>
      </w:tr>
    </w:tbl>
    <w:p w14:paraId="6C9F8EC2" w14:textId="77777777" w:rsidR="00EE6AF2" w:rsidRDefault="00F303A6">
      <w:pPr>
        <w:pStyle w:val="1"/>
      </w:pPr>
      <w:bookmarkStart w:id="4" w:name="分析流程"/>
      <w:bookmarkEnd w:id="1"/>
      <w:bookmarkEnd w:id="3"/>
      <w:r>
        <w:t xml:space="preserve">3. </w:t>
      </w:r>
      <w:r>
        <w:t>分析流程</w:t>
      </w:r>
    </w:p>
    <w:p w14:paraId="40349D24" w14:textId="77777777" w:rsidR="00EE6AF2" w:rsidRDefault="00F303A6">
      <w:pPr>
        <w:pStyle w:val="FirstParagraph"/>
      </w:pPr>
      <w:r>
        <w:rPr>
          <w:b/>
          <w:bCs/>
        </w:rPr>
        <w:t>Figure1</w:t>
      </w:r>
      <w:r>
        <w:rPr>
          <w:b/>
          <w:bCs/>
        </w:rPr>
        <w:t>：</w:t>
      </w:r>
      <w:r>
        <w:t xml:space="preserve"> </w:t>
      </w:r>
      <w:r>
        <w:t>分析流程图和样本基线表。</w:t>
      </w:r>
    </w:p>
    <w:p w14:paraId="3D7D40E0" w14:textId="77777777" w:rsidR="00EE6AF2" w:rsidRDefault="00F303A6">
      <w:pPr>
        <w:pStyle w:val="a0"/>
        <w:rPr>
          <w:lang w:eastAsia="zh-CN"/>
        </w:rPr>
      </w:pPr>
      <w:r>
        <w:rPr>
          <w:b/>
          <w:bCs/>
          <w:lang w:eastAsia="zh-CN"/>
        </w:rPr>
        <w:t>Figure2</w:t>
      </w:r>
      <w:r>
        <w:rPr>
          <w:b/>
          <w:bCs/>
          <w:lang w:eastAsia="zh-CN"/>
        </w:rPr>
        <w:t>：</w:t>
      </w:r>
      <w:r>
        <w:rPr>
          <w:lang w:eastAsia="zh-CN"/>
        </w:rPr>
        <w:t xml:space="preserve"> </w:t>
      </w:r>
      <w:r>
        <w:rPr>
          <w:lang w:eastAsia="zh-CN"/>
        </w:rPr>
        <w:t>GSE7367, GSE102101</w:t>
      </w:r>
      <w:r>
        <w:rPr>
          <w:lang w:eastAsia="zh-CN"/>
        </w:rPr>
        <w:t>和</w:t>
      </w:r>
      <w:r>
        <w:rPr>
          <w:lang w:eastAsia="zh-CN"/>
        </w:rPr>
        <w:t>GSE40435</w:t>
      </w:r>
      <w:r>
        <w:rPr>
          <w:lang w:eastAsia="zh-CN"/>
        </w:rPr>
        <w:t>数据合并去批次并进行差异分析。差异基因与坏死性凋亡相关基因取交集。绘制坏死性凋亡相关基因在染色体上的位置，以及坏死性凋亡相关基因的拷贝数变异频率。查看交集基因在</w:t>
      </w:r>
      <w:r>
        <w:rPr>
          <w:lang w:eastAsia="zh-CN"/>
        </w:rPr>
        <w:t>TCGA-KIRC</w:t>
      </w:r>
      <w:r>
        <w:rPr>
          <w:lang w:eastAsia="zh-CN"/>
        </w:rPr>
        <w:t>中的单核苷酸突变情况，绘制交集基因的</w:t>
      </w:r>
      <w:r>
        <w:rPr>
          <w:lang w:eastAsia="zh-CN"/>
        </w:rPr>
        <w:t>PPI</w:t>
      </w:r>
      <w:r>
        <w:rPr>
          <w:lang w:eastAsia="zh-CN"/>
        </w:rPr>
        <w:t>网络图。</w:t>
      </w:r>
    </w:p>
    <w:p w14:paraId="092EA034" w14:textId="77777777" w:rsidR="00EE6AF2" w:rsidRDefault="00F303A6">
      <w:pPr>
        <w:pStyle w:val="a0"/>
        <w:rPr>
          <w:lang w:eastAsia="zh-CN"/>
        </w:rPr>
      </w:pPr>
      <w:r>
        <w:rPr>
          <w:b/>
          <w:bCs/>
          <w:lang w:eastAsia="zh-CN"/>
        </w:rPr>
        <w:t>Figure3</w:t>
      </w:r>
      <w:r>
        <w:rPr>
          <w:b/>
          <w:bCs/>
          <w:lang w:eastAsia="zh-CN"/>
        </w:rPr>
        <w:t>：</w:t>
      </w:r>
      <w:r>
        <w:rPr>
          <w:lang w:eastAsia="zh-CN"/>
        </w:rPr>
        <w:t xml:space="preserve"> </w:t>
      </w:r>
      <w:r>
        <w:rPr>
          <w:lang w:eastAsia="zh-CN"/>
        </w:rPr>
        <w:t>使用基因表达水平、生存分析和</w:t>
      </w:r>
      <w:r>
        <w:rPr>
          <w:lang w:eastAsia="zh-CN"/>
        </w:rPr>
        <w:t>Cox</w:t>
      </w:r>
      <w:r>
        <w:rPr>
          <w:lang w:eastAsia="zh-CN"/>
        </w:rPr>
        <w:t>分析获得与生存显著相关的坏死</w:t>
      </w:r>
      <w:proofErr w:type="gramStart"/>
      <w:r>
        <w:rPr>
          <w:lang w:eastAsia="zh-CN"/>
        </w:rPr>
        <w:t>性调亡</w:t>
      </w:r>
      <w:proofErr w:type="gramEnd"/>
      <w:r>
        <w:rPr>
          <w:lang w:eastAsia="zh-CN"/>
        </w:rPr>
        <w:t>基因。使用筛选到的基因对</w:t>
      </w:r>
      <w:r>
        <w:rPr>
          <w:lang w:eastAsia="zh-CN"/>
        </w:rPr>
        <w:t>TCGA-KIRC</w:t>
      </w:r>
      <w:r>
        <w:rPr>
          <w:lang w:eastAsia="zh-CN"/>
        </w:rPr>
        <w:t>进行一致性聚类分析。对</w:t>
      </w:r>
      <w:r>
        <w:rPr>
          <w:lang w:eastAsia="zh-CN"/>
        </w:rPr>
        <w:t>TCGA-KIRC</w:t>
      </w:r>
      <w:r>
        <w:rPr>
          <w:lang w:eastAsia="zh-CN"/>
        </w:rPr>
        <w:t>不同亚群进行差异基因分析、生存分析和聚类分析。绘制</w:t>
      </w:r>
      <w:r>
        <w:rPr>
          <w:lang w:eastAsia="zh-CN"/>
        </w:rPr>
        <w:t>TCGA-</w:t>
      </w:r>
      <w:r>
        <w:rPr>
          <w:lang w:eastAsia="zh-CN"/>
        </w:rPr>
        <w:t>KIRC</w:t>
      </w:r>
      <w:r>
        <w:rPr>
          <w:lang w:eastAsia="zh-CN"/>
        </w:rPr>
        <w:t>的聚类图（</w:t>
      </w:r>
      <w:r>
        <w:rPr>
          <w:lang w:eastAsia="zh-CN"/>
        </w:rPr>
        <w:t>PCA</w:t>
      </w:r>
      <w:r>
        <w:rPr>
          <w:lang w:eastAsia="zh-CN"/>
        </w:rPr>
        <w:t>）</w:t>
      </w:r>
      <w:r>
        <w:rPr>
          <w:lang w:eastAsia="zh-CN"/>
        </w:rPr>
        <w:t>,</w:t>
      </w:r>
      <w:r>
        <w:rPr>
          <w:lang w:eastAsia="zh-CN"/>
        </w:rPr>
        <w:t>差异基因的热图，同时加上多种临床信息如性别、年龄、肿瘤病情分级等信息。对不同亚群的</w:t>
      </w:r>
      <w:r>
        <w:rPr>
          <w:lang w:eastAsia="zh-CN"/>
        </w:rPr>
        <w:t>TCGA-KIRC</w:t>
      </w:r>
      <w:r>
        <w:rPr>
          <w:lang w:eastAsia="zh-CN"/>
        </w:rPr>
        <w:t>进行基因集变异分析（</w:t>
      </w:r>
      <w:r>
        <w:rPr>
          <w:lang w:eastAsia="zh-CN"/>
        </w:rPr>
        <w:t>GSVA</w:t>
      </w:r>
      <w:r>
        <w:rPr>
          <w:lang w:eastAsia="zh-CN"/>
        </w:rPr>
        <w:t>）和免疫浸润分析（</w:t>
      </w:r>
      <w:proofErr w:type="spellStart"/>
      <w:r>
        <w:rPr>
          <w:lang w:eastAsia="zh-CN"/>
        </w:rPr>
        <w:t>ssGSEA</w:t>
      </w:r>
      <w:proofErr w:type="spellEnd"/>
      <w:r>
        <w:rPr>
          <w:lang w:eastAsia="zh-CN"/>
        </w:rPr>
        <w:t>）。</w:t>
      </w:r>
    </w:p>
    <w:p w14:paraId="5CC4A1A9" w14:textId="77777777" w:rsidR="00EE6AF2" w:rsidRDefault="00F303A6">
      <w:pPr>
        <w:pStyle w:val="a0"/>
        <w:rPr>
          <w:lang w:eastAsia="zh-CN"/>
        </w:rPr>
      </w:pPr>
      <w:r>
        <w:rPr>
          <w:b/>
          <w:bCs/>
          <w:lang w:eastAsia="zh-CN"/>
        </w:rPr>
        <w:t>Figure4</w:t>
      </w:r>
      <w:r>
        <w:rPr>
          <w:b/>
          <w:bCs/>
          <w:lang w:eastAsia="zh-CN"/>
        </w:rPr>
        <w:t>：</w:t>
      </w:r>
      <w:r>
        <w:rPr>
          <w:lang w:eastAsia="zh-CN"/>
        </w:rPr>
        <w:t xml:space="preserve"> </w:t>
      </w:r>
      <w:r>
        <w:rPr>
          <w:lang w:eastAsia="zh-CN"/>
        </w:rPr>
        <w:t>使用</w:t>
      </w:r>
      <w:r>
        <w:rPr>
          <w:lang w:eastAsia="zh-CN"/>
        </w:rPr>
        <w:t>TCGA-KIRC</w:t>
      </w:r>
      <w:r>
        <w:rPr>
          <w:lang w:eastAsia="zh-CN"/>
        </w:rPr>
        <w:t>不同亚群间的差异基因进行功能富集分析，并绘制富集分析的气泡图。使用</w:t>
      </w:r>
      <w:r>
        <w:rPr>
          <w:lang w:eastAsia="zh-CN"/>
        </w:rPr>
        <w:t>TCGA-KIRC</w:t>
      </w:r>
      <w:r>
        <w:rPr>
          <w:lang w:eastAsia="zh-CN"/>
        </w:rPr>
        <w:t>不同亚群的差异基因对</w:t>
      </w:r>
      <w:r>
        <w:rPr>
          <w:lang w:eastAsia="zh-CN"/>
        </w:rPr>
        <w:t>TCGA-KIRC</w:t>
      </w:r>
      <w:r>
        <w:rPr>
          <w:lang w:eastAsia="zh-CN"/>
        </w:rPr>
        <w:t>重新进行一致性聚类分析，并对新得到的亚群进行生存分析。</w:t>
      </w:r>
    </w:p>
    <w:p w14:paraId="7E7AC820" w14:textId="77777777" w:rsidR="00EE6AF2" w:rsidRDefault="00F303A6">
      <w:pPr>
        <w:pStyle w:val="a0"/>
        <w:rPr>
          <w:lang w:eastAsia="zh-CN"/>
        </w:rPr>
      </w:pPr>
      <w:r>
        <w:rPr>
          <w:b/>
          <w:bCs/>
          <w:lang w:eastAsia="zh-CN"/>
        </w:rPr>
        <w:t>Figure5</w:t>
      </w:r>
      <w:r>
        <w:rPr>
          <w:b/>
          <w:bCs/>
          <w:lang w:eastAsia="zh-CN"/>
        </w:rPr>
        <w:t>：</w:t>
      </w:r>
      <w:r>
        <w:rPr>
          <w:lang w:eastAsia="zh-CN"/>
        </w:rPr>
        <w:t xml:space="preserve"> </w:t>
      </w:r>
      <w:r>
        <w:rPr>
          <w:lang w:eastAsia="zh-CN"/>
        </w:rPr>
        <w:t>把</w:t>
      </w:r>
      <w:r>
        <w:rPr>
          <w:lang w:eastAsia="zh-CN"/>
        </w:rPr>
        <w:t>TCGA-KIRC</w:t>
      </w:r>
      <w:r>
        <w:rPr>
          <w:lang w:eastAsia="zh-CN"/>
        </w:rPr>
        <w:t>随机等分成训练组和测试组，使用训练组进行</w:t>
      </w:r>
      <w:r>
        <w:rPr>
          <w:lang w:eastAsia="zh-CN"/>
        </w:rPr>
        <w:t>Cox</w:t>
      </w:r>
      <w:r>
        <w:rPr>
          <w:lang w:eastAsia="zh-CN"/>
        </w:rPr>
        <w:t>分析，筛选与生存相</w:t>
      </w:r>
      <w:r>
        <w:rPr>
          <w:lang w:eastAsia="zh-CN"/>
        </w:rPr>
        <w:t>关的基因，并计算每个样本的风险值，依据</w:t>
      </w:r>
      <w:proofErr w:type="gramStart"/>
      <w:r>
        <w:rPr>
          <w:lang w:eastAsia="zh-CN"/>
        </w:rPr>
        <w:t>风险值把样本</w:t>
      </w:r>
      <w:proofErr w:type="gramEnd"/>
      <w:r>
        <w:rPr>
          <w:lang w:eastAsia="zh-CN"/>
        </w:rPr>
        <w:t>分为高风险组和低风险组。同理计算出测试组、</w:t>
      </w:r>
      <w:r>
        <w:rPr>
          <w:lang w:eastAsia="zh-CN"/>
        </w:rPr>
        <w:t>TCGA-KIRC</w:t>
      </w:r>
      <w:r>
        <w:rPr>
          <w:lang w:eastAsia="zh-CN"/>
        </w:rPr>
        <w:t>和验证数据</w:t>
      </w:r>
      <w:r>
        <w:rPr>
          <w:lang w:eastAsia="zh-CN"/>
        </w:rPr>
        <w:t>GSE73731</w:t>
      </w:r>
      <w:r>
        <w:rPr>
          <w:lang w:eastAsia="zh-CN"/>
        </w:rPr>
        <w:t>中每个样本的风险值，并依据风险值将其分为低风险组和高风险组。并对训练集、测试集、</w:t>
      </w:r>
      <w:r>
        <w:rPr>
          <w:lang w:eastAsia="zh-CN"/>
        </w:rPr>
        <w:t>TCGA-KIRC</w:t>
      </w:r>
      <w:r>
        <w:rPr>
          <w:lang w:eastAsia="zh-CN"/>
        </w:rPr>
        <w:t>和验证数据</w:t>
      </w:r>
      <w:r>
        <w:rPr>
          <w:lang w:eastAsia="zh-CN"/>
        </w:rPr>
        <w:t>GSE73731</w:t>
      </w:r>
      <w:r>
        <w:rPr>
          <w:lang w:eastAsia="zh-CN"/>
        </w:rPr>
        <w:t>的高风险和低风险组进行生存分析。</w:t>
      </w:r>
    </w:p>
    <w:p w14:paraId="475C7DDE" w14:textId="77777777" w:rsidR="00EE6AF2" w:rsidRDefault="00F303A6">
      <w:pPr>
        <w:pStyle w:val="a0"/>
        <w:rPr>
          <w:lang w:eastAsia="zh-CN"/>
        </w:rPr>
      </w:pPr>
      <w:r>
        <w:rPr>
          <w:b/>
          <w:bCs/>
          <w:lang w:eastAsia="zh-CN"/>
        </w:rPr>
        <w:t>Figure6</w:t>
      </w:r>
      <w:r>
        <w:rPr>
          <w:b/>
          <w:bCs/>
          <w:lang w:eastAsia="zh-CN"/>
        </w:rPr>
        <w:t>：</w:t>
      </w:r>
      <w:r>
        <w:rPr>
          <w:lang w:eastAsia="zh-CN"/>
        </w:rPr>
        <w:t xml:space="preserve"> </w:t>
      </w:r>
      <w:r>
        <w:rPr>
          <w:lang w:eastAsia="zh-CN"/>
        </w:rPr>
        <w:t>使用生存时间及状态信息与临床信息进行</w:t>
      </w:r>
      <w:proofErr w:type="gramStart"/>
      <w:r>
        <w:rPr>
          <w:lang w:eastAsia="zh-CN"/>
        </w:rPr>
        <w:t>但因素</w:t>
      </w:r>
      <w:proofErr w:type="gramEnd"/>
      <w:r>
        <w:rPr>
          <w:lang w:eastAsia="zh-CN"/>
        </w:rPr>
        <w:t>和多因素</w:t>
      </w:r>
      <w:r>
        <w:rPr>
          <w:lang w:eastAsia="zh-CN"/>
        </w:rPr>
        <w:t>Cox</w:t>
      </w:r>
      <w:r>
        <w:rPr>
          <w:lang w:eastAsia="zh-CN"/>
        </w:rPr>
        <w:t>分析，并绘制相应的风险比率图、列线图和</w:t>
      </w:r>
      <w:r>
        <w:rPr>
          <w:lang w:eastAsia="zh-CN"/>
        </w:rPr>
        <w:t>ROC</w:t>
      </w:r>
      <w:r>
        <w:rPr>
          <w:lang w:eastAsia="zh-CN"/>
        </w:rPr>
        <w:t>曲线。</w:t>
      </w:r>
    </w:p>
    <w:p w14:paraId="42558C6F" w14:textId="77777777" w:rsidR="00EE6AF2" w:rsidRDefault="00F303A6">
      <w:pPr>
        <w:pStyle w:val="a0"/>
        <w:rPr>
          <w:lang w:eastAsia="zh-CN"/>
        </w:rPr>
      </w:pPr>
      <w:r>
        <w:rPr>
          <w:b/>
          <w:bCs/>
          <w:lang w:eastAsia="zh-CN"/>
        </w:rPr>
        <w:t>Figure7</w:t>
      </w:r>
      <w:r>
        <w:rPr>
          <w:b/>
          <w:bCs/>
          <w:lang w:eastAsia="zh-CN"/>
        </w:rPr>
        <w:t>：</w:t>
      </w:r>
      <w:r>
        <w:rPr>
          <w:lang w:eastAsia="zh-CN"/>
        </w:rPr>
        <w:t xml:space="preserve"> </w:t>
      </w:r>
      <w:r>
        <w:rPr>
          <w:lang w:eastAsia="zh-CN"/>
        </w:rPr>
        <w:t>使用坏死凋亡相关基因对</w:t>
      </w:r>
      <w:r>
        <w:rPr>
          <w:lang w:eastAsia="zh-CN"/>
        </w:rPr>
        <w:t>TCGA-KIRC</w:t>
      </w:r>
      <w:r>
        <w:rPr>
          <w:lang w:eastAsia="zh-CN"/>
        </w:rPr>
        <w:t>进行一致性聚类，绘制不同亚群风险值</w:t>
      </w:r>
      <w:r>
        <w:rPr>
          <w:lang w:eastAsia="zh-CN"/>
        </w:rPr>
        <w:t>的箱线图。比较</w:t>
      </w:r>
      <w:r>
        <w:rPr>
          <w:lang w:eastAsia="zh-CN"/>
        </w:rPr>
        <w:t>TCGA-KIRC</w:t>
      </w:r>
      <w:r>
        <w:rPr>
          <w:lang w:eastAsia="zh-CN"/>
        </w:rPr>
        <w:t>高风险组和低风险组中坏死相关基因的表达水平。使用桑吉图（</w:t>
      </w:r>
      <w:proofErr w:type="spellStart"/>
      <w:r>
        <w:rPr>
          <w:lang w:eastAsia="zh-CN"/>
        </w:rPr>
        <w:t>sankey</w:t>
      </w:r>
      <w:proofErr w:type="spellEnd"/>
      <w:r>
        <w:rPr>
          <w:lang w:eastAsia="zh-CN"/>
        </w:rPr>
        <w:t xml:space="preserve"> graph</w:t>
      </w:r>
      <w:r>
        <w:rPr>
          <w:lang w:eastAsia="zh-CN"/>
        </w:rPr>
        <w:t>）绘制出</w:t>
      </w:r>
      <w:r>
        <w:rPr>
          <w:lang w:eastAsia="zh-CN"/>
        </w:rPr>
        <w:t>TCGA-KIRC</w:t>
      </w:r>
      <w:r>
        <w:rPr>
          <w:lang w:eastAsia="zh-CN"/>
        </w:rPr>
        <w:t>不同样本在各个分类指标中的分布情况。</w:t>
      </w:r>
    </w:p>
    <w:p w14:paraId="66F94F8B" w14:textId="77777777" w:rsidR="00EE6AF2" w:rsidRDefault="00F303A6">
      <w:pPr>
        <w:pStyle w:val="a0"/>
        <w:rPr>
          <w:lang w:eastAsia="zh-CN"/>
        </w:rPr>
      </w:pPr>
      <w:r>
        <w:rPr>
          <w:b/>
          <w:bCs/>
          <w:lang w:eastAsia="zh-CN"/>
        </w:rPr>
        <w:t>Figure8</w:t>
      </w:r>
      <w:r>
        <w:rPr>
          <w:b/>
          <w:bCs/>
          <w:lang w:eastAsia="zh-CN"/>
        </w:rPr>
        <w:t>：</w:t>
      </w:r>
      <w:r>
        <w:rPr>
          <w:lang w:eastAsia="zh-CN"/>
        </w:rPr>
        <w:t xml:space="preserve"> </w:t>
      </w:r>
      <w:r>
        <w:rPr>
          <w:lang w:eastAsia="zh-CN"/>
        </w:rPr>
        <w:t>计算筛选到的坏死性凋亡相关基因的表达水平与免疫细胞浸润水平之间的相关系数及其显著水平，并绘制热图。绘制</w:t>
      </w:r>
      <w:r>
        <w:rPr>
          <w:lang w:eastAsia="zh-CN"/>
        </w:rPr>
        <w:t>TCGA-KIRC</w:t>
      </w:r>
      <w:r>
        <w:rPr>
          <w:lang w:eastAsia="zh-CN"/>
        </w:rPr>
        <w:t>各个样本风险值与不同免疫细胞浸润水平之间的散点图。绘制</w:t>
      </w:r>
      <w:r>
        <w:rPr>
          <w:lang w:eastAsia="zh-CN"/>
        </w:rPr>
        <w:t>TCGA-KIRC</w:t>
      </w:r>
      <w:r>
        <w:rPr>
          <w:lang w:eastAsia="zh-CN"/>
        </w:rPr>
        <w:t>高风险组与低风险组之间的单</w:t>
      </w:r>
      <w:r>
        <w:rPr>
          <w:lang w:eastAsia="zh-CN"/>
        </w:rPr>
        <w:lastRenderedPageBreak/>
        <w:t>核苷酸突变图。</w:t>
      </w:r>
      <w:proofErr w:type="gramStart"/>
      <w:r>
        <w:rPr>
          <w:lang w:eastAsia="zh-CN"/>
        </w:rPr>
        <w:t>计算高</w:t>
      </w:r>
      <w:proofErr w:type="gramEnd"/>
      <w:r>
        <w:rPr>
          <w:lang w:eastAsia="zh-CN"/>
        </w:rPr>
        <w:t>风险组与低风险组的突变负荷（</w:t>
      </w:r>
      <w:r>
        <w:rPr>
          <w:lang w:eastAsia="zh-CN"/>
        </w:rPr>
        <w:t>tumor mutation burden</w:t>
      </w:r>
      <w:r>
        <w:rPr>
          <w:lang w:eastAsia="zh-CN"/>
        </w:rPr>
        <w:t>），并绘制</w:t>
      </w:r>
      <w:r>
        <w:rPr>
          <w:lang w:eastAsia="zh-CN"/>
        </w:rPr>
        <w:t>箱线图以及样本的突变负荷与风险值之间的散点图。</w:t>
      </w:r>
    </w:p>
    <w:p w14:paraId="056D83CE" w14:textId="77777777" w:rsidR="00EE6AF2" w:rsidRDefault="00F303A6">
      <w:pPr>
        <w:pStyle w:val="a0"/>
        <w:rPr>
          <w:lang w:eastAsia="zh-CN"/>
        </w:rPr>
      </w:pPr>
      <w:r>
        <w:rPr>
          <w:b/>
          <w:bCs/>
          <w:lang w:eastAsia="zh-CN"/>
        </w:rPr>
        <w:t>Figure9</w:t>
      </w:r>
      <w:r>
        <w:rPr>
          <w:b/>
          <w:bCs/>
          <w:lang w:eastAsia="zh-CN"/>
        </w:rPr>
        <w:t>：</w:t>
      </w:r>
      <w:r>
        <w:rPr>
          <w:lang w:eastAsia="zh-CN"/>
        </w:rPr>
        <w:t xml:space="preserve"> </w:t>
      </w:r>
      <w:r>
        <w:rPr>
          <w:lang w:eastAsia="zh-CN"/>
        </w:rPr>
        <w:t>分析</w:t>
      </w:r>
      <w:r>
        <w:rPr>
          <w:lang w:eastAsia="zh-CN"/>
        </w:rPr>
        <w:t>TCGA-KIRC</w:t>
      </w:r>
      <w:r>
        <w:rPr>
          <w:lang w:eastAsia="zh-CN"/>
        </w:rPr>
        <w:t>高风险组与低风险组对不同化疗药的敏感性，并绘制箱线图。</w:t>
      </w:r>
    </w:p>
    <w:p w14:paraId="5566366C" w14:textId="77777777" w:rsidR="00EE6AF2" w:rsidRDefault="00F303A6">
      <w:pPr>
        <w:pStyle w:val="1"/>
      </w:pPr>
      <w:bookmarkStart w:id="5" w:name="附表"/>
      <w:bookmarkEnd w:id="4"/>
      <w:r>
        <w:t xml:space="preserve">4. </w:t>
      </w:r>
      <w:proofErr w:type="spellStart"/>
      <w:r>
        <w:t>附表</w:t>
      </w:r>
      <w:proofErr w:type="spellEnd"/>
    </w:p>
    <w:p w14:paraId="4D42BD1A" w14:textId="77777777" w:rsidR="00EE6AF2" w:rsidRDefault="00F303A6">
      <w:pPr>
        <w:pStyle w:val="Compact"/>
        <w:numPr>
          <w:ilvl w:val="0"/>
          <w:numId w:val="2"/>
        </w:numPr>
        <w:rPr>
          <w:lang w:eastAsia="zh-CN"/>
        </w:rPr>
      </w:pPr>
      <w:r>
        <w:rPr>
          <w:lang w:eastAsia="zh-CN"/>
        </w:rPr>
        <w:t>肿瘤坏死相关基因列表。</w:t>
      </w:r>
    </w:p>
    <w:p w14:paraId="145D6F8E" w14:textId="77777777" w:rsidR="00EE6AF2" w:rsidRDefault="00F303A6">
      <w:pPr>
        <w:pStyle w:val="Compact"/>
        <w:numPr>
          <w:ilvl w:val="0"/>
          <w:numId w:val="2"/>
        </w:numPr>
        <w:rPr>
          <w:lang w:eastAsia="zh-CN"/>
        </w:rPr>
      </w:pPr>
      <w:r>
        <w:rPr>
          <w:lang w:eastAsia="zh-CN"/>
        </w:rPr>
        <w:t>使用基因表达水平、生存分析和</w:t>
      </w:r>
      <w:r>
        <w:rPr>
          <w:lang w:eastAsia="zh-CN"/>
        </w:rPr>
        <w:t>Cox</w:t>
      </w:r>
      <w:r>
        <w:rPr>
          <w:lang w:eastAsia="zh-CN"/>
        </w:rPr>
        <w:t>分析得到的基因列表。</w:t>
      </w:r>
    </w:p>
    <w:p w14:paraId="5F8D5DA5" w14:textId="77777777" w:rsidR="00EE6AF2" w:rsidRDefault="00F303A6">
      <w:pPr>
        <w:pStyle w:val="Compact"/>
        <w:numPr>
          <w:ilvl w:val="0"/>
          <w:numId w:val="2"/>
        </w:numPr>
      </w:pPr>
      <w:proofErr w:type="spellStart"/>
      <w:r>
        <w:t>GO</w:t>
      </w:r>
      <w:r>
        <w:t>富集分析结果</w:t>
      </w:r>
      <w:proofErr w:type="spellEnd"/>
      <w:r>
        <w:t>。</w:t>
      </w:r>
    </w:p>
    <w:p w14:paraId="4D4E7296" w14:textId="77777777" w:rsidR="00EE6AF2" w:rsidRDefault="00F303A6">
      <w:pPr>
        <w:pStyle w:val="Compact"/>
        <w:numPr>
          <w:ilvl w:val="0"/>
          <w:numId w:val="2"/>
        </w:numPr>
      </w:pPr>
      <w:r>
        <w:t>KEGG</w:t>
      </w:r>
      <w:r>
        <w:t>富集分析结果。</w:t>
      </w:r>
    </w:p>
    <w:p w14:paraId="558EB0B1" w14:textId="77777777" w:rsidR="00EE6AF2" w:rsidRDefault="00F303A6">
      <w:pPr>
        <w:pStyle w:val="Compact"/>
        <w:numPr>
          <w:ilvl w:val="0"/>
          <w:numId w:val="2"/>
        </w:numPr>
      </w:pPr>
      <w:r>
        <w:t>基因集变异分析结果。</w:t>
      </w:r>
    </w:p>
    <w:p w14:paraId="5E1D6C16" w14:textId="77777777" w:rsidR="00EE6AF2" w:rsidRDefault="00F303A6">
      <w:pPr>
        <w:pStyle w:val="Compact"/>
        <w:numPr>
          <w:ilvl w:val="0"/>
          <w:numId w:val="2"/>
        </w:numPr>
      </w:pPr>
      <w:r>
        <w:t>免疫浸润分析结果。</w:t>
      </w:r>
    </w:p>
    <w:p w14:paraId="29C87683" w14:textId="77777777" w:rsidR="00EE6AF2" w:rsidRDefault="00F303A6">
      <w:pPr>
        <w:pStyle w:val="Compact"/>
        <w:numPr>
          <w:ilvl w:val="0"/>
          <w:numId w:val="2"/>
        </w:numPr>
        <w:rPr>
          <w:lang w:eastAsia="zh-CN"/>
        </w:rPr>
      </w:pPr>
      <w:r>
        <w:rPr>
          <w:lang w:eastAsia="zh-CN"/>
        </w:rPr>
        <w:t>Cox</w:t>
      </w:r>
      <w:r>
        <w:rPr>
          <w:lang w:eastAsia="zh-CN"/>
        </w:rPr>
        <w:t>生存分析得到的系数不为零的基因及其相关系数。</w:t>
      </w:r>
    </w:p>
    <w:p w14:paraId="0A77565C" w14:textId="77777777" w:rsidR="00EE6AF2" w:rsidRDefault="00F303A6">
      <w:pPr>
        <w:pStyle w:val="Compact"/>
        <w:numPr>
          <w:ilvl w:val="0"/>
          <w:numId w:val="2"/>
        </w:numPr>
      </w:pPr>
      <w:proofErr w:type="spellStart"/>
      <w:r>
        <w:t>药物敏感性分析结果</w:t>
      </w:r>
      <w:proofErr w:type="spellEnd"/>
      <w:r>
        <w:t>。</w:t>
      </w:r>
    </w:p>
    <w:p w14:paraId="1F38C7F0" w14:textId="77777777" w:rsidR="00EE6AF2" w:rsidRDefault="00F303A6">
      <w:pPr>
        <w:pStyle w:val="FirstParagraph"/>
      </w:pPr>
      <w:r>
        <w:rPr>
          <w:b/>
          <w:bCs/>
        </w:rPr>
        <w:t>该设计方案参考文章</w:t>
      </w:r>
      <w:r>
        <w:rPr>
          <w:b/>
          <w:bCs/>
        </w:rPr>
        <w:t>[</w:t>
      </w:r>
      <w:hyperlink w:anchor="ref-Zhang2022">
        <w:r>
          <w:rPr>
            <w:rStyle w:val="ad"/>
            <w:b/>
            <w:bCs/>
          </w:rPr>
          <w:t>Zhang et al.</w:t>
        </w:r>
        <w:r>
          <w:rPr>
            <w:rStyle w:val="ad"/>
            <w:b/>
            <w:bCs/>
          </w:rPr>
          <w:t>, 2022</w:t>
        </w:r>
      </w:hyperlink>
      <w:r>
        <w:rPr>
          <w:b/>
          <w:bCs/>
        </w:rPr>
        <w:t>]</w:t>
      </w:r>
      <w:r>
        <w:rPr>
          <w:b/>
          <w:bCs/>
        </w:rPr>
        <w:t>，</w:t>
      </w:r>
      <w:r>
        <w:rPr>
          <w:b/>
          <w:bCs/>
        </w:rPr>
        <w:t>IF=4.7</w:t>
      </w:r>
      <w:r>
        <w:rPr>
          <w:b/>
          <w:bCs/>
        </w:rPr>
        <w:t>。</w:t>
      </w:r>
    </w:p>
    <w:p w14:paraId="605B04B9" w14:textId="77777777" w:rsidR="00EE6AF2" w:rsidRDefault="00F303A6">
      <w:r>
        <w:br w:type="page"/>
      </w:r>
    </w:p>
    <w:p w14:paraId="1ED11270" w14:textId="77777777" w:rsidR="00EE6AF2" w:rsidRDefault="00F303A6">
      <w:pPr>
        <w:pStyle w:val="1"/>
      </w:pPr>
      <w:bookmarkStart w:id="6" w:name="参考文献"/>
      <w:bookmarkEnd w:id="5"/>
      <w:r>
        <w:lastRenderedPageBreak/>
        <w:t>参考文献</w:t>
      </w:r>
    </w:p>
    <w:p w14:paraId="55BD155F" w14:textId="77777777" w:rsidR="00EE6AF2" w:rsidRDefault="00F303A6">
      <w:pPr>
        <w:pStyle w:val="a7"/>
      </w:pPr>
      <w:bookmarkStart w:id="7" w:name="ref-AlLamki2010"/>
      <w:bookmarkStart w:id="8" w:name="refs"/>
      <w:r>
        <w:t xml:space="preserve">Al-Lamki RS, Sadler TJ, Wang J, Reid MJ, Warren AY, Movassagh M, Lu W, Mills IG, Neal DE, Burge J, Vandenebeele P, Pober JS, Bradley JR. 2010. </w:t>
      </w:r>
      <w:hyperlink r:id="rId7">
        <w:r>
          <w:rPr>
            <w:rStyle w:val="ad"/>
          </w:rPr>
          <w:t>Tumor necrosis factor receptor expression and signa</w:t>
        </w:r>
        <w:r>
          <w:rPr>
            <w:rStyle w:val="ad"/>
          </w:rPr>
          <w:t>ling in renal cell carcinoma</w:t>
        </w:r>
      </w:hyperlink>
      <w:r>
        <w:t>. The American Journal of Pathology 177: 943–954.</w:t>
      </w:r>
    </w:p>
    <w:p w14:paraId="51E9D0AD" w14:textId="77777777" w:rsidR="00EE6AF2" w:rsidRDefault="00F303A6">
      <w:pPr>
        <w:pStyle w:val="a7"/>
      </w:pPr>
      <w:bookmarkStart w:id="9" w:name="ref-Bao2022-rz"/>
      <w:bookmarkEnd w:id="7"/>
      <w:r>
        <w:t>Bao J-H, Li J-B, Lin H-S, Zhang W-J, Guo B-Y, Li J-J, Fu L-M, Sun Y-P. 2022. Deciphering a novel necroptosis-related miRNA signature for predicting the prognosis of clear cell re</w:t>
      </w:r>
      <w:r>
        <w:t>nal carcinoma. Anal. Cell. Pathol. (Amst.) 2022: 2721005.</w:t>
      </w:r>
    </w:p>
    <w:p w14:paraId="11F75DA8" w14:textId="77777777" w:rsidR="00EE6AF2" w:rsidRDefault="00F303A6">
      <w:pPr>
        <w:pStyle w:val="a7"/>
      </w:pPr>
      <w:bookmarkStart w:id="10" w:name="ref-DArcy2019"/>
      <w:bookmarkEnd w:id="9"/>
      <w:r>
        <w:t xml:space="preserve">D’Arcy MS. 2019. </w:t>
      </w:r>
      <w:hyperlink r:id="rId8">
        <w:r>
          <w:rPr>
            <w:rStyle w:val="ad"/>
          </w:rPr>
          <w:t>Cell death: A review of the major forms of apoptosis, necrosis and autophagy</w:t>
        </w:r>
      </w:hyperlink>
      <w:r>
        <w:t>. Cell Biology International 43: 582–592.</w:t>
      </w:r>
    </w:p>
    <w:p w14:paraId="59D0C395" w14:textId="77777777" w:rsidR="00EE6AF2" w:rsidRDefault="00F303A6">
      <w:pPr>
        <w:pStyle w:val="a7"/>
      </w:pPr>
      <w:bookmarkStart w:id="11" w:name="ref-Einollahi2012"/>
      <w:bookmarkEnd w:id="10"/>
      <w:r>
        <w:t>Einollahi</w:t>
      </w:r>
      <w:r>
        <w:t xml:space="preserve"> B. 2012. </w:t>
      </w:r>
      <w:hyperlink r:id="rId9">
        <w:r>
          <w:rPr>
            <w:rStyle w:val="ad"/>
          </w:rPr>
          <w:t>Malignancy after kidney transplantation</w:t>
        </w:r>
      </w:hyperlink>
      <w:r>
        <w:t>. Annals of Transplantation 17: 145–146.</w:t>
      </w:r>
    </w:p>
    <w:p w14:paraId="38EC04E5" w14:textId="77777777" w:rsidR="00EE6AF2" w:rsidRDefault="00F303A6">
      <w:pPr>
        <w:pStyle w:val="a7"/>
      </w:pPr>
      <w:bookmarkStart w:id="12" w:name="ref-Fu2022-md"/>
      <w:bookmarkEnd w:id="11"/>
      <w:r>
        <w:t xml:space="preserve">Fu L, Bao J, Li J, Li Q, Lin H, Zhou Y, Li J, Yan Y, Langston ME, Sun T, Guo S, Zhou X, Chen Y, Liu Y, Zhao Y, </w:t>
      </w:r>
      <w:r>
        <w:t>Lu J, Huang Y, Chen W, Chung BI, Luo J. 2022. Crosstalk of necroptosis and pyroptosis defines tumor microenvironment characterization and predicts prognosis in clear cell renal carcinoma. Front. Immunol. 13: 1021935.</w:t>
      </w:r>
    </w:p>
    <w:p w14:paraId="51848FE5" w14:textId="77777777" w:rsidR="00EE6AF2" w:rsidRDefault="00F303A6">
      <w:pPr>
        <w:pStyle w:val="a7"/>
      </w:pPr>
      <w:bookmarkStart w:id="13" w:name="ref-Wang2013"/>
      <w:bookmarkEnd w:id="12"/>
      <w:r>
        <w:t xml:space="preserve">Wang J, Al-Lamki RS. 2013. </w:t>
      </w:r>
      <w:hyperlink r:id="rId10">
        <w:r>
          <w:rPr>
            <w:rStyle w:val="ad"/>
          </w:rPr>
          <w:t>Tumor necrosis factor receptor 2: Its contribution to acute cellular rejection and clear cell renal carcinoma</w:t>
        </w:r>
      </w:hyperlink>
      <w:r>
        <w:t>. BioMed Research International 2013: 1–11.</w:t>
      </w:r>
    </w:p>
    <w:p w14:paraId="659121B3" w14:textId="77777777" w:rsidR="00EE6AF2" w:rsidRDefault="00F303A6">
      <w:pPr>
        <w:pStyle w:val="a7"/>
      </w:pPr>
      <w:bookmarkStart w:id="14" w:name="ref-Zhang2022"/>
      <w:bookmarkEnd w:id="13"/>
      <w:r>
        <w:t xml:space="preserve">Zhang Q, Zhu Z, Guan J, Zheng C. 2022. </w:t>
      </w:r>
      <w:hyperlink r:id="rId11">
        <w:r>
          <w:rPr>
            <w:rStyle w:val="ad"/>
          </w:rPr>
          <w:t>Identification and assessment of necroptosis-related genes in clinical prognosis and immune cells in diffuse large b-cell lymphoma</w:t>
        </w:r>
      </w:hyperlink>
      <w:r>
        <w:t>. Frontiers in Oncology 12.</w:t>
      </w:r>
      <w:bookmarkEnd w:id="6"/>
      <w:bookmarkEnd w:id="8"/>
      <w:bookmarkEnd w:id="14"/>
    </w:p>
    <w:sectPr w:rsidR="00EE6AF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70D4" w14:textId="77777777" w:rsidR="00000000" w:rsidRDefault="00F303A6">
      <w:pPr>
        <w:spacing w:after="0"/>
      </w:pPr>
      <w:r>
        <w:separator/>
      </w:r>
    </w:p>
  </w:endnote>
  <w:endnote w:type="continuationSeparator" w:id="0">
    <w:p w14:paraId="211C354C" w14:textId="77777777" w:rsidR="00000000" w:rsidRDefault="00F30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C43F" w14:textId="77777777" w:rsidR="00EE6AF2" w:rsidRDefault="00F303A6">
      <w:r>
        <w:separator/>
      </w:r>
    </w:p>
  </w:footnote>
  <w:footnote w:type="continuationSeparator" w:id="0">
    <w:p w14:paraId="73AC6BB0" w14:textId="77777777" w:rsidR="00EE6AF2" w:rsidRDefault="00F30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A2D2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CECC24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6AF2"/>
    <w:rsid w:val="00203CD3"/>
    <w:rsid w:val="00EE6AF2"/>
    <w:rsid w:val="00F303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130E"/>
  <w15:docId w15:val="{D9AAE6D1-2B95-4AB8-99A7-27B73D94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cbin.111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353/ajpath.2010.0912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onc.2022.904614" TargetMode="External"/><Relationship Id="rId5" Type="http://schemas.openxmlformats.org/officeDocument/2006/relationships/footnotes" Target="footnotes.xml"/><Relationship Id="rId10" Type="http://schemas.openxmlformats.org/officeDocument/2006/relationships/hyperlink" Target="https://doi.org/10.1155/2013/821310" TargetMode="External"/><Relationship Id="rId4" Type="http://schemas.openxmlformats.org/officeDocument/2006/relationships/webSettings" Target="webSettings.xml"/><Relationship Id="rId9" Type="http://schemas.openxmlformats.org/officeDocument/2006/relationships/hyperlink" Target="https://doi.org/10.12659/aot.88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坏死性调亡与肾癌</dc:title>
  <dc:creator/>
  <cp:keywords/>
  <cp:lastModifiedBy>an</cp:lastModifiedBy>
  <cp:revision>3</cp:revision>
  <dcterms:created xsi:type="dcterms:W3CDTF">2024-05-27T07:36:00Z</dcterms:created>
  <dcterms:modified xsi:type="dcterms:W3CDTF">2024-05-27T07:37:00Z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RCC.bib</vt:lpwstr>
  </property>
  <property fmtid="{D5CDD505-2E9C-101B-9397-08002B2CF9AE}" pid="4" name="csl">
    <vt:lpwstr>/home/yincy/styles/american-journal-of-medical-genetics.csl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True</vt:lpwstr>
  </property>
  <property fmtid="{D5CDD505-2E9C-101B-9397-08002B2CF9AE}" pid="11" name="number-depth">
    <vt:lpwstr>3</vt:lpwstr>
  </property>
  <property fmtid="{D5CDD505-2E9C-101B-9397-08002B2CF9AE}" pid="12" name="toc-title">
    <vt:lpwstr>Table of contents</vt:lpwstr>
  </property>
</Properties>
</file>