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18AFD" w14:textId="77777777" w:rsidR="0039360D" w:rsidRDefault="00BE194B">
      <w:pPr>
        <w:pStyle w:val="a4"/>
        <w:rPr>
          <w:lang w:eastAsia="zh-CN"/>
        </w:rPr>
      </w:pPr>
      <w:r>
        <w:rPr>
          <w:lang w:eastAsia="zh-CN"/>
        </w:rPr>
        <w:t>代谢重编程与胰腺癌转移</w:t>
      </w:r>
    </w:p>
    <w:p w14:paraId="71CDE05A" w14:textId="77777777" w:rsidR="0039360D" w:rsidRDefault="00BE194B">
      <w:pPr>
        <w:pStyle w:val="1"/>
        <w:rPr>
          <w:lang w:eastAsia="zh-CN"/>
        </w:rPr>
      </w:pPr>
      <w:bookmarkStart w:id="0" w:name="背景"/>
      <w:r>
        <w:rPr>
          <w:lang w:eastAsia="zh-CN"/>
        </w:rPr>
        <w:t xml:space="preserve">1. </w:t>
      </w:r>
      <w:r>
        <w:rPr>
          <w:lang w:eastAsia="zh-CN"/>
        </w:rPr>
        <w:t>背景</w:t>
      </w:r>
    </w:p>
    <w:p w14:paraId="0224D1BD" w14:textId="77777777" w:rsidR="0039360D" w:rsidRDefault="00BE194B">
      <w:pPr>
        <w:pStyle w:val="FirstParagraph"/>
        <w:rPr>
          <w:lang w:eastAsia="zh-CN"/>
        </w:rPr>
      </w:pPr>
      <w:r>
        <w:rPr>
          <w:lang w:eastAsia="zh-CN"/>
        </w:rPr>
        <w:t>胰腺癌属于消化系统肿瘤，虽然其发病率不高但是死亡率却是所有肿瘤中最高的，</w:t>
      </w:r>
      <w:r>
        <w:rPr>
          <w:lang w:eastAsia="zh-CN"/>
        </w:rPr>
        <w:t>5</w:t>
      </w:r>
      <w:r>
        <w:rPr>
          <w:lang w:eastAsia="zh-CN"/>
        </w:rPr>
        <w:t>年生存率不足</w:t>
      </w:r>
      <w:r>
        <w:rPr>
          <w:lang w:eastAsia="zh-CN"/>
        </w:rPr>
        <w:t>5%[</w:t>
      </w:r>
      <w:hyperlink w:anchor="ref-Cohen2015">
        <w:r>
          <w:rPr>
            <w:rStyle w:val="ad"/>
            <w:lang w:eastAsia="zh-CN"/>
          </w:rPr>
          <w:t>Cohen et al., 2015</w:t>
        </w:r>
      </w:hyperlink>
      <w:r>
        <w:rPr>
          <w:lang w:eastAsia="zh-CN"/>
        </w:rPr>
        <w:t>]</w:t>
      </w:r>
      <w:r>
        <w:rPr>
          <w:lang w:eastAsia="zh-CN"/>
        </w:rPr>
        <w:t>。究其原因主要是胰腺癌早期症状不明显，当前的早期筛查费用比较贵，在确诊时绝大多数患者都已处于晚期</w:t>
      </w:r>
      <w:r>
        <w:rPr>
          <w:lang w:eastAsia="zh-CN"/>
        </w:rPr>
        <w:t>[</w:t>
      </w:r>
      <w:proofErr w:type="spellStart"/>
      <w:r>
        <w:fldChar w:fldCharType="begin"/>
      </w:r>
      <w:r>
        <w:rPr>
          <w:lang w:eastAsia="zh-CN"/>
        </w:rPr>
        <w:instrText xml:space="preserve"> HYPERLINK \l "ref-Vareedayah2018-xv" \h </w:instrText>
      </w:r>
      <w:r>
        <w:fldChar w:fldCharType="separate"/>
      </w:r>
      <w:r>
        <w:rPr>
          <w:rStyle w:val="ad"/>
          <w:lang w:eastAsia="zh-CN"/>
        </w:rPr>
        <w:t>Vareedayah</w:t>
      </w:r>
      <w:proofErr w:type="spellEnd"/>
      <w:r>
        <w:rPr>
          <w:rStyle w:val="ad"/>
          <w:lang w:eastAsia="zh-CN"/>
        </w:rPr>
        <w:t xml:space="preserve"> et al., 2018</w:t>
      </w:r>
      <w:r>
        <w:rPr>
          <w:rStyle w:val="ad"/>
        </w:rPr>
        <w:fldChar w:fldCharType="end"/>
      </w:r>
      <w:r>
        <w:rPr>
          <w:lang w:eastAsia="zh-CN"/>
        </w:rPr>
        <w:t>]</w:t>
      </w:r>
      <w:r>
        <w:rPr>
          <w:lang w:eastAsia="zh-CN"/>
        </w:rPr>
        <w:t>。上个世纪</w:t>
      </w:r>
      <w:r>
        <w:rPr>
          <w:lang w:eastAsia="zh-CN"/>
        </w:rPr>
        <w:t>20</w:t>
      </w:r>
      <w:r>
        <w:rPr>
          <w:lang w:eastAsia="zh-CN"/>
        </w:rPr>
        <w:t>年代</w:t>
      </w:r>
      <w:r>
        <w:rPr>
          <w:lang w:eastAsia="zh-CN"/>
        </w:rPr>
        <w:t>Otto Warburg</w:t>
      </w:r>
      <w:r>
        <w:rPr>
          <w:lang w:eastAsia="zh-CN"/>
        </w:rPr>
        <w:t>发现在分裂旺盛的肿瘤组织中细胞摄取葡萄糖的速率增加，但是代谢上却主要使用糖酵解而非氧化磷酸化为细胞提供能量，这一现象称为瓦格博效应。在</w:t>
      </w:r>
      <w:r>
        <w:rPr>
          <w:lang w:eastAsia="zh-CN"/>
        </w:rPr>
        <w:t>PDAC</w:t>
      </w:r>
      <w:r>
        <w:rPr>
          <w:lang w:eastAsia="zh-CN"/>
        </w:rPr>
        <w:t>患者中发现</w:t>
      </w:r>
      <w:r>
        <w:rPr>
          <w:lang w:eastAsia="zh-CN"/>
        </w:rPr>
        <w:t>90%</w:t>
      </w:r>
      <w:r>
        <w:rPr>
          <w:lang w:eastAsia="zh-CN"/>
        </w:rPr>
        <w:t>的患者都带有</w:t>
      </w:r>
      <w:r>
        <w:rPr>
          <w:lang w:eastAsia="zh-CN"/>
        </w:rPr>
        <w:t>KRAS</w:t>
      </w:r>
      <w:r>
        <w:rPr>
          <w:lang w:eastAsia="zh-CN"/>
        </w:rPr>
        <w:t>突变，而研究发现</w:t>
      </w:r>
      <w:r>
        <w:rPr>
          <w:lang w:eastAsia="zh-CN"/>
        </w:rPr>
        <w:t>KRAS</w:t>
      </w:r>
      <w:r>
        <w:rPr>
          <w:lang w:eastAsia="zh-CN"/>
        </w:rPr>
        <w:t>突变能够促进</w:t>
      </w:r>
      <w:r>
        <w:rPr>
          <w:lang w:eastAsia="zh-CN"/>
        </w:rPr>
        <w:t>PDAC</w:t>
      </w:r>
      <w:r>
        <w:rPr>
          <w:lang w:eastAsia="zh-CN"/>
        </w:rPr>
        <w:t>代谢重编程、促进</w:t>
      </w:r>
      <w:r>
        <w:rPr>
          <w:lang w:eastAsia="zh-CN"/>
        </w:rPr>
        <w:t>PDAC</w:t>
      </w:r>
      <w:r>
        <w:rPr>
          <w:lang w:eastAsia="zh-CN"/>
        </w:rPr>
        <w:t>葡萄糖转运体和六磷酸葡萄糖激酶的表达，进而促进糖酵解过程</w:t>
      </w:r>
      <w:r>
        <w:rPr>
          <w:lang w:eastAsia="zh-CN"/>
        </w:rPr>
        <w:t>[</w:t>
      </w:r>
      <w:hyperlink w:anchor="ref-Cohen2015">
        <w:r>
          <w:rPr>
            <w:rStyle w:val="ad"/>
            <w:lang w:eastAsia="zh-CN"/>
          </w:rPr>
          <w:t>Cohen et al., 2015</w:t>
        </w:r>
      </w:hyperlink>
      <w:r>
        <w:rPr>
          <w:lang w:eastAsia="zh-CN"/>
        </w:rPr>
        <w:t>]</w:t>
      </w:r>
      <w:r>
        <w:rPr>
          <w:lang w:eastAsia="zh-CN"/>
        </w:rPr>
        <w:t>。类似地</w:t>
      </w:r>
      <w:r>
        <w:rPr>
          <w:lang w:eastAsia="zh-CN"/>
        </w:rPr>
        <w:t>研究也发现</w:t>
      </w:r>
      <w:r>
        <w:rPr>
          <w:lang w:eastAsia="zh-CN"/>
        </w:rPr>
        <w:t>TP53</w:t>
      </w:r>
      <w:r>
        <w:rPr>
          <w:lang w:eastAsia="zh-CN"/>
        </w:rPr>
        <w:t>突变也能够促进</w:t>
      </w:r>
      <w:r>
        <w:rPr>
          <w:lang w:eastAsia="zh-CN"/>
        </w:rPr>
        <w:t>PDAC</w:t>
      </w:r>
      <w:r>
        <w:rPr>
          <w:lang w:eastAsia="zh-CN"/>
        </w:rPr>
        <w:t>代谢重编程。但是这些突变信息不是很容易得获得，因此并不能作为早期筛查</w:t>
      </w:r>
      <w:r>
        <w:rPr>
          <w:lang w:eastAsia="zh-CN"/>
        </w:rPr>
        <w:t>PDAC</w:t>
      </w:r>
      <w:r>
        <w:rPr>
          <w:lang w:eastAsia="zh-CN"/>
        </w:rPr>
        <w:t>的标志物。</w:t>
      </w:r>
    </w:p>
    <w:p w14:paraId="598EE8A5" w14:textId="77777777" w:rsidR="0039360D" w:rsidRDefault="00BE194B">
      <w:pPr>
        <w:pStyle w:val="1"/>
      </w:pPr>
      <w:bookmarkStart w:id="1" w:name="数据"/>
      <w:bookmarkEnd w:id="0"/>
      <w:r>
        <w:t xml:space="preserve">2. </w:t>
      </w:r>
      <w:proofErr w:type="spellStart"/>
      <w:r>
        <w:t>数据</w:t>
      </w:r>
      <w:proofErr w:type="spellEnd"/>
    </w:p>
    <w:p w14:paraId="5A7FE97E" w14:textId="77777777" w:rsidR="0039360D" w:rsidRDefault="00BE194B">
      <w:pPr>
        <w:pStyle w:val="2"/>
      </w:pPr>
      <w:bookmarkStart w:id="2" w:name="胰腺癌测序数据"/>
      <w:r>
        <w:t xml:space="preserve">2.1 </w:t>
      </w:r>
      <w:r>
        <w:t>胰腺癌测序数据</w:t>
      </w:r>
    </w:p>
    <w:tbl>
      <w:tblPr>
        <w:tblStyle w:val="Table"/>
        <w:tblW w:w="5000" w:type="pct"/>
        <w:tblLayout w:type="fixed"/>
        <w:tblLook w:val="0020" w:firstRow="1" w:lastRow="0" w:firstColumn="0" w:lastColumn="0" w:noHBand="0" w:noVBand="0"/>
      </w:tblPr>
      <w:tblGrid>
        <w:gridCol w:w="1526"/>
        <w:gridCol w:w="1143"/>
        <w:gridCol w:w="1334"/>
        <w:gridCol w:w="3335"/>
        <w:gridCol w:w="1518"/>
      </w:tblGrid>
      <w:tr w:rsidR="0039360D" w14:paraId="458DE786" w14:textId="77777777" w:rsidTr="00BE194B">
        <w:trPr>
          <w:cnfStyle w:val="100000000000" w:firstRow="1" w:lastRow="0" w:firstColumn="0" w:lastColumn="0" w:oddVBand="0" w:evenVBand="0" w:oddHBand="0" w:evenHBand="0" w:firstRowFirstColumn="0" w:firstRowLastColumn="0" w:lastRowFirstColumn="0" w:lastRowLastColumn="0"/>
          <w:tblHeader/>
        </w:trPr>
        <w:tc>
          <w:tcPr>
            <w:tcW w:w="1526" w:type="dxa"/>
          </w:tcPr>
          <w:p w14:paraId="782D78A9" w14:textId="77777777" w:rsidR="0039360D" w:rsidRDefault="00BE194B">
            <w:pPr>
              <w:pStyle w:val="Compact"/>
            </w:pPr>
            <w:r>
              <w:t>Dataset ID</w:t>
            </w:r>
          </w:p>
        </w:tc>
        <w:tc>
          <w:tcPr>
            <w:tcW w:w="1143" w:type="dxa"/>
          </w:tcPr>
          <w:p w14:paraId="037AEF33" w14:textId="77777777" w:rsidR="0039360D" w:rsidRDefault="00BE194B">
            <w:pPr>
              <w:pStyle w:val="Compact"/>
            </w:pPr>
            <w:r>
              <w:t>样本类型</w:t>
            </w:r>
          </w:p>
        </w:tc>
        <w:tc>
          <w:tcPr>
            <w:tcW w:w="1334" w:type="dxa"/>
          </w:tcPr>
          <w:p w14:paraId="1E371820" w14:textId="77777777" w:rsidR="0039360D" w:rsidRDefault="00BE194B">
            <w:pPr>
              <w:pStyle w:val="Compact"/>
            </w:pPr>
            <w:r>
              <w:t>样本数</w:t>
            </w:r>
          </w:p>
        </w:tc>
        <w:tc>
          <w:tcPr>
            <w:tcW w:w="3335" w:type="dxa"/>
          </w:tcPr>
          <w:p w14:paraId="42A537A0" w14:textId="77777777" w:rsidR="0039360D" w:rsidRDefault="00BE194B">
            <w:pPr>
              <w:pStyle w:val="Compact"/>
            </w:pPr>
            <w:r>
              <w:t>样本特征</w:t>
            </w:r>
          </w:p>
        </w:tc>
        <w:tc>
          <w:tcPr>
            <w:tcW w:w="1518" w:type="dxa"/>
          </w:tcPr>
          <w:p w14:paraId="5753D136" w14:textId="77777777" w:rsidR="0039360D" w:rsidRDefault="00BE194B">
            <w:pPr>
              <w:pStyle w:val="Compact"/>
            </w:pPr>
            <w:r>
              <w:t>数据类型</w:t>
            </w:r>
          </w:p>
        </w:tc>
      </w:tr>
      <w:tr w:rsidR="0039360D" w14:paraId="3DA30482" w14:textId="77777777" w:rsidTr="00BE194B">
        <w:tc>
          <w:tcPr>
            <w:tcW w:w="1526" w:type="dxa"/>
          </w:tcPr>
          <w:p w14:paraId="6FF7D086" w14:textId="77777777" w:rsidR="0039360D" w:rsidRDefault="00BE194B">
            <w:pPr>
              <w:pStyle w:val="Compact"/>
            </w:pPr>
            <w:r>
              <w:rPr>
                <w:i/>
                <w:iCs/>
              </w:rPr>
              <w:t>GSE253260</w:t>
            </w:r>
          </w:p>
        </w:tc>
        <w:tc>
          <w:tcPr>
            <w:tcW w:w="1143" w:type="dxa"/>
          </w:tcPr>
          <w:p w14:paraId="1107A483" w14:textId="77777777" w:rsidR="0039360D" w:rsidRDefault="00BE194B">
            <w:pPr>
              <w:pStyle w:val="Compact"/>
            </w:pPr>
            <w:r>
              <w:t>组织</w:t>
            </w:r>
          </w:p>
        </w:tc>
        <w:tc>
          <w:tcPr>
            <w:tcW w:w="1334" w:type="dxa"/>
          </w:tcPr>
          <w:p w14:paraId="6D3EE491" w14:textId="77777777" w:rsidR="0039360D" w:rsidRDefault="00BE194B">
            <w:pPr>
              <w:pStyle w:val="Compact"/>
            </w:pPr>
            <w:r>
              <w:t>397</w:t>
            </w:r>
          </w:p>
        </w:tc>
        <w:tc>
          <w:tcPr>
            <w:tcW w:w="3335" w:type="dxa"/>
          </w:tcPr>
          <w:p w14:paraId="20D38A9C" w14:textId="77777777" w:rsidR="0039360D" w:rsidRDefault="00BE194B">
            <w:pPr>
              <w:pStyle w:val="Compact"/>
              <w:rPr>
                <w:lang w:eastAsia="zh-CN"/>
              </w:rPr>
            </w:pPr>
            <w:r>
              <w:rPr>
                <w:lang w:eastAsia="zh-CN"/>
              </w:rPr>
              <w:t>106</w:t>
            </w:r>
            <w:r>
              <w:rPr>
                <w:lang w:eastAsia="zh-CN"/>
              </w:rPr>
              <w:t>个转移样本和</w:t>
            </w:r>
            <w:r>
              <w:rPr>
                <w:lang w:eastAsia="zh-CN"/>
              </w:rPr>
              <w:t>291</w:t>
            </w:r>
            <w:r>
              <w:rPr>
                <w:lang w:eastAsia="zh-CN"/>
              </w:rPr>
              <w:t>个胰腺癌样本</w:t>
            </w:r>
          </w:p>
        </w:tc>
        <w:tc>
          <w:tcPr>
            <w:tcW w:w="1518" w:type="dxa"/>
          </w:tcPr>
          <w:p w14:paraId="6E7946EE" w14:textId="77777777" w:rsidR="0039360D" w:rsidRDefault="00BE194B">
            <w:pPr>
              <w:pStyle w:val="Compact"/>
            </w:pPr>
            <w:r>
              <w:t xml:space="preserve">bulk </w:t>
            </w:r>
            <w:proofErr w:type="spellStart"/>
            <w:r>
              <w:t>RNAseq</w:t>
            </w:r>
            <w:proofErr w:type="spellEnd"/>
          </w:p>
        </w:tc>
      </w:tr>
      <w:tr w:rsidR="0039360D" w14:paraId="27619701" w14:textId="77777777" w:rsidTr="00BE194B">
        <w:tc>
          <w:tcPr>
            <w:tcW w:w="1526" w:type="dxa"/>
          </w:tcPr>
          <w:p w14:paraId="31F0C65F" w14:textId="77777777" w:rsidR="0039360D" w:rsidRDefault="00BE194B">
            <w:pPr>
              <w:pStyle w:val="Compact"/>
            </w:pPr>
            <w:r>
              <w:t>GSE77858</w:t>
            </w:r>
          </w:p>
        </w:tc>
        <w:tc>
          <w:tcPr>
            <w:tcW w:w="1143" w:type="dxa"/>
          </w:tcPr>
          <w:p w14:paraId="7CF6E780" w14:textId="77777777" w:rsidR="0039360D" w:rsidRDefault="00BE194B">
            <w:pPr>
              <w:pStyle w:val="Compact"/>
            </w:pPr>
            <w:r>
              <w:t>组织</w:t>
            </w:r>
          </w:p>
        </w:tc>
        <w:tc>
          <w:tcPr>
            <w:tcW w:w="1334" w:type="dxa"/>
          </w:tcPr>
          <w:p w14:paraId="271C1429" w14:textId="77777777" w:rsidR="0039360D" w:rsidRDefault="00BE194B">
            <w:pPr>
              <w:pStyle w:val="Compact"/>
            </w:pPr>
            <w:r>
              <w:t>85</w:t>
            </w:r>
          </w:p>
        </w:tc>
        <w:tc>
          <w:tcPr>
            <w:tcW w:w="3335" w:type="dxa"/>
          </w:tcPr>
          <w:p w14:paraId="7B3E29B4" w14:textId="77777777" w:rsidR="0039360D" w:rsidRDefault="00BE194B">
            <w:pPr>
              <w:pStyle w:val="Compact"/>
              <w:rPr>
                <w:lang w:eastAsia="zh-CN"/>
              </w:rPr>
            </w:pPr>
            <w:r>
              <w:rPr>
                <w:lang w:eastAsia="zh-CN"/>
              </w:rPr>
              <w:t>77</w:t>
            </w:r>
            <w:r>
              <w:rPr>
                <w:lang w:eastAsia="zh-CN"/>
              </w:rPr>
              <w:t>个胰腺癌样本，</w:t>
            </w:r>
            <w:r>
              <w:rPr>
                <w:lang w:eastAsia="zh-CN"/>
              </w:rPr>
              <w:t>3</w:t>
            </w:r>
            <w:r>
              <w:rPr>
                <w:lang w:eastAsia="zh-CN"/>
              </w:rPr>
              <w:t>个正常胰腺样本，</w:t>
            </w:r>
            <w:r>
              <w:rPr>
                <w:lang w:eastAsia="zh-CN"/>
              </w:rPr>
              <w:t>5</w:t>
            </w:r>
            <w:r>
              <w:rPr>
                <w:lang w:eastAsia="zh-CN"/>
              </w:rPr>
              <w:t>个胰腺炎样本</w:t>
            </w:r>
          </w:p>
        </w:tc>
        <w:tc>
          <w:tcPr>
            <w:tcW w:w="1518" w:type="dxa"/>
          </w:tcPr>
          <w:p w14:paraId="1AD2E32B" w14:textId="77777777" w:rsidR="0039360D" w:rsidRDefault="00BE194B">
            <w:pPr>
              <w:pStyle w:val="Compact"/>
            </w:pPr>
            <w:r>
              <w:t>microarray</w:t>
            </w:r>
          </w:p>
        </w:tc>
      </w:tr>
      <w:tr w:rsidR="0039360D" w14:paraId="26A98C30" w14:textId="77777777" w:rsidTr="00BE194B">
        <w:tc>
          <w:tcPr>
            <w:tcW w:w="1526" w:type="dxa"/>
          </w:tcPr>
          <w:p w14:paraId="65EAC58C" w14:textId="77777777" w:rsidR="0039360D" w:rsidRDefault="00BE194B">
            <w:pPr>
              <w:pStyle w:val="Compact"/>
            </w:pPr>
            <w:r>
              <w:rPr>
                <w:i/>
                <w:iCs/>
              </w:rPr>
              <w:t>GSE263733</w:t>
            </w:r>
          </w:p>
        </w:tc>
        <w:tc>
          <w:tcPr>
            <w:tcW w:w="1143" w:type="dxa"/>
          </w:tcPr>
          <w:p w14:paraId="7AA970EF" w14:textId="77777777" w:rsidR="0039360D" w:rsidRDefault="00BE194B">
            <w:pPr>
              <w:pStyle w:val="Compact"/>
            </w:pPr>
            <w:r>
              <w:t>组织</w:t>
            </w:r>
          </w:p>
        </w:tc>
        <w:tc>
          <w:tcPr>
            <w:tcW w:w="1334" w:type="dxa"/>
          </w:tcPr>
          <w:p w14:paraId="515E824D" w14:textId="77777777" w:rsidR="0039360D" w:rsidRDefault="00BE194B">
            <w:pPr>
              <w:pStyle w:val="Compact"/>
            </w:pPr>
            <w:r>
              <w:t>218</w:t>
            </w:r>
          </w:p>
        </w:tc>
        <w:tc>
          <w:tcPr>
            <w:tcW w:w="3335" w:type="dxa"/>
          </w:tcPr>
          <w:p w14:paraId="31B99904" w14:textId="77777777" w:rsidR="0039360D" w:rsidRDefault="00BE194B">
            <w:pPr>
              <w:pStyle w:val="Compact"/>
              <w:rPr>
                <w:lang w:eastAsia="zh-CN"/>
              </w:rPr>
            </w:pPr>
            <w:r>
              <w:rPr>
                <w:lang w:eastAsia="zh-CN"/>
              </w:rPr>
              <w:t>175</w:t>
            </w:r>
            <w:r>
              <w:rPr>
                <w:lang w:eastAsia="zh-CN"/>
              </w:rPr>
              <w:t>胰腺癌样本和</w:t>
            </w:r>
            <w:r>
              <w:rPr>
                <w:lang w:eastAsia="zh-CN"/>
              </w:rPr>
              <w:t>43</w:t>
            </w:r>
            <w:r>
              <w:rPr>
                <w:lang w:eastAsia="zh-CN"/>
              </w:rPr>
              <w:t>个肝转移样本</w:t>
            </w:r>
          </w:p>
        </w:tc>
        <w:tc>
          <w:tcPr>
            <w:tcW w:w="1518" w:type="dxa"/>
          </w:tcPr>
          <w:p w14:paraId="38300E83" w14:textId="77777777" w:rsidR="0039360D" w:rsidRDefault="00BE194B">
            <w:pPr>
              <w:pStyle w:val="Compact"/>
            </w:pPr>
            <w:r>
              <w:t>single cell</w:t>
            </w:r>
          </w:p>
        </w:tc>
      </w:tr>
      <w:tr w:rsidR="0039360D" w14:paraId="4705112D" w14:textId="77777777" w:rsidTr="00BE194B">
        <w:tc>
          <w:tcPr>
            <w:tcW w:w="1526" w:type="dxa"/>
          </w:tcPr>
          <w:p w14:paraId="5173C3AF" w14:textId="77777777" w:rsidR="0039360D" w:rsidRDefault="00BE194B">
            <w:pPr>
              <w:pStyle w:val="Compact"/>
            </w:pPr>
            <w:r>
              <w:t>GSE79668</w:t>
            </w:r>
          </w:p>
        </w:tc>
        <w:tc>
          <w:tcPr>
            <w:tcW w:w="1143" w:type="dxa"/>
          </w:tcPr>
          <w:p w14:paraId="6126FDE5" w14:textId="77777777" w:rsidR="0039360D" w:rsidRDefault="00BE194B">
            <w:pPr>
              <w:pStyle w:val="Compact"/>
            </w:pPr>
            <w:r>
              <w:t>组织</w:t>
            </w:r>
          </w:p>
        </w:tc>
        <w:tc>
          <w:tcPr>
            <w:tcW w:w="1334" w:type="dxa"/>
          </w:tcPr>
          <w:p w14:paraId="2FE7148E" w14:textId="77777777" w:rsidR="0039360D" w:rsidRDefault="00BE194B">
            <w:pPr>
              <w:pStyle w:val="Compact"/>
            </w:pPr>
            <w:r>
              <w:t>51</w:t>
            </w:r>
          </w:p>
        </w:tc>
        <w:tc>
          <w:tcPr>
            <w:tcW w:w="3335" w:type="dxa"/>
          </w:tcPr>
          <w:p w14:paraId="4F0C67AC" w14:textId="77777777" w:rsidR="0039360D" w:rsidRDefault="00BE194B">
            <w:pPr>
              <w:pStyle w:val="Compact"/>
            </w:pPr>
            <w:r>
              <w:t>胰腺癌组织</w:t>
            </w:r>
          </w:p>
        </w:tc>
        <w:tc>
          <w:tcPr>
            <w:tcW w:w="1518" w:type="dxa"/>
          </w:tcPr>
          <w:p w14:paraId="29F21464" w14:textId="77777777" w:rsidR="0039360D" w:rsidRDefault="00BE194B">
            <w:pPr>
              <w:pStyle w:val="Compact"/>
            </w:pPr>
            <w:r>
              <w:t>bulk RNAseq</w:t>
            </w:r>
          </w:p>
        </w:tc>
      </w:tr>
      <w:tr w:rsidR="0039360D" w14:paraId="6B32740F" w14:textId="77777777" w:rsidTr="00BE194B">
        <w:tc>
          <w:tcPr>
            <w:tcW w:w="1526" w:type="dxa"/>
          </w:tcPr>
          <w:p w14:paraId="2870C4D0" w14:textId="77777777" w:rsidR="0039360D" w:rsidRDefault="00BE194B">
            <w:pPr>
              <w:pStyle w:val="Compact"/>
            </w:pPr>
            <w:r>
              <w:rPr>
                <w:i/>
                <w:iCs/>
              </w:rPr>
              <w:t>TCGA-PAAD</w:t>
            </w:r>
          </w:p>
        </w:tc>
        <w:tc>
          <w:tcPr>
            <w:tcW w:w="1143" w:type="dxa"/>
          </w:tcPr>
          <w:p w14:paraId="093B34C2" w14:textId="77777777" w:rsidR="0039360D" w:rsidRDefault="00BE194B">
            <w:pPr>
              <w:pStyle w:val="Compact"/>
            </w:pPr>
            <w:r>
              <w:t>组织</w:t>
            </w:r>
          </w:p>
        </w:tc>
        <w:tc>
          <w:tcPr>
            <w:tcW w:w="1334" w:type="dxa"/>
          </w:tcPr>
          <w:p w14:paraId="3F63BE1C" w14:textId="77777777" w:rsidR="0039360D" w:rsidRDefault="00BE194B">
            <w:pPr>
              <w:pStyle w:val="Compact"/>
            </w:pPr>
            <w:r>
              <w:t>178</w:t>
            </w:r>
          </w:p>
        </w:tc>
        <w:tc>
          <w:tcPr>
            <w:tcW w:w="3335" w:type="dxa"/>
          </w:tcPr>
          <w:p w14:paraId="70810485" w14:textId="77777777" w:rsidR="0039360D" w:rsidRDefault="00BE194B">
            <w:pPr>
              <w:pStyle w:val="Compact"/>
            </w:pPr>
            <w:r>
              <w:t>胰腺癌组织</w:t>
            </w:r>
          </w:p>
        </w:tc>
        <w:tc>
          <w:tcPr>
            <w:tcW w:w="1518" w:type="dxa"/>
          </w:tcPr>
          <w:p w14:paraId="2097660B" w14:textId="77777777" w:rsidR="0039360D" w:rsidRDefault="00BE194B">
            <w:pPr>
              <w:pStyle w:val="Compact"/>
            </w:pPr>
            <w:r>
              <w:t>bulk RNAseq</w:t>
            </w:r>
          </w:p>
        </w:tc>
      </w:tr>
    </w:tbl>
    <w:p w14:paraId="099B48E8" w14:textId="77777777" w:rsidR="0039360D" w:rsidRDefault="00BE194B">
      <w:pPr>
        <w:pStyle w:val="1"/>
      </w:pPr>
      <w:bookmarkStart w:id="3" w:name="分析流程"/>
      <w:bookmarkEnd w:id="1"/>
      <w:bookmarkEnd w:id="2"/>
      <w:r>
        <w:t xml:space="preserve">3. </w:t>
      </w:r>
      <w:r>
        <w:t>分析流程</w:t>
      </w:r>
    </w:p>
    <w:p w14:paraId="25489DA9" w14:textId="77777777" w:rsidR="0039360D" w:rsidRDefault="00BE194B">
      <w:pPr>
        <w:pStyle w:val="FirstParagraph"/>
      </w:pPr>
      <w:r>
        <w:rPr>
          <w:b/>
          <w:bCs/>
        </w:rPr>
        <w:t>Figure1</w:t>
      </w:r>
      <w:r>
        <w:rPr>
          <w:b/>
          <w:bCs/>
        </w:rPr>
        <w:t>：</w:t>
      </w:r>
      <w:r>
        <w:t xml:space="preserve"> </w:t>
      </w:r>
      <w:r>
        <w:t>实验流程图。</w:t>
      </w:r>
    </w:p>
    <w:p w14:paraId="6DD52AC4" w14:textId="77777777" w:rsidR="0039360D" w:rsidRDefault="00BE194B">
      <w:pPr>
        <w:pStyle w:val="a0"/>
        <w:rPr>
          <w:lang w:eastAsia="zh-CN"/>
        </w:rPr>
      </w:pPr>
      <w:r>
        <w:rPr>
          <w:b/>
          <w:bCs/>
          <w:lang w:eastAsia="zh-CN"/>
        </w:rPr>
        <w:t>Figure2</w:t>
      </w:r>
      <w:r>
        <w:rPr>
          <w:b/>
          <w:bCs/>
          <w:lang w:eastAsia="zh-CN"/>
        </w:rPr>
        <w:t>：</w:t>
      </w:r>
      <w:r>
        <w:rPr>
          <w:lang w:eastAsia="zh-CN"/>
        </w:rPr>
        <w:t xml:space="preserve"> </w:t>
      </w:r>
      <w:r>
        <w:rPr>
          <w:lang w:eastAsia="zh-CN"/>
        </w:rPr>
        <w:t>合并</w:t>
      </w:r>
      <w:r>
        <w:rPr>
          <w:lang w:eastAsia="zh-CN"/>
        </w:rPr>
        <w:t>GSE253260</w:t>
      </w:r>
      <w:r>
        <w:rPr>
          <w:lang w:eastAsia="zh-CN"/>
        </w:rPr>
        <w:t>数据集中原位和转移样本的单细胞数据。绘制出降维后的</w:t>
      </w:r>
      <w:proofErr w:type="spellStart"/>
      <w:r>
        <w:rPr>
          <w:lang w:eastAsia="zh-CN"/>
        </w:rPr>
        <w:t>tSNE</w:t>
      </w:r>
      <w:proofErr w:type="spellEnd"/>
      <w:r>
        <w:rPr>
          <w:lang w:eastAsia="zh-CN"/>
        </w:rPr>
        <w:t>图。把肿瘤细胞提取出来重新降维聚类，把不同</w:t>
      </w:r>
      <w:r>
        <w:rPr>
          <w:lang w:eastAsia="zh-CN"/>
        </w:rPr>
        <w:t>cluster</w:t>
      </w:r>
      <w:r>
        <w:rPr>
          <w:lang w:eastAsia="zh-CN"/>
        </w:rPr>
        <w:t>按照原位肿瘤</w:t>
      </w:r>
      <w:r>
        <w:rPr>
          <w:lang w:eastAsia="zh-CN"/>
        </w:rPr>
        <w:lastRenderedPageBreak/>
        <w:t>和转移肿瘤的占比分为原位肿瘤群、转移肿瘤群和混合群。比较转移肿瘤群和原位肿瘤群并进行功能富集分析。取显著富集到的代谢相关的基因集与</w:t>
      </w:r>
      <w:r>
        <w:rPr>
          <w:lang w:eastAsia="zh-CN"/>
        </w:rPr>
        <w:t>GSE263733</w:t>
      </w:r>
      <w:r>
        <w:rPr>
          <w:lang w:eastAsia="zh-CN"/>
        </w:rPr>
        <w:t>表达基因的交集，称为</w:t>
      </w:r>
      <w:r>
        <w:rPr>
          <w:lang w:eastAsia="zh-CN"/>
        </w:rPr>
        <w:t>META_ACTIVE</w:t>
      </w:r>
      <w:r>
        <w:rPr>
          <w:lang w:eastAsia="zh-CN"/>
        </w:rPr>
        <w:t>基因集。对</w:t>
      </w:r>
      <w:r>
        <w:rPr>
          <w:lang w:eastAsia="zh-CN"/>
        </w:rPr>
        <w:t>METAD_ACTIVATE</w:t>
      </w:r>
      <w:r>
        <w:rPr>
          <w:lang w:eastAsia="zh-CN"/>
        </w:rPr>
        <w:t>基因集进行</w:t>
      </w:r>
      <w:r>
        <w:rPr>
          <w:lang w:eastAsia="zh-CN"/>
        </w:rPr>
        <w:t>GSEA</w:t>
      </w:r>
      <w:r>
        <w:rPr>
          <w:lang w:eastAsia="zh-CN"/>
        </w:rPr>
        <w:t>分析。使用</w:t>
      </w:r>
      <w:r>
        <w:rPr>
          <w:lang w:eastAsia="zh-CN"/>
        </w:rPr>
        <w:t>META_ACTIVE</w:t>
      </w:r>
      <w:r>
        <w:rPr>
          <w:lang w:eastAsia="zh-CN"/>
        </w:rPr>
        <w:t>基因集计算所有肿瘤细胞的</w:t>
      </w:r>
      <w:proofErr w:type="spellStart"/>
      <w:r>
        <w:rPr>
          <w:lang w:eastAsia="zh-CN"/>
        </w:rPr>
        <w:t>AUCell</w:t>
      </w:r>
      <w:proofErr w:type="spellEnd"/>
      <w:r>
        <w:rPr>
          <w:lang w:eastAsia="zh-CN"/>
        </w:rPr>
        <w:t xml:space="preserve"> Score</w:t>
      </w:r>
      <w:r>
        <w:rPr>
          <w:lang w:eastAsia="zh-CN"/>
        </w:rPr>
        <w:t>，选择一个临界值把所有的肿瘤细胞分</w:t>
      </w:r>
      <w:r>
        <w:rPr>
          <w:lang w:eastAsia="zh-CN"/>
        </w:rPr>
        <w:t>ME</w:t>
      </w:r>
      <w:r>
        <w:rPr>
          <w:lang w:eastAsia="zh-CN"/>
        </w:rPr>
        <w:t xml:space="preserve">TA-active </w:t>
      </w:r>
      <w:r>
        <w:rPr>
          <w:lang w:eastAsia="zh-CN"/>
        </w:rPr>
        <w:t>和</w:t>
      </w:r>
      <w:r>
        <w:rPr>
          <w:lang w:eastAsia="zh-CN"/>
        </w:rPr>
        <w:t>META-silent</w:t>
      </w:r>
      <w:r>
        <w:rPr>
          <w:lang w:eastAsia="zh-CN"/>
        </w:rPr>
        <w:t>两群。使用</w:t>
      </w:r>
      <w:proofErr w:type="spellStart"/>
      <w:r>
        <w:rPr>
          <w:lang w:eastAsia="zh-CN"/>
        </w:rPr>
        <w:t>CIBERSORTx</w:t>
      </w:r>
      <w:proofErr w:type="spellEnd"/>
      <w:r>
        <w:rPr>
          <w:lang w:eastAsia="zh-CN"/>
        </w:rPr>
        <w:t>对</w:t>
      </w:r>
      <w:r>
        <w:rPr>
          <w:lang w:eastAsia="zh-CN"/>
        </w:rPr>
        <w:t xml:space="preserve">TCGA-PAAD bulk </w:t>
      </w:r>
      <w:proofErr w:type="spellStart"/>
      <w:r>
        <w:rPr>
          <w:lang w:eastAsia="zh-CN"/>
        </w:rPr>
        <w:t>RNAseq</w:t>
      </w:r>
      <w:proofErr w:type="spellEnd"/>
      <w:r>
        <w:rPr>
          <w:lang w:eastAsia="zh-CN"/>
        </w:rPr>
        <w:t>的数据进行代谢活性分析，</w:t>
      </w:r>
      <w:r>
        <w:rPr>
          <w:lang w:eastAsia="zh-CN"/>
        </w:rPr>
        <w:t>GSE263733</w:t>
      </w:r>
      <w:r>
        <w:rPr>
          <w:lang w:eastAsia="zh-CN"/>
        </w:rPr>
        <w:t>做为参考数据集，划分出来</w:t>
      </w:r>
      <w:proofErr w:type="spellStart"/>
      <w:r>
        <w:rPr>
          <w:lang w:eastAsia="zh-CN"/>
        </w:rPr>
        <w:t>META_active</w:t>
      </w:r>
      <w:proofErr w:type="spellEnd"/>
      <w:r>
        <w:rPr>
          <w:lang w:eastAsia="zh-CN"/>
        </w:rPr>
        <w:t>、</w:t>
      </w:r>
      <w:proofErr w:type="spellStart"/>
      <w:r>
        <w:rPr>
          <w:lang w:eastAsia="zh-CN"/>
        </w:rPr>
        <w:t>META_silent</w:t>
      </w:r>
      <w:proofErr w:type="spellEnd"/>
      <w:r>
        <w:rPr>
          <w:lang w:eastAsia="zh-CN"/>
        </w:rPr>
        <w:t>和</w:t>
      </w:r>
      <w:proofErr w:type="spellStart"/>
      <w:r>
        <w:rPr>
          <w:lang w:eastAsia="zh-CN"/>
        </w:rPr>
        <w:t>Non_malignant</w:t>
      </w:r>
      <w:proofErr w:type="spellEnd"/>
      <w:r>
        <w:rPr>
          <w:lang w:eastAsia="zh-CN"/>
        </w:rPr>
        <w:t>细胞在不同样本中的占比。把</w:t>
      </w:r>
      <w:r>
        <w:rPr>
          <w:lang w:eastAsia="zh-CN"/>
        </w:rPr>
        <w:t>TCGA-PAAD</w:t>
      </w:r>
      <w:r>
        <w:rPr>
          <w:lang w:eastAsia="zh-CN"/>
        </w:rPr>
        <w:t>样本按照</w:t>
      </w:r>
      <w:proofErr w:type="spellStart"/>
      <w:r>
        <w:rPr>
          <w:lang w:eastAsia="zh-CN"/>
        </w:rPr>
        <w:t>META_active</w:t>
      </w:r>
      <w:proofErr w:type="spellEnd"/>
      <w:r>
        <w:rPr>
          <w:lang w:eastAsia="zh-CN"/>
        </w:rPr>
        <w:t>、</w:t>
      </w:r>
      <w:proofErr w:type="spellStart"/>
      <w:r>
        <w:rPr>
          <w:lang w:eastAsia="zh-CN"/>
        </w:rPr>
        <w:t>META_silent</w:t>
      </w:r>
      <w:proofErr w:type="spellEnd"/>
      <w:r>
        <w:rPr>
          <w:lang w:eastAsia="zh-CN"/>
        </w:rPr>
        <w:t>和</w:t>
      </w:r>
      <w:proofErr w:type="spellStart"/>
      <w:r>
        <w:rPr>
          <w:lang w:eastAsia="zh-CN"/>
        </w:rPr>
        <w:t>Non_malignant</w:t>
      </w:r>
      <w:proofErr w:type="spellEnd"/>
      <w:r>
        <w:rPr>
          <w:lang w:eastAsia="zh-CN"/>
        </w:rPr>
        <w:t>细胞占比划分为</w:t>
      </w:r>
      <w:proofErr w:type="spellStart"/>
      <w:r>
        <w:rPr>
          <w:lang w:eastAsia="zh-CN"/>
        </w:rPr>
        <w:t>METArisk_high</w:t>
      </w:r>
      <w:proofErr w:type="spellEnd"/>
      <w:r>
        <w:rPr>
          <w:lang w:eastAsia="zh-CN"/>
        </w:rPr>
        <w:t>和</w:t>
      </w:r>
      <w:proofErr w:type="spellStart"/>
      <w:r>
        <w:rPr>
          <w:lang w:eastAsia="zh-CN"/>
        </w:rPr>
        <w:t>METArisk_low</w:t>
      </w:r>
      <w:proofErr w:type="spellEnd"/>
      <w:r>
        <w:rPr>
          <w:lang w:eastAsia="zh-CN"/>
        </w:rPr>
        <w:t>组。对</w:t>
      </w:r>
      <w:proofErr w:type="spellStart"/>
      <w:r>
        <w:rPr>
          <w:lang w:eastAsia="zh-CN"/>
        </w:rPr>
        <w:t>METArisk_high</w:t>
      </w:r>
      <w:proofErr w:type="spellEnd"/>
      <w:r>
        <w:rPr>
          <w:lang w:eastAsia="zh-CN"/>
        </w:rPr>
        <w:t>和</w:t>
      </w:r>
      <w:proofErr w:type="spellStart"/>
      <w:r>
        <w:rPr>
          <w:lang w:eastAsia="zh-CN"/>
        </w:rPr>
        <w:t>METArisk_low</w:t>
      </w:r>
      <w:proofErr w:type="spellEnd"/>
      <w:r>
        <w:rPr>
          <w:lang w:eastAsia="zh-CN"/>
        </w:rPr>
        <w:t>组进</w:t>
      </w:r>
      <w:r>
        <w:rPr>
          <w:lang w:eastAsia="zh-CN"/>
        </w:rPr>
        <w:t>行生存分析。</w:t>
      </w:r>
    </w:p>
    <w:p w14:paraId="25D6A142" w14:textId="77777777" w:rsidR="0039360D" w:rsidRDefault="00BE194B">
      <w:pPr>
        <w:pStyle w:val="a0"/>
        <w:rPr>
          <w:lang w:eastAsia="zh-CN"/>
        </w:rPr>
      </w:pPr>
      <w:r>
        <w:rPr>
          <w:b/>
          <w:bCs/>
        </w:rPr>
        <w:t>Figure3</w:t>
      </w:r>
      <w:r>
        <w:rPr>
          <w:b/>
          <w:bCs/>
        </w:rPr>
        <w:t>：</w:t>
      </w:r>
      <w:r>
        <w:t xml:space="preserve"> </w:t>
      </w:r>
      <w:proofErr w:type="spellStart"/>
      <w:r>
        <w:t>取</w:t>
      </w:r>
      <w:r>
        <w:t>META_ACITATE</w:t>
      </w:r>
      <w:r>
        <w:t>细胞的</w:t>
      </w:r>
      <w:r>
        <w:t>signature</w:t>
      </w:r>
      <w:proofErr w:type="spellEnd"/>
      <w:r>
        <w:t xml:space="preserve"> gene</w:t>
      </w:r>
      <w:r>
        <w:t>和</w:t>
      </w:r>
      <w:r>
        <w:t>META_ACTIVE</w:t>
      </w:r>
      <w:r>
        <w:t>基因的交集称为</w:t>
      </w:r>
      <w:r>
        <w:t>MRGs</w:t>
      </w:r>
      <w:r>
        <w:t>。取</w:t>
      </w:r>
      <w:r>
        <w:t>MRGs</w:t>
      </w:r>
      <w:r>
        <w:t>、</w:t>
      </w:r>
      <w:r>
        <w:t>META_ACTIVATE</w:t>
      </w:r>
      <w:r>
        <w:t>和</w:t>
      </w:r>
      <w:r>
        <w:t>METArisk_high</w:t>
      </w:r>
      <w:r>
        <w:t>和</w:t>
      </w:r>
      <w:r>
        <w:t>METArisk_low</w:t>
      </w:r>
      <w:r>
        <w:t>组差异基因的交集，得到备选基因集。</w:t>
      </w:r>
      <w:r>
        <w:rPr>
          <w:lang w:eastAsia="zh-CN"/>
        </w:rPr>
        <w:t>对备选基因集进行</w:t>
      </w:r>
      <w:r>
        <w:rPr>
          <w:lang w:eastAsia="zh-CN"/>
        </w:rPr>
        <w:t>SVM-RFE</w:t>
      </w:r>
      <w:r>
        <w:rPr>
          <w:lang w:eastAsia="zh-CN"/>
        </w:rPr>
        <w:t>和多变量</w:t>
      </w:r>
      <w:r>
        <w:rPr>
          <w:lang w:eastAsia="zh-CN"/>
        </w:rPr>
        <w:t>Cox</w:t>
      </w:r>
      <w:r>
        <w:rPr>
          <w:lang w:eastAsia="zh-CN"/>
        </w:rPr>
        <w:t>分析，筛选与生存相关的基因。并对这些筛选到的基因进行生存分析（按照表达水平分为高低组）。画出</w:t>
      </w:r>
      <w:r>
        <w:rPr>
          <w:lang w:eastAsia="zh-CN"/>
        </w:rPr>
        <w:t xml:space="preserve">TCAG-PAAD </w:t>
      </w:r>
      <w:proofErr w:type="spellStart"/>
      <w:r>
        <w:rPr>
          <w:lang w:eastAsia="zh-CN"/>
        </w:rPr>
        <w:t>METArisk_high</w:t>
      </w:r>
      <w:proofErr w:type="spellEnd"/>
      <w:r>
        <w:rPr>
          <w:lang w:eastAsia="zh-CN"/>
        </w:rPr>
        <w:t>和</w:t>
      </w:r>
      <w:proofErr w:type="spellStart"/>
      <w:r>
        <w:rPr>
          <w:lang w:eastAsia="zh-CN"/>
        </w:rPr>
        <w:t>METArisk_low</w:t>
      </w:r>
      <w:proofErr w:type="spellEnd"/>
      <w:r>
        <w:rPr>
          <w:lang w:eastAsia="zh-CN"/>
        </w:rPr>
        <w:t>组中筛选到的基因的表达水平的箱线图。依据生存分析和</w:t>
      </w:r>
      <w:proofErr w:type="spellStart"/>
      <w:r>
        <w:rPr>
          <w:lang w:eastAsia="zh-CN"/>
        </w:rPr>
        <w:t>METArisk_h</w:t>
      </w:r>
      <w:r>
        <w:rPr>
          <w:lang w:eastAsia="zh-CN"/>
        </w:rPr>
        <w:t>igh</w:t>
      </w:r>
      <w:proofErr w:type="spellEnd"/>
      <w:r>
        <w:rPr>
          <w:lang w:eastAsia="zh-CN"/>
        </w:rPr>
        <w:t>和</w:t>
      </w:r>
      <w:proofErr w:type="spellStart"/>
      <w:r>
        <w:rPr>
          <w:lang w:eastAsia="zh-CN"/>
        </w:rPr>
        <w:t>METArisk_low</w:t>
      </w:r>
      <w:proofErr w:type="spellEnd"/>
      <w:r>
        <w:rPr>
          <w:lang w:eastAsia="zh-CN"/>
        </w:rPr>
        <w:t>表达水平筛选出一个或者多个表达水平与胰腺癌病情成正相关的基因。使用</w:t>
      </w:r>
      <w:r>
        <w:rPr>
          <w:lang w:eastAsia="zh-CN"/>
        </w:rPr>
        <w:t>IHC</w:t>
      </w:r>
      <w:r>
        <w:rPr>
          <w:lang w:eastAsia="zh-CN"/>
        </w:rPr>
        <w:t>和</w:t>
      </w:r>
      <w:r>
        <w:rPr>
          <w:lang w:eastAsia="zh-CN"/>
        </w:rPr>
        <w:t>RT-PCR</w:t>
      </w:r>
      <w:r>
        <w:rPr>
          <w:lang w:eastAsia="zh-CN"/>
        </w:rPr>
        <w:t>验证肿瘤组织和癌旁组织中该基因表达水平的差异。</w:t>
      </w:r>
    </w:p>
    <w:p w14:paraId="35F524CA" w14:textId="77777777" w:rsidR="0039360D" w:rsidRDefault="00BE194B">
      <w:pPr>
        <w:pStyle w:val="a0"/>
      </w:pPr>
      <w:r>
        <w:rPr>
          <w:b/>
          <w:bCs/>
        </w:rPr>
        <w:t>Figure4</w:t>
      </w:r>
      <w:r>
        <w:rPr>
          <w:b/>
          <w:bCs/>
        </w:rPr>
        <w:t>：</w:t>
      </w:r>
      <w:r>
        <w:t xml:space="preserve"> </w:t>
      </w:r>
      <w:proofErr w:type="spellStart"/>
      <w:r>
        <w:t>在胰腺癌细胞系</w:t>
      </w:r>
      <w:r>
        <w:t>HPAC</w:t>
      </w:r>
      <w:r>
        <w:t>和</w:t>
      </w:r>
      <w:r>
        <w:t>LTPA</w:t>
      </w:r>
      <w:r>
        <w:t>中敲降上一步筛选到的靶基因。首先用</w:t>
      </w:r>
      <w:r>
        <w:t>RT-PCR</w:t>
      </w:r>
      <w:r>
        <w:t>和</w:t>
      </w:r>
      <w:r>
        <w:t>western</w:t>
      </w:r>
      <w:proofErr w:type="spellEnd"/>
      <w:r>
        <w:t xml:space="preserve"> blot</w:t>
      </w:r>
      <w:r>
        <w:t>分别在</w:t>
      </w:r>
      <w:r>
        <w:t>RNA</w:t>
      </w:r>
      <w:r>
        <w:t>和蛋白水平验证敲降的效率。敲降靶基因后与对照比较分别验证细胞的分裂能力、迁移能力、细胞的凋亡水平以及基因组突变水平。</w:t>
      </w:r>
    </w:p>
    <w:p w14:paraId="18911B9F" w14:textId="77777777" w:rsidR="0039360D" w:rsidRDefault="00BE194B">
      <w:pPr>
        <w:pStyle w:val="a0"/>
        <w:rPr>
          <w:lang w:eastAsia="zh-CN"/>
        </w:rPr>
      </w:pPr>
      <w:r>
        <w:rPr>
          <w:b/>
          <w:bCs/>
        </w:rPr>
        <w:t>Figure5</w:t>
      </w:r>
      <w:r>
        <w:rPr>
          <w:b/>
          <w:bCs/>
        </w:rPr>
        <w:t>：</w:t>
      </w:r>
      <w:r>
        <w:t xml:space="preserve"> </w:t>
      </w:r>
      <w:r>
        <w:t>使用</w:t>
      </w:r>
      <w:r>
        <w:t>Oncopredict R</w:t>
      </w:r>
      <w:r>
        <w:t>包计算胰腺癌化疗药物</w:t>
      </w:r>
      <w:r>
        <w:t>Gemcitabine</w:t>
      </w:r>
      <w:r>
        <w:t>对</w:t>
      </w:r>
      <w:r>
        <w:t>M</w:t>
      </w:r>
      <w:r>
        <w:t>ATEeisk_high</w:t>
      </w:r>
      <w:r>
        <w:t>和</w:t>
      </w:r>
      <w:r>
        <w:t>METArisk_low</w:t>
      </w:r>
      <w:r>
        <w:t>组患者的抑制中位数（</w:t>
      </w:r>
      <w:r>
        <w:t>IC50</w:t>
      </w:r>
      <w:r>
        <w:t>）。按照靶基因的表达水平把</w:t>
      </w:r>
      <w:r>
        <w:t>TCGA-PAAD</w:t>
      </w:r>
      <w:r>
        <w:t>样本分为靶基因高表达和靶基因低表达组，画出</w:t>
      </w:r>
      <w:r>
        <w:t>Gemcitabine</w:t>
      </w:r>
      <w:r>
        <w:t>对靶基因高表达组和低表达组的</w:t>
      </w:r>
      <w:r>
        <w:t>IC50</w:t>
      </w:r>
      <w:r>
        <w:t>。</w:t>
      </w:r>
      <w:r>
        <w:rPr>
          <w:lang w:eastAsia="zh-CN"/>
        </w:rPr>
        <w:t>使用</w:t>
      </w:r>
      <w:r>
        <w:rPr>
          <w:lang w:eastAsia="zh-CN"/>
        </w:rPr>
        <w:t>CARE</w:t>
      </w:r>
      <w:r>
        <w:rPr>
          <w:lang w:eastAsia="zh-CN"/>
        </w:rPr>
        <w:t>数据库分析靶基因的表达水平与耐药性之间的关系。</w:t>
      </w:r>
    </w:p>
    <w:p w14:paraId="11DD6C1F" w14:textId="77777777" w:rsidR="0039360D" w:rsidRDefault="00BE194B">
      <w:pPr>
        <w:pStyle w:val="a0"/>
        <w:rPr>
          <w:lang w:eastAsia="zh-CN"/>
        </w:rPr>
      </w:pPr>
      <w:r>
        <w:rPr>
          <w:lang w:eastAsia="zh-CN"/>
        </w:rPr>
        <w:t>按照是否敲降靶基因、有无化疗处理将裸鼠划分为</w:t>
      </w:r>
      <w:r>
        <w:rPr>
          <w:lang w:eastAsia="zh-CN"/>
        </w:rPr>
        <w:t>4</w:t>
      </w:r>
      <w:r>
        <w:rPr>
          <w:lang w:eastAsia="zh-CN"/>
        </w:rPr>
        <w:t>组，分别为对照组：将没有敲降靶基因的胰腺癌细胞系接种到裸鼠皮下；靶基因敲降组：将靶基因敲降的胰腺癌细胞系接种到裸鼠皮下；化疗组：皮下接种没有敲降靶基因的胰腺癌细胞系并进行化疗处理；靶</w:t>
      </w:r>
      <w:r>
        <w:rPr>
          <w:lang w:eastAsia="zh-CN"/>
        </w:rPr>
        <w:t>基因敲降＋化疗处理组：将敲降靶基因的胰腺癌细胞系接种到裸鼠皮下并进行化疗处理。从接种肿瘤开始，选取不同的时间点测量肿瘤的大小，实验结束后将肿瘤取下测量大小并拍照记录，同时取下肝脏使用组化研究胰腺癌肝转移在不同组之间的差别。</w:t>
      </w:r>
    </w:p>
    <w:p w14:paraId="76898E11" w14:textId="77777777" w:rsidR="0039360D" w:rsidRDefault="00BE194B">
      <w:pPr>
        <w:pStyle w:val="a0"/>
        <w:rPr>
          <w:lang w:eastAsia="zh-CN"/>
        </w:rPr>
      </w:pPr>
      <w:r>
        <w:rPr>
          <w:b/>
          <w:bCs/>
        </w:rPr>
        <w:t>Figure6</w:t>
      </w:r>
      <w:r>
        <w:rPr>
          <w:b/>
          <w:bCs/>
        </w:rPr>
        <w:t>：</w:t>
      </w:r>
      <w:r>
        <w:t xml:space="preserve"> </w:t>
      </w:r>
      <w:r>
        <w:t>使用</w:t>
      </w:r>
      <w:r>
        <w:t>Oncopredict</w:t>
      </w:r>
      <w:r>
        <w:t>计算的</w:t>
      </w:r>
      <w:r>
        <w:t>IC50</w:t>
      </w:r>
      <w:r>
        <w:t>研究</w:t>
      </w:r>
      <w:r>
        <w:t>TP53</w:t>
      </w:r>
      <w:r>
        <w:t>表达水平与胰腺癌耐药性之间的关系。</w:t>
      </w:r>
      <w:r>
        <w:t>TP53</w:t>
      </w:r>
      <w:r>
        <w:t>表达水平与靶基因表达水平之间的散点图，找靶基因与</w:t>
      </w:r>
      <w:r>
        <w:t>TP53</w:t>
      </w:r>
      <w:r>
        <w:t>在表达水平上的关系。</w:t>
      </w:r>
      <w:r>
        <w:t xml:space="preserve"> </w:t>
      </w:r>
      <w:r>
        <w:t>敲降靶基因观察</w:t>
      </w:r>
      <w:r>
        <w:t>TP53</w:t>
      </w:r>
      <w:r>
        <w:t>及其效应蛋白</w:t>
      </w:r>
      <w:r>
        <w:t>P21</w:t>
      </w:r>
      <w:r>
        <w:t>在</w:t>
      </w:r>
      <w:r>
        <w:t>RNA</w:t>
      </w:r>
      <w:r>
        <w:t>水平和蛋白水</w:t>
      </w:r>
      <w:r>
        <w:lastRenderedPageBreak/>
        <w:t>平的变化。</w:t>
      </w:r>
      <w:r>
        <w:rPr>
          <w:lang w:eastAsia="zh-CN"/>
        </w:rPr>
        <w:t>敲降靶基因后使用流式分析不同</w:t>
      </w:r>
      <w:r>
        <w:rPr>
          <w:lang w:eastAsia="zh-CN"/>
        </w:rPr>
        <w:t>周期细胞的占比，观察敲降靶基因后对细胞分裂的影响。</w:t>
      </w:r>
    </w:p>
    <w:p w14:paraId="161C13D8" w14:textId="77777777" w:rsidR="0039360D" w:rsidRDefault="00BE194B">
      <w:pPr>
        <w:pStyle w:val="a0"/>
        <w:rPr>
          <w:lang w:eastAsia="zh-CN"/>
        </w:rPr>
      </w:pPr>
      <w:r>
        <w:rPr>
          <w:b/>
          <w:bCs/>
          <w:lang w:eastAsia="zh-CN"/>
        </w:rPr>
        <w:t>Figure7</w:t>
      </w:r>
      <w:r>
        <w:rPr>
          <w:b/>
          <w:bCs/>
          <w:lang w:eastAsia="zh-CN"/>
        </w:rPr>
        <w:t>：</w:t>
      </w:r>
      <w:r>
        <w:rPr>
          <w:lang w:eastAsia="zh-CN"/>
        </w:rPr>
        <w:t xml:space="preserve"> </w:t>
      </w:r>
      <w:r>
        <w:rPr>
          <w:lang w:eastAsia="zh-CN"/>
        </w:rPr>
        <w:t>对靶基因高表达和靶基因低表达组进行基因集变异分析</w:t>
      </w:r>
      <w:r>
        <w:rPr>
          <w:lang w:eastAsia="zh-CN"/>
        </w:rPr>
        <w:t>(GSVA)</w:t>
      </w:r>
      <w:r>
        <w:rPr>
          <w:lang w:eastAsia="zh-CN"/>
        </w:rPr>
        <w:t>。找出与靶基因功能直接相关的基因集，对富集到的基因集进行相关性分析，找到一个与靶基因功能集相关的基因集。分析靶基因与相关基因集中基因表达水平之间的关系。使用相关基因集中的基因对</w:t>
      </w:r>
      <w:r>
        <w:rPr>
          <w:lang w:eastAsia="zh-CN"/>
        </w:rPr>
        <w:t>TCGA-PAAD</w:t>
      </w:r>
      <w:r>
        <w:rPr>
          <w:lang w:eastAsia="zh-CN"/>
        </w:rPr>
        <w:t>样本进行一致性聚类，对不同的亚群进行生存分析。敲降胰腺癌细胞系的靶基因后使用</w:t>
      </w:r>
      <w:r>
        <w:rPr>
          <w:lang w:eastAsia="zh-CN"/>
        </w:rPr>
        <w:t>PAS</w:t>
      </w:r>
      <w:r>
        <w:rPr>
          <w:lang w:eastAsia="zh-CN"/>
        </w:rPr>
        <w:t>和</w:t>
      </w:r>
      <w:r>
        <w:rPr>
          <w:lang w:eastAsia="zh-CN"/>
        </w:rPr>
        <w:t>2—NBDG</w:t>
      </w:r>
      <w:r>
        <w:rPr>
          <w:lang w:eastAsia="zh-CN"/>
        </w:rPr>
        <w:t>检测细胞内糖原和多糖的含量，以此确定敲除靶基因对糖原代谢的影响。敲除靶基因后检测细胞内谷胱氨</w:t>
      </w:r>
      <w:r>
        <w:rPr>
          <w:lang w:eastAsia="zh-CN"/>
        </w:rPr>
        <w:t>肽的含量，以此确定糖原代谢与谷胱甘肽合成代谢存在关联。谷胱甘肽是细胞内重要的还原剂，用于降低细胞内活性氧水平。敲除靶基因后检测细胞内活性氧（</w:t>
      </w:r>
      <w:r>
        <w:rPr>
          <w:lang w:eastAsia="zh-CN"/>
        </w:rPr>
        <w:t>ROS</w:t>
      </w:r>
      <w:r>
        <w:rPr>
          <w:lang w:eastAsia="zh-CN"/>
        </w:rPr>
        <w:t>）的水平用于确认细胞内谷胱甘肽的水平发生改变。</w:t>
      </w:r>
    </w:p>
    <w:p w14:paraId="4E320E13" w14:textId="77777777" w:rsidR="0039360D" w:rsidRDefault="00BE194B">
      <w:pPr>
        <w:pStyle w:val="a0"/>
        <w:rPr>
          <w:lang w:eastAsia="zh-CN"/>
        </w:rPr>
      </w:pPr>
      <w:r>
        <w:rPr>
          <w:b/>
          <w:bCs/>
          <w:lang w:eastAsia="zh-CN"/>
        </w:rPr>
        <w:t>Figure8</w:t>
      </w:r>
      <w:r>
        <w:rPr>
          <w:b/>
          <w:bCs/>
          <w:lang w:eastAsia="zh-CN"/>
        </w:rPr>
        <w:t>：</w:t>
      </w:r>
      <w:r>
        <w:rPr>
          <w:lang w:eastAsia="zh-CN"/>
        </w:rPr>
        <w:t xml:space="preserve"> </w:t>
      </w:r>
      <w:r>
        <w:rPr>
          <w:lang w:eastAsia="zh-CN"/>
        </w:rPr>
        <w:t>靶基因调控胰腺癌转移以及耐药的机制示意图。</w:t>
      </w:r>
    </w:p>
    <w:p w14:paraId="7152C91D" w14:textId="77777777" w:rsidR="0039360D" w:rsidRDefault="00BE194B">
      <w:pPr>
        <w:rPr>
          <w:lang w:eastAsia="zh-CN"/>
        </w:rPr>
      </w:pPr>
      <w:r>
        <w:rPr>
          <w:lang w:eastAsia="zh-CN"/>
        </w:rPr>
        <w:br w:type="page"/>
      </w:r>
    </w:p>
    <w:p w14:paraId="0FFA520D" w14:textId="77777777" w:rsidR="0039360D" w:rsidRDefault="00BE194B">
      <w:pPr>
        <w:pStyle w:val="1"/>
        <w:rPr>
          <w:lang w:eastAsia="zh-CN"/>
        </w:rPr>
      </w:pPr>
      <w:bookmarkStart w:id="4" w:name="参考文献"/>
      <w:bookmarkEnd w:id="3"/>
      <w:r>
        <w:rPr>
          <w:lang w:eastAsia="zh-CN"/>
        </w:rPr>
        <w:lastRenderedPageBreak/>
        <w:t>参考文献</w:t>
      </w:r>
    </w:p>
    <w:p w14:paraId="112A8196" w14:textId="77777777" w:rsidR="0039360D" w:rsidRDefault="00BE194B">
      <w:pPr>
        <w:pStyle w:val="a7"/>
      </w:pPr>
      <w:bookmarkStart w:id="5" w:name="ref-Cohen2015"/>
      <w:bookmarkStart w:id="6" w:name="refs"/>
      <w:r>
        <w:t xml:space="preserve">Cohen R, </w:t>
      </w:r>
      <w:proofErr w:type="spellStart"/>
      <w:r>
        <w:t>Neuzillet</w:t>
      </w:r>
      <w:proofErr w:type="spellEnd"/>
      <w:r>
        <w:t xml:space="preserve"> C, Tijeras-Raballand A, Faivre S, Gramont A de, Raymond E. 2015. </w:t>
      </w:r>
      <w:hyperlink r:id="rId7">
        <w:r>
          <w:rPr>
            <w:rStyle w:val="ad"/>
          </w:rPr>
          <w:t>Targeting cancer cell metabolism in pancreatic adenocarcinoma</w:t>
        </w:r>
      </w:hyperlink>
      <w:r>
        <w:t>. Oncotarget 6: 16832–16847.</w:t>
      </w:r>
    </w:p>
    <w:p w14:paraId="26BA0833" w14:textId="77777777" w:rsidR="0039360D" w:rsidRDefault="00BE194B">
      <w:pPr>
        <w:pStyle w:val="a7"/>
      </w:pPr>
      <w:bookmarkStart w:id="7" w:name="ref-Vareedayah2018-xv"/>
      <w:bookmarkEnd w:id="5"/>
      <w:r>
        <w:t>Vareedayah AA, Alkaade S, Taylor JR. 2018. Pancreatic adenocarcinoma. Mo. Med. 115: 230–235.</w:t>
      </w:r>
      <w:bookmarkEnd w:id="4"/>
      <w:bookmarkEnd w:id="6"/>
      <w:bookmarkEnd w:id="7"/>
    </w:p>
    <w:sectPr w:rsidR="0039360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E910F" w14:textId="77777777" w:rsidR="00000000" w:rsidRDefault="00BE194B">
      <w:pPr>
        <w:spacing w:after="0"/>
      </w:pPr>
      <w:r>
        <w:separator/>
      </w:r>
    </w:p>
  </w:endnote>
  <w:endnote w:type="continuationSeparator" w:id="0">
    <w:p w14:paraId="4B519D98" w14:textId="77777777" w:rsidR="00000000" w:rsidRDefault="00BE19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9428D" w14:textId="77777777" w:rsidR="0039360D" w:rsidRDefault="00BE194B">
      <w:r>
        <w:separator/>
      </w:r>
    </w:p>
  </w:footnote>
  <w:footnote w:type="continuationSeparator" w:id="0">
    <w:p w14:paraId="20C19AF2" w14:textId="77777777" w:rsidR="0039360D" w:rsidRDefault="00BE19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D121A1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9360D"/>
    <w:rsid w:val="0039360D"/>
    <w:rsid w:val="00BE194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95075"/>
  <w15:docId w15:val="{D9AAE6D1-2B95-4AB8-99A7-27B73D94F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8632/oncotarget.41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463</Words>
  <Characters>2641</Characters>
  <Application>Microsoft Office Word</Application>
  <DocSecurity>0</DocSecurity>
  <Lines>22</Lines>
  <Paragraphs>6</Paragraphs>
  <ScaleCrop>false</ScaleCrop>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代谢重编程与胰腺癌转移</dc:title>
  <dc:creator/>
  <cp:keywords/>
  <cp:lastModifiedBy>an</cp:lastModifiedBy>
  <cp:revision>2</cp:revision>
  <dcterms:created xsi:type="dcterms:W3CDTF">2024-05-27T08:18:00Z</dcterms:created>
  <dcterms:modified xsi:type="dcterms:W3CDTF">2024-05-27T08:21:00Z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PDAC.bib</vt:lpwstr>
  </property>
  <property fmtid="{D5CDD505-2E9C-101B-9397-08002B2CF9AE}" pid="4" name="csl">
    <vt:lpwstr>/home/yincy/styles/american-journal-of-medical-genetics.csl</vt:lpwstr>
  </property>
  <property fmtid="{D5CDD505-2E9C-101B-9397-08002B2CF9AE}" pid="5" name="editor">
    <vt:lpwstr>source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nk-citations">
    <vt:lpwstr>True</vt:lpwstr>
  </property>
  <property fmtid="{D5CDD505-2E9C-101B-9397-08002B2CF9AE}" pid="11" name="number-depth">
    <vt:lpwstr>3</vt:lpwstr>
  </property>
  <property fmtid="{D5CDD505-2E9C-101B-9397-08002B2CF9AE}" pid="12" name="toc-title">
    <vt:lpwstr>Table of contents</vt:lpwstr>
  </property>
</Properties>
</file>