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空间转录组技术分享：Slide-seq</w:t>
      </w:r>
    </w:p>
    <w:p>
      <w:pPr>
        <w:pStyle w:val="Author"/>
      </w:pPr>
      <w:r>
        <w:t xml:space="preserve">天天生信</w:t>
      </w:r>
    </w:p>
    <w:p>
      <w:pPr>
        <w:pStyle w:val="FirstParagraph"/>
      </w:pPr>
      <w:r>
        <w:t xml:space="preserve">今天我们来学习另外一种空间转录组技术：Slide-Seq。</w:t>
      </w:r>
    </w:p>
    <w:p>
      <w:pPr>
        <w:pStyle w:val="BodyText"/>
      </w:pPr>
      <w:r>
        <w:t xml:space="preserve">Slide-Seq技术最早于2019年发表于Science杂志</w:t>
      </w:r>
      <w:r>
        <w:rPr>
          <w:vertAlign w:val="superscript"/>
        </w:rPr>
        <w:t xml:space="preserve">[1]</w:t>
      </w:r>
      <w:r>
        <w:t xml:space="preserve">，2020年的时候又在Nature Biotechnology上发表了其改进版本Slide-SeqV2</w:t>
      </w:r>
      <w:r>
        <w:rPr>
          <w:vertAlign w:val="superscript"/>
        </w:rPr>
        <w:t xml:space="preserve">[2]</w:t>
      </w:r>
      <w:r>
        <w:t xml:space="preserve">。改进后Slide-Seqv2 mRNA的捕获率提高了50%，接近于基于Droplet技术的单细胞RNAseq。</w:t>
      </w:r>
    </w:p>
    <w:p>
      <w:pPr>
        <w:pStyle w:val="BodyText"/>
      </w:pPr>
      <w:r>
        <w:t xml:space="preserve">Slide-Seq实验步骤如下：</w:t>
      </w:r>
    </w:p>
    <w:p>
      <w:pPr>
        <w:numPr>
          <w:ilvl w:val="0"/>
          <w:numId w:val="1001"/>
        </w:numPr>
      </w:pPr>
      <w:r>
        <w:t xml:space="preserve">将合成的bead铺到带有橡胶的玻璃板上，并且使其形成一个单层的平面。由于bead的直径为10um，所以理论上Slide-seq的分辨率能够达到10um级别，这个分辨率远远大于10X Visum以及华大的Stereo-seq。</w:t>
      </w:r>
    </w:p>
    <w:p>
      <w:pPr>
        <w:numPr>
          <w:ilvl w:val="0"/>
          <w:numId w:val="1001"/>
        </w:numPr>
      </w:pPr>
      <w:r>
        <w:t xml:space="preserve">把切好的组织切片(10um厚)放到上述玻璃板上，并轻轻按压使bead紧密贴合到组织切片上，有利于后续的RNA捕获。</w:t>
      </w:r>
    </w:p>
    <w:p>
      <w:pPr>
        <w:numPr>
          <w:ilvl w:val="0"/>
          <w:numId w:val="1001"/>
        </w:numPr>
      </w:pPr>
      <w:r>
        <w:t xml:space="preserve">释放组织RNA并被bead上带的polyT捕获。</w:t>
      </w:r>
    </w:p>
    <w:p>
      <w:pPr>
        <w:numPr>
          <w:ilvl w:val="0"/>
          <w:numId w:val="1001"/>
        </w:numPr>
      </w:pPr>
      <w:r>
        <w:t xml:space="preserve">反转录，并构建测序文库。</w:t>
      </w:r>
    </w:p>
    <w:p>
      <w:pPr>
        <w:pStyle w:val="FirstParagraph"/>
      </w:pPr>
      <w:r>
        <w:t xml:space="preserve">其中有一个关键的步骤，就是怎么确定bead在玻片上的二维空间位置及其所携带的barcode序列。</w:t>
      </w:r>
    </w:p>
    <w:p>
      <w:pPr>
        <w:pStyle w:val="BodyText"/>
      </w:pPr>
      <w:r>
        <w:t xml:space="preserve">Slide-Seq使用SOLiD测序技术(Sequencing by Oligonucleotide Ligation and Detection)确定（对SOLiD感兴趣的小伙伴可以到油管看一下这个视频，https://www.youtube.com/watch?v=QhjUS3YHpzw&amp;t=570s）。但是Slide-SeqV2确定barcode的技术稍微与Slide-Seq有些不同。主要区别是SOLiD是bibase ligation，而Slide-seqV2使用的是monobase ligation。在连接测序的时候使用高清相机捕获不同位置的荧光来确定每个bead在二维坐标中的位置以及barcode序列。后面建库测序的时候barcode序列也可以被测到，通过两者的信息就可以确定每个UMI来源于空间的那个位置。</w:t>
      </w:r>
    </w:p>
    <w:p>
      <w:pPr>
        <w:pStyle w:val="BodyText"/>
      </w:pPr>
      <w:r>
        <w:t xml:space="preserve">这一步是Slide-seq最关键的步骤，不知道我有没有讲清楚，欢迎大家关注公众号留言讨论。本公众号后续还会更新更多空间转录组、空间蛋白质组、空间代谢组以及单细胞方面的内容。</w:t>
      </w:r>
    </w:p>
    <w:p>
      <w:pPr>
        <w:pStyle w:val="BodyText"/>
      </w:pPr>
      <w:r>
        <w:drawing>
          <wp:inline>
            <wp:extent cx="1600200" cy="1600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qrcode_for_gh_67960e695c66_258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参考文献"/>
    <w:p>
      <w:pPr>
        <w:pStyle w:val="Heading1"/>
      </w:pPr>
      <w:r>
        <w:t xml:space="preserve">参考文献</w:t>
      </w:r>
    </w:p>
    <w:bookmarkStart w:id="27" w:name="refs"/>
    <w:bookmarkStart w:id="24" w:name="ref-Rodriques2019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hyperlink r:id="rId23">
        <w:r>
          <w:rPr>
            <w:rStyle w:val="Hyperlink"/>
          </w:rPr>
          <w:t xml:space="preserve">S. G. Rodriques, R. R. Stickels, A. Goeva, C. A. Martin, E. Murray, C. R. Vanderburg, J. Welch, L. M. Chen, F. Chen, E. Z. Macosko,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Science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2019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363</w:t>
        </w:r>
        <w:r>
          <w:rPr>
            <w:rStyle w:val="Hyperlink"/>
          </w:rPr>
          <w:t xml:space="preserve">, 1463</w:t>
        </w:r>
      </w:hyperlink>
      <w:r>
        <w:t xml:space="preserve">.</w:t>
      </w:r>
    </w:p>
    <w:bookmarkEnd w:id="24"/>
    <w:bookmarkStart w:id="26" w:name="ref-Stickels2020"/>
    <w:p>
      <w:pPr>
        <w:pStyle w:val="Bibliography"/>
      </w:pPr>
      <w:r>
        <w:t xml:space="preserve">[2]</w:t>
      </w:r>
      <w:r>
        <w:t xml:space="preserve"> </w:t>
      </w:r>
      <w:r>
        <w:t xml:space="preserve">	</w:t>
      </w:r>
      <w:hyperlink r:id="rId25">
        <w:r>
          <w:rPr>
            <w:rStyle w:val="Hyperlink"/>
          </w:rPr>
          <w:t xml:space="preserve">R. R. Stickels, E. Murray, P. Kumar, J. Li, J. L. Marshall, D. J. Di Bella, P. Arlotta, E. Z. Macosko, F. Chen,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Nature Biotechnology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2020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39</w:t>
        </w:r>
        <w:r>
          <w:rPr>
            <w:rStyle w:val="Hyperlink"/>
          </w:rPr>
          <w:t xml:space="preserve">, 313</w:t>
        </w:r>
      </w:hyperlink>
      <w:r>
        <w:t xml:space="preserve">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s://doi.org/10.1038/s41587-020-0739-1" TargetMode="External" /><Relationship Type="http://schemas.openxmlformats.org/officeDocument/2006/relationships/hyperlink" Id="rId23" Target="https://doi.org/10.1126/science.aaw121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38/s41587-020-0739-1" TargetMode="External" /><Relationship Type="http://schemas.openxmlformats.org/officeDocument/2006/relationships/hyperlink" Id="rId23" Target="https://doi.org/10.1126/science.aaw12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空间转录组技术分享：Slide-seq</dc:title>
  <dc:creator>天天生信</dc:creator>
  <cp:keywords/>
  <dcterms:created xsi:type="dcterms:W3CDTF">2025-02-26T14:38:59Z</dcterms:created>
  <dcterms:modified xsi:type="dcterms:W3CDTF">2025-02-26T14:38:59Z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ref.bib</vt:lpwstr>
  </property>
  <property fmtid="{D5CDD505-2E9C-101B-9397-08002B2CF9AE}" pid="5" name="by-author">
    <vt:lpwstr/>
  </property>
  <property fmtid="{D5CDD505-2E9C-101B-9397-08002B2CF9AE}" pid="6" name="csl">
    <vt:lpwstr>/home/yincy/git/github/styles/advanced-science.csl</vt:lpwstr>
  </property>
  <property fmtid="{D5CDD505-2E9C-101B-9397-08002B2CF9AE}" pid="7" name="editor">
    <vt:lpwstr>source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