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2A3" w:rsidRPr="00082734" w:rsidRDefault="006856B9">
      <w:pPr>
        <w:pStyle w:val="Title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跨组织多细胞协调及其在癌症中的重塑</w:t>
      </w:r>
    </w:p>
    <w:p w:rsidR="007D52A3" w:rsidRPr="00082734" w:rsidRDefault="006856B9">
      <w:pPr>
        <w:pStyle w:val="Author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序列方舟</w:t>
      </w:r>
    </w:p>
    <w:p w:rsidR="007D52A3" w:rsidRPr="00082734" w:rsidRDefault="006856B9">
      <w:pPr>
        <w:pStyle w:val="FirstParagraph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今天跟大家分享一篇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Nature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的文章，这篇文章运用单细胞和转录组技术揭示组织中细胞的互作模式，及其在病理状态下的变化。</w:t>
      </w:r>
      <w:bookmarkStart w:id="0" w:name="_GoBack"/>
      <w:bookmarkEnd w:id="0"/>
    </w:p>
    <w:p w:rsidR="007D52A3" w:rsidRPr="00082734" w:rsidRDefault="006856B9">
      <w:pPr>
        <w:pStyle w:val="Heading1"/>
        <w:rPr>
          <w:rFonts w:ascii="Times New Roman" w:eastAsia="FangSong" w:hAnsi="Times New Roman"/>
          <w:color w:val="000000" w:themeColor="text1"/>
          <w:lang w:eastAsia="zh-CN"/>
        </w:rPr>
      </w:pPr>
      <w:bookmarkStart w:id="1" w:name="引言"/>
      <w:r w:rsidRPr="00082734">
        <w:rPr>
          <w:rFonts w:ascii="Times New Roman" w:eastAsia="FangSong" w:hAnsi="Times New Roman"/>
          <w:color w:val="000000" w:themeColor="text1"/>
          <w:lang w:eastAsia="zh-CN"/>
        </w:rPr>
        <w:t>引言</w:t>
      </w:r>
    </w:p>
    <w:p w:rsidR="007D52A3" w:rsidRPr="00082734" w:rsidRDefault="006856B9">
      <w:pPr>
        <w:pStyle w:val="FirstParagraph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生物体的组织和器官由多种不同类型的细胞精确构建和组织，以确保生理功能的正常运行。近年来，单细胞</w:t>
      </w:r>
      <w:proofErr w:type="gramStart"/>
      <w:r w:rsidRPr="00082734">
        <w:rPr>
          <w:rFonts w:ascii="Times New Roman" w:eastAsia="FangSong" w:hAnsi="Times New Roman"/>
          <w:color w:val="000000" w:themeColor="text1"/>
          <w:lang w:eastAsia="zh-CN"/>
        </w:rPr>
        <w:t>转录组</w:t>
      </w:r>
      <w:proofErr w:type="gramEnd"/>
      <w:r w:rsidRPr="00082734">
        <w:rPr>
          <w:rFonts w:ascii="Times New Roman" w:eastAsia="FangSong" w:hAnsi="Times New Roman"/>
          <w:color w:val="000000" w:themeColor="text1"/>
          <w:lang w:eastAsia="zh-CN"/>
        </w:rPr>
        <w:t>技术的进步使得科学家能够研究组织层面的多细胞生态系统。特别是诸如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人类细胞图谱（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Human Cell Atlas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等大型研究计划为全面解析不同组织的细胞组成提供了突破性工具。然而，跨组织细胞如何在健康状态下协同工作，以及疾病（尤其是癌症）如何改变这些模式，仍然是研究重点。本研究系统地探讨了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健康组织中的多细胞协调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，并进一步探索其在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癌症进程中的重塑机制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。</w:t>
      </w:r>
    </w:p>
    <w:p w:rsidR="007D52A3" w:rsidRPr="00082734" w:rsidRDefault="006856B9">
      <w:pPr>
        <w:pStyle w:val="Heading1"/>
        <w:rPr>
          <w:rFonts w:ascii="Times New Roman" w:eastAsia="FangSong" w:hAnsi="Times New Roman"/>
          <w:color w:val="000000" w:themeColor="text1"/>
          <w:lang w:eastAsia="zh-CN"/>
        </w:rPr>
      </w:pPr>
      <w:bookmarkStart w:id="2" w:name="健康组织中的多细胞协调"/>
      <w:bookmarkEnd w:id="1"/>
      <w:r w:rsidRPr="00082734">
        <w:rPr>
          <w:rFonts w:ascii="Times New Roman" w:eastAsia="FangSong" w:hAnsi="Times New Roman"/>
          <w:color w:val="000000" w:themeColor="text1"/>
          <w:lang w:eastAsia="zh-CN"/>
        </w:rPr>
        <w:t>健康组织中的多细胞协调</w:t>
      </w:r>
    </w:p>
    <w:p w:rsidR="007D52A3" w:rsidRPr="00082734" w:rsidRDefault="006856B9">
      <w:pPr>
        <w:pStyle w:val="FirstParagraph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本研究构建了一个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35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种人类组织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的单细胞</w:t>
      </w:r>
      <w:proofErr w:type="gramStart"/>
      <w:r w:rsidRPr="00082734">
        <w:rPr>
          <w:rFonts w:ascii="Times New Roman" w:eastAsia="FangSong" w:hAnsi="Times New Roman"/>
          <w:color w:val="000000" w:themeColor="text1"/>
          <w:lang w:eastAsia="zh-CN"/>
        </w:rPr>
        <w:t>转录组</w:t>
      </w:r>
      <w:proofErr w:type="gramEnd"/>
      <w:r w:rsidRPr="00082734">
        <w:rPr>
          <w:rFonts w:ascii="Times New Roman" w:eastAsia="FangSong" w:hAnsi="Times New Roman"/>
          <w:color w:val="000000" w:themeColor="text1"/>
          <w:lang w:eastAsia="zh-CN"/>
        </w:rPr>
        <w:t>数据集，涵盖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229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万余个高质量细胞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，首次系统性揭示了不同组织间的细胞组成及其动态协调模式。研究团队通过分析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细胞丰度的协方差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，识别出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12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个细胞模块（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Cellular Modules, CMs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），这些模块在空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间分布和功能层面展现出不同的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组织偏好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1.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免疫细胞模块（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CM05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、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CM06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：主要分布于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脾脏、淋巴结和血液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，两个免疫模块在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衰老过程中表现出相反的变化趋势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。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2.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成纤维细胞相关模块（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CM07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、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CM12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：主要分布于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乳腺、卵巢和子宫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，可能影响组织稳态，尤其是在更年期过程中。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3.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血管相关模块（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CM10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：主要出现在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皮肤、心脏和脂肪组织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，提示其在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血流动力学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中的关键作用。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082734" w:rsidRPr="00082734">
        <w:tc>
          <w:tcPr>
            <w:tcW w:w="7920" w:type="dxa"/>
          </w:tcPr>
          <w:p w:rsidR="007D52A3" w:rsidRPr="00082734" w:rsidRDefault="006856B9" w:rsidP="0090090B">
            <w:pPr>
              <w:pStyle w:val="Compact"/>
              <w:jc w:val="center"/>
              <w:rPr>
                <w:rFonts w:ascii="Times New Roman" w:eastAsia="FangSong" w:hAnsi="Times New Roman"/>
                <w:color w:val="000000" w:themeColor="text1"/>
              </w:rPr>
            </w:pPr>
            <w:bookmarkStart w:id="3" w:name="fig-01"/>
            <w:r w:rsidRPr="00082734">
              <w:rPr>
                <w:rFonts w:ascii="Times New Roman" w:eastAsia="FangSong" w:hAnsi="Times New Roman"/>
                <w:noProof/>
                <w:color w:val="000000" w:themeColor="text1"/>
              </w:rPr>
              <w:lastRenderedPageBreak/>
              <w:drawing>
                <wp:inline distT="0" distB="0" distL="0" distR="0">
                  <wp:extent cx="5334000" cy="4747304"/>
                  <wp:effectExtent l="0" t="0" r="0" b="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 descr="figure/fig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47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End w:id="3"/>
      </w:tr>
    </w:tbl>
    <w:p w:rsidR="007D52A3" w:rsidRPr="00082734" w:rsidRDefault="006856B9">
      <w:pPr>
        <w:pStyle w:val="BodyText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此外，研究团队利用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空间</w:t>
      </w:r>
      <w:proofErr w:type="gramStart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转录组</w:t>
      </w:r>
      <w:proofErr w:type="gramEnd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技术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和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体内扰动实验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，进一步验证了这些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细胞模块内的跨细胞通讯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，强调其在多细胞生态系统中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的关键作用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(Shi et al. 2025).</w:t>
      </w:r>
    </w:p>
    <w:p w:rsidR="007D52A3" w:rsidRPr="00082734" w:rsidRDefault="006856B9">
      <w:pPr>
        <w:pStyle w:val="Heading1"/>
        <w:rPr>
          <w:rFonts w:ascii="Times New Roman" w:eastAsia="FangSong" w:hAnsi="Times New Roman"/>
          <w:color w:val="000000" w:themeColor="text1"/>
          <w:lang w:eastAsia="zh-CN"/>
        </w:rPr>
      </w:pPr>
      <w:bookmarkStart w:id="4" w:name="癌症中的多细胞生态系统重塑"/>
      <w:bookmarkEnd w:id="2"/>
      <w:r w:rsidRPr="00082734">
        <w:rPr>
          <w:rFonts w:ascii="Times New Roman" w:eastAsia="FangSong" w:hAnsi="Times New Roman"/>
          <w:color w:val="000000" w:themeColor="text1"/>
          <w:lang w:eastAsia="zh-CN"/>
        </w:rPr>
        <w:t>癌症中的多细胞生态系统重塑</w:t>
      </w:r>
    </w:p>
    <w:p w:rsidR="007D52A3" w:rsidRPr="00082734" w:rsidRDefault="006856B9">
      <w:pPr>
        <w:pStyle w:val="FirstParagraph"/>
        <w:rPr>
          <w:rFonts w:ascii="Times New Roman" w:eastAsia="FangSong" w:hAnsi="Times New Roman"/>
          <w:color w:val="000000" w:themeColor="text1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癌症不仅仅是由基因突变引起的单细胞病变，它涉及整个组织生态系统的深刻改变。研究发现，在不同类型的癌症进程中，多细胞模块发生两类系统性重塑：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1.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健康组织的多细胞协调模式逐渐瓦解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- 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肺癌（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LUAD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）、肝癌（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HCC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）、肾癌（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KIRC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等癌种中，组织特异性的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CM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逐步丧失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，组织结构趋向无序化。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2.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癌症微环境出现统一化的细胞模块（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cCM02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-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cCM02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模块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在不同肿瘤类型（例如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结直肠癌、肝癌、肺癌、子宫癌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）中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同步增强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。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-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其特征包括：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-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肿瘤微环境的统一化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：免疫细胞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耗竭状态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的普遍存在。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-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成纤维细胞活化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：促进肿瘤生长，影响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免疫逃逸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。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</w:t>
      </w:r>
      <w:r w:rsidRPr="00082734">
        <w:rPr>
          <w:rFonts w:ascii="Times New Roman" w:eastAsia="FangSong" w:hAnsi="Times New Roman"/>
          <w:color w:val="000000" w:themeColor="text1"/>
        </w:rPr>
        <w:t xml:space="preserve">- </w:t>
      </w:r>
      <w:r w:rsidRPr="00082734">
        <w:rPr>
          <w:rFonts w:ascii="Times New Roman" w:eastAsia="FangSong" w:hAnsi="Times New Roman"/>
          <w:b/>
          <w:bCs/>
          <w:color w:val="000000" w:themeColor="text1"/>
        </w:rPr>
        <w:t>炎症信号强化</w:t>
      </w:r>
      <w:r w:rsidRPr="00082734">
        <w:rPr>
          <w:rFonts w:ascii="Times New Roman" w:eastAsia="FangSong" w:hAnsi="Times New Roman"/>
          <w:color w:val="000000" w:themeColor="text1"/>
        </w:rPr>
        <w:t>：涉及</w:t>
      </w:r>
      <w:r w:rsidRPr="00082734">
        <w:rPr>
          <w:rFonts w:ascii="Times New Roman" w:eastAsia="FangSong" w:hAnsi="Times New Roman"/>
          <w:b/>
          <w:bCs/>
          <w:color w:val="000000" w:themeColor="text1"/>
        </w:rPr>
        <w:t>IFN-γ</w:t>
      </w:r>
      <w:r w:rsidRPr="00082734">
        <w:rPr>
          <w:rFonts w:ascii="Times New Roman" w:eastAsia="FangSong" w:hAnsi="Times New Roman"/>
          <w:b/>
          <w:bCs/>
          <w:color w:val="000000" w:themeColor="text1"/>
        </w:rPr>
        <w:t>、</w:t>
      </w:r>
      <w:r w:rsidRPr="00082734">
        <w:rPr>
          <w:rFonts w:ascii="Times New Roman" w:eastAsia="FangSong" w:hAnsi="Times New Roman"/>
          <w:b/>
          <w:bCs/>
          <w:color w:val="000000" w:themeColor="text1"/>
        </w:rPr>
        <w:t>IL-18</w:t>
      </w:r>
      <w:r w:rsidRPr="00082734">
        <w:rPr>
          <w:rFonts w:ascii="Times New Roman" w:eastAsia="FangSong" w:hAnsi="Times New Roman"/>
          <w:b/>
          <w:bCs/>
          <w:color w:val="000000" w:themeColor="text1"/>
        </w:rPr>
        <w:t>、</w:t>
      </w:r>
      <w:r w:rsidRPr="00082734">
        <w:rPr>
          <w:rFonts w:ascii="Times New Roman" w:eastAsia="FangSong" w:hAnsi="Times New Roman"/>
          <w:b/>
          <w:bCs/>
          <w:color w:val="000000" w:themeColor="text1"/>
        </w:rPr>
        <w:t>IL-15</w:t>
      </w:r>
      <w:r w:rsidRPr="00082734">
        <w:rPr>
          <w:rFonts w:ascii="Times New Roman" w:eastAsia="FangSong" w:hAnsi="Times New Roman"/>
          <w:color w:val="000000" w:themeColor="text1"/>
        </w:rPr>
        <w:t>等细胞因子的升高，提示其在癌症进程中的关键作用</w:t>
      </w:r>
      <w:r w:rsidRPr="00082734">
        <w:rPr>
          <w:rFonts w:ascii="Times New Roman" w:eastAsia="FangSong" w:hAnsi="Times New Roman"/>
          <w:color w:val="000000" w:themeColor="text1"/>
        </w:rPr>
        <w:t xml:space="preserve"> (Shi et al. 2025).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082734" w:rsidRPr="00082734">
        <w:tc>
          <w:tcPr>
            <w:tcW w:w="7920" w:type="dxa"/>
          </w:tcPr>
          <w:p w:rsidR="007D52A3" w:rsidRPr="00082734" w:rsidRDefault="006856B9" w:rsidP="006B178E">
            <w:pPr>
              <w:pStyle w:val="Compact"/>
              <w:jc w:val="center"/>
              <w:rPr>
                <w:rFonts w:ascii="Times New Roman" w:eastAsia="FangSong" w:hAnsi="Times New Roman"/>
                <w:color w:val="000000" w:themeColor="text1"/>
              </w:rPr>
            </w:pPr>
            <w:bookmarkStart w:id="5" w:name="fig-02"/>
            <w:r w:rsidRPr="00082734">
              <w:rPr>
                <w:rFonts w:ascii="Times New Roman" w:eastAsia="FangSong" w:hAnsi="Times New Roman"/>
                <w:noProof/>
                <w:color w:val="000000" w:themeColor="text1"/>
              </w:rPr>
              <w:lastRenderedPageBreak/>
              <w:drawing>
                <wp:inline distT="0" distB="0" distL="0" distR="0">
                  <wp:extent cx="5334000" cy="5244428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 descr="figure/fig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244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End w:id="5"/>
      </w:tr>
    </w:tbl>
    <w:p w:rsidR="007D52A3" w:rsidRPr="00082734" w:rsidRDefault="006856B9">
      <w:pPr>
        <w:pStyle w:val="BodyText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此外，研究还发现，癌症相关模块的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细胞间协同作用增强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，这为未来的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癌症干预策略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提供了新的研究方向。</w:t>
      </w:r>
    </w:p>
    <w:p w:rsidR="007D52A3" w:rsidRPr="00082734" w:rsidRDefault="006856B9">
      <w:pPr>
        <w:pStyle w:val="Heading1"/>
        <w:rPr>
          <w:rFonts w:ascii="Times New Roman" w:eastAsia="FangSong" w:hAnsi="Times New Roman"/>
          <w:color w:val="000000" w:themeColor="text1"/>
          <w:lang w:eastAsia="zh-CN"/>
        </w:rPr>
      </w:pPr>
      <w:bookmarkStart w:id="6" w:name="研究方法与数据验证"/>
      <w:bookmarkEnd w:id="4"/>
      <w:r w:rsidRPr="00082734">
        <w:rPr>
          <w:rFonts w:ascii="Times New Roman" w:eastAsia="FangSong" w:hAnsi="Times New Roman"/>
          <w:color w:val="000000" w:themeColor="text1"/>
          <w:lang w:eastAsia="zh-CN"/>
        </w:rPr>
        <w:t>研究方法与数据验证</w:t>
      </w:r>
    </w:p>
    <w:p w:rsidR="007D52A3" w:rsidRPr="00082734" w:rsidRDefault="006856B9">
      <w:pPr>
        <w:pStyle w:val="FirstParagraph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研究团队开发了一个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计算框架（</w:t>
      </w:r>
      <w:proofErr w:type="spellStart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CoVarNet</w:t>
      </w:r>
      <w:proofErr w:type="spellEnd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，结合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非负矩阵分解（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NMF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和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细胞丰度协方差分析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，系统性识别跨组织细胞模块。此外，研究采用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空间</w:t>
      </w:r>
      <w:proofErr w:type="gramStart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转录组</w:t>
      </w:r>
      <w:proofErr w:type="gramEnd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分析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和</w:t>
      </w:r>
      <w:proofErr w:type="spellStart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GTEx</w:t>
      </w:r>
      <w:proofErr w:type="spellEnd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数据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进行交叉验证：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- </w:t>
      </w:r>
      <w:proofErr w:type="spellStart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GTEx</w:t>
      </w:r>
      <w:proofErr w:type="spellEnd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数据验证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：健康组织的跨组织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CM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在</w:t>
      </w:r>
      <w:proofErr w:type="spellStart"/>
      <w:r w:rsidRPr="00082734">
        <w:rPr>
          <w:rFonts w:ascii="Times New Roman" w:eastAsia="FangSong" w:hAnsi="Times New Roman"/>
          <w:color w:val="000000" w:themeColor="text1"/>
          <w:lang w:eastAsia="zh-CN"/>
        </w:rPr>
        <w:t>GTEx</w:t>
      </w:r>
      <w:proofErr w:type="spellEnd"/>
      <w:r w:rsidRPr="00082734">
        <w:rPr>
          <w:rFonts w:ascii="Times New Roman" w:eastAsia="FangSong" w:hAnsi="Times New Roman"/>
          <w:color w:val="000000" w:themeColor="text1"/>
          <w:lang w:eastAsia="zh-CN"/>
        </w:rPr>
        <w:t>大规模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RNA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测序数据中得到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高度重现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，确保其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广泛适用性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(Consortium 2013). -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空间转录组验证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：不同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CM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皮肤、肠道和乳腺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组织中的分布模式与其功能高度一致。</w:t>
      </w:r>
    </w:p>
    <w:p w:rsidR="007D52A3" w:rsidRPr="00082734" w:rsidRDefault="006856B9">
      <w:pPr>
        <w:pStyle w:val="BodyText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这种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整合单细胞数据、空间分布数据和体内功能实验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的方法，使得研究结果更具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稳健性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和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生物学意义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(Shi et al. 2025).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082734" w:rsidRPr="00082734">
        <w:tc>
          <w:tcPr>
            <w:tcW w:w="7920" w:type="dxa"/>
          </w:tcPr>
          <w:p w:rsidR="007D52A3" w:rsidRPr="00082734" w:rsidRDefault="006856B9" w:rsidP="0090090B">
            <w:pPr>
              <w:pStyle w:val="Compact"/>
              <w:jc w:val="center"/>
              <w:rPr>
                <w:rFonts w:ascii="Times New Roman" w:eastAsia="FangSong" w:hAnsi="Times New Roman"/>
                <w:color w:val="000000" w:themeColor="text1"/>
              </w:rPr>
            </w:pPr>
            <w:bookmarkStart w:id="7" w:name="fig-03"/>
            <w:r w:rsidRPr="00082734">
              <w:rPr>
                <w:rFonts w:ascii="Times New Roman" w:eastAsia="FangSong" w:hAnsi="Times New Roman"/>
                <w:noProof/>
                <w:color w:val="000000" w:themeColor="text1"/>
              </w:rPr>
              <w:lastRenderedPageBreak/>
              <w:drawing>
                <wp:inline distT="0" distB="0" distL="0" distR="0">
                  <wp:extent cx="5334000" cy="4750179"/>
                  <wp:effectExtent l="0" t="0" r="0" b="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 descr="figure/fig-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50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End w:id="7"/>
      </w:tr>
    </w:tbl>
    <w:p w:rsidR="007D52A3" w:rsidRPr="00082734" w:rsidRDefault="006856B9">
      <w:pPr>
        <w:pStyle w:val="Heading1"/>
        <w:rPr>
          <w:rFonts w:ascii="Times New Roman" w:eastAsia="FangSong" w:hAnsi="Times New Roman"/>
          <w:color w:val="000000" w:themeColor="text1"/>
        </w:rPr>
      </w:pPr>
      <w:bookmarkStart w:id="8" w:name="未来展望"/>
      <w:bookmarkEnd w:id="6"/>
      <w:proofErr w:type="spellStart"/>
      <w:r w:rsidRPr="00082734">
        <w:rPr>
          <w:rFonts w:ascii="Times New Roman" w:eastAsia="FangSong" w:hAnsi="Times New Roman"/>
          <w:color w:val="000000" w:themeColor="text1"/>
        </w:rPr>
        <w:t>未来展望</w:t>
      </w:r>
      <w:proofErr w:type="spellEnd"/>
    </w:p>
    <w:p w:rsidR="007D52A3" w:rsidRPr="00082734" w:rsidRDefault="006856B9">
      <w:pPr>
        <w:pStyle w:val="FirstParagraph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本研究揭示了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跨组织细胞协调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在健康状态下的关键作用，并系统性解析了其在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癌症进程中的重塑机制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。这些发现不仅有助于理解健康组织的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稳态调控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，还能为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癌症的早期诊断、治疗和干预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提供新的视角。未来的研究可以进一步：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1.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结合空间转录组和蛋白质组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，研究更精细的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细胞通讯网络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；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2.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探索人工智能算法在生物医学中的应用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，自动化识别肿瘤微环境中的细胞模式；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3. 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开发针对特定细胞模块的癌症治疗策略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，特别是在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成纤维细胞和免疫细胞的功能调控方面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。</w:t>
      </w:r>
    </w:p>
    <w:p w:rsidR="007D52A3" w:rsidRPr="00082734" w:rsidRDefault="006856B9">
      <w:pPr>
        <w:pStyle w:val="BodyText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总体而言，本研究奠定了</w:t>
      </w:r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细胞生态系统在健康与疾病中的组织</w:t>
      </w:r>
      <w:proofErr w:type="gramStart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级功能</w:t>
      </w:r>
      <w:proofErr w:type="gramEnd"/>
      <w:r w:rsidRPr="00082734">
        <w:rPr>
          <w:rFonts w:ascii="Times New Roman" w:eastAsia="FangSong" w:hAnsi="Times New Roman"/>
          <w:b/>
          <w:bCs/>
          <w:color w:val="000000" w:themeColor="text1"/>
          <w:lang w:eastAsia="zh-CN"/>
        </w:rPr>
        <w:t>基础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，为生命科学和精准医学提供了新的研究方向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(S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hi et al. 2025).</w:t>
      </w:r>
    </w:p>
    <w:p w:rsidR="006155B3" w:rsidRDefault="006155B3">
      <w:pPr>
        <w:pStyle w:val="BodyText"/>
        <w:rPr>
          <w:rFonts w:ascii="Times New Roman" w:eastAsia="FangSong" w:hAnsi="Times New Roman"/>
          <w:color w:val="000000" w:themeColor="text1"/>
          <w:lang w:eastAsia="zh-CN"/>
        </w:rPr>
      </w:pPr>
    </w:p>
    <w:p w:rsidR="007D52A3" w:rsidRPr="00082734" w:rsidRDefault="006856B9">
      <w:pPr>
        <w:pStyle w:val="BodyText"/>
        <w:rPr>
          <w:rFonts w:ascii="Times New Roman" w:eastAsia="FangSong" w:hAnsi="Times New Roman"/>
          <w:color w:val="000000" w:themeColor="text1"/>
          <w:lang w:eastAsia="zh-CN"/>
        </w:rPr>
      </w:pPr>
      <w:r w:rsidRPr="00082734">
        <w:rPr>
          <w:rFonts w:ascii="Times New Roman" w:eastAsia="FangSong" w:hAnsi="Times New Roman"/>
          <w:color w:val="000000" w:themeColor="text1"/>
          <w:lang w:eastAsia="zh-CN"/>
        </w:rPr>
        <w:t>今天小编为大家介绍了一篇高分文献，希望能给大家的研究思路带来一些启发！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 xml:space="preserve"> 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本公众号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t>专注与单细胞、空间转录组、空间代谢组、空间蛋白质组以及宏基因组方向个性化分析</w:t>
      </w:r>
      <w:r w:rsidRPr="00082734">
        <w:rPr>
          <w:rFonts w:ascii="Times New Roman" w:eastAsia="FangSong" w:hAnsi="Times New Roman"/>
          <w:color w:val="000000" w:themeColor="text1"/>
          <w:lang w:eastAsia="zh-CN"/>
        </w:rPr>
        <w:lastRenderedPageBreak/>
        <w:t>和方案设计，欢迎大家交流咨询。后续我们还会更新更多空间转录组、空间蛋白质组、空间代谢组以及单细胞方面的内容，欢迎关注交流。</w:t>
      </w:r>
    </w:p>
    <w:p w:rsidR="007D52A3" w:rsidRPr="00082734" w:rsidRDefault="006856B9">
      <w:pPr>
        <w:pStyle w:val="BodyText"/>
        <w:rPr>
          <w:rFonts w:ascii="Times New Roman" w:eastAsia="FangSong" w:hAnsi="Times New Roman"/>
          <w:color w:val="000000" w:themeColor="text1"/>
        </w:rPr>
      </w:pPr>
      <w:r w:rsidRPr="00082734">
        <w:rPr>
          <w:rFonts w:ascii="Times New Roman" w:eastAsia="FangSong" w:hAnsi="Times New Roman"/>
          <w:noProof/>
          <w:color w:val="000000" w:themeColor="text1"/>
        </w:rPr>
        <w:drawing>
          <wp:inline distT="0" distB="0" distL="0" distR="0">
            <wp:extent cx="1600200" cy="1600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./StringArk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2A3" w:rsidRPr="00082734" w:rsidRDefault="006856B9">
      <w:pPr>
        <w:pStyle w:val="Heading1"/>
        <w:rPr>
          <w:rFonts w:ascii="Times New Roman" w:eastAsia="FangSong" w:hAnsi="Times New Roman"/>
          <w:color w:val="000000" w:themeColor="text1"/>
        </w:rPr>
      </w:pPr>
      <w:bookmarkStart w:id="9" w:name="参考文献"/>
      <w:bookmarkEnd w:id="8"/>
      <w:r w:rsidRPr="00082734">
        <w:rPr>
          <w:rFonts w:ascii="Times New Roman" w:eastAsia="FangSong" w:hAnsi="Times New Roman"/>
          <w:color w:val="000000" w:themeColor="text1"/>
        </w:rPr>
        <w:t>参考文献</w:t>
      </w:r>
    </w:p>
    <w:p w:rsidR="007D52A3" w:rsidRPr="00082734" w:rsidRDefault="006856B9">
      <w:pPr>
        <w:pStyle w:val="Bibliography"/>
        <w:rPr>
          <w:rFonts w:ascii="Times New Roman" w:eastAsia="FangSong" w:hAnsi="Times New Roman"/>
          <w:color w:val="000000" w:themeColor="text1"/>
        </w:rPr>
      </w:pPr>
      <w:bookmarkStart w:id="10" w:name="ref-GTEx2013"/>
      <w:bookmarkStart w:id="11" w:name="refs"/>
      <w:r w:rsidRPr="00082734">
        <w:rPr>
          <w:rFonts w:ascii="Times New Roman" w:eastAsia="FangSong" w:hAnsi="Times New Roman"/>
          <w:color w:val="000000" w:themeColor="text1"/>
        </w:rPr>
        <w:t>Consortium, The GTEx. 2013. “The Genotype-Tissue Expression (GTEx) Proje</w:t>
      </w:r>
      <w:r w:rsidRPr="00082734">
        <w:rPr>
          <w:rFonts w:ascii="Times New Roman" w:eastAsia="FangSong" w:hAnsi="Times New Roman"/>
          <w:color w:val="000000" w:themeColor="text1"/>
        </w:rPr>
        <w:t xml:space="preserve">ct.” </w:t>
      </w:r>
      <w:r w:rsidRPr="00082734">
        <w:rPr>
          <w:rFonts w:ascii="Times New Roman" w:eastAsia="FangSong" w:hAnsi="Times New Roman"/>
          <w:i/>
          <w:iCs/>
          <w:color w:val="000000" w:themeColor="text1"/>
        </w:rPr>
        <w:t>Nature Genetics</w:t>
      </w:r>
      <w:r w:rsidRPr="00082734">
        <w:rPr>
          <w:rFonts w:ascii="Times New Roman" w:eastAsia="FangSong" w:hAnsi="Times New Roman"/>
          <w:color w:val="000000" w:themeColor="text1"/>
        </w:rPr>
        <w:t xml:space="preserve"> 45: 580–85. </w:t>
      </w:r>
      <w:hyperlink r:id="rId9">
        <w:r w:rsidRPr="00082734">
          <w:rPr>
            <w:rStyle w:val="Hyperlink"/>
            <w:rFonts w:ascii="Times New Roman" w:eastAsia="FangSong" w:hAnsi="Times New Roman"/>
            <w:color w:val="000000" w:themeColor="text1"/>
          </w:rPr>
          <w:t>https://doi.org/10.1038/ng.2653</w:t>
        </w:r>
      </w:hyperlink>
      <w:r w:rsidRPr="00082734">
        <w:rPr>
          <w:rFonts w:ascii="Times New Roman" w:eastAsia="FangSong" w:hAnsi="Times New Roman"/>
          <w:color w:val="000000" w:themeColor="text1"/>
        </w:rPr>
        <w:t>.</w:t>
      </w:r>
    </w:p>
    <w:p w:rsidR="007D52A3" w:rsidRPr="00082734" w:rsidRDefault="006856B9">
      <w:pPr>
        <w:pStyle w:val="Bibliography"/>
        <w:rPr>
          <w:rFonts w:ascii="Times New Roman" w:eastAsia="FangSong" w:hAnsi="Times New Roman"/>
          <w:color w:val="000000" w:themeColor="text1"/>
        </w:rPr>
      </w:pPr>
      <w:bookmarkStart w:id="12" w:name="ref-Shi2025"/>
      <w:bookmarkEnd w:id="10"/>
      <w:r w:rsidRPr="00082734">
        <w:rPr>
          <w:rFonts w:ascii="Times New Roman" w:eastAsia="FangSong" w:hAnsi="Times New Roman"/>
          <w:color w:val="000000" w:themeColor="text1"/>
        </w:rPr>
        <w:t>Shi, Qiang, Yihan Chen, Yang Li, Shishang Qin, Yu Yang, Yang Gao, Linnan Zhu, Dongfang Wang, and Zemin Zhang. 2025. “Cross-Tissue Multicell</w:t>
      </w:r>
      <w:r w:rsidRPr="00082734">
        <w:rPr>
          <w:rFonts w:ascii="Times New Roman" w:eastAsia="FangSong" w:hAnsi="Times New Roman"/>
          <w:color w:val="000000" w:themeColor="text1"/>
        </w:rPr>
        <w:t xml:space="preserve">ular Coordination and Its Rewiring in Cancer.” </w:t>
      </w:r>
      <w:r w:rsidRPr="00082734">
        <w:rPr>
          <w:rFonts w:ascii="Times New Roman" w:eastAsia="FangSong" w:hAnsi="Times New Roman"/>
          <w:i/>
          <w:iCs/>
          <w:color w:val="000000" w:themeColor="text1"/>
        </w:rPr>
        <w:t>Nature</w:t>
      </w:r>
      <w:r w:rsidRPr="00082734">
        <w:rPr>
          <w:rFonts w:ascii="Times New Roman" w:eastAsia="FangSong" w:hAnsi="Times New Roman"/>
          <w:color w:val="000000" w:themeColor="text1"/>
        </w:rPr>
        <w:t xml:space="preserve"> XXX: XX–. </w:t>
      </w:r>
      <w:hyperlink r:id="rId10">
        <w:r w:rsidRPr="00082734">
          <w:rPr>
            <w:rStyle w:val="Hyperlink"/>
            <w:rFonts w:ascii="Times New Roman" w:eastAsia="FangSong" w:hAnsi="Times New Roman"/>
            <w:color w:val="000000" w:themeColor="text1"/>
          </w:rPr>
          <w:t>https://doi.org/10.1038/s41586-025-09053-4</w:t>
        </w:r>
      </w:hyperlink>
      <w:r w:rsidRPr="00082734">
        <w:rPr>
          <w:rFonts w:ascii="Times New Roman" w:eastAsia="FangSong" w:hAnsi="Times New Roman"/>
          <w:color w:val="000000" w:themeColor="text1"/>
        </w:rPr>
        <w:t>.</w:t>
      </w:r>
    </w:p>
    <w:bookmarkEnd w:id="12"/>
    <w:bookmarkEnd w:id="11"/>
    <w:bookmarkEnd w:id="9"/>
    <w:sectPr w:rsidR="007D52A3" w:rsidRPr="0008273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5D1684B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52A3"/>
    <w:rsid w:val="000415D2"/>
    <w:rsid w:val="00082734"/>
    <w:rsid w:val="002D475D"/>
    <w:rsid w:val="005514D9"/>
    <w:rsid w:val="006155B3"/>
    <w:rsid w:val="006856B9"/>
    <w:rsid w:val="006B178E"/>
    <w:rsid w:val="007D52A3"/>
    <w:rsid w:val="0090090B"/>
    <w:rsid w:val="009B16E4"/>
    <w:rsid w:val="00C273A3"/>
    <w:rsid w:val="00C63A0B"/>
    <w:rsid w:val="00DC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85D6A"/>
  <w15:docId w15:val="{1D77EB30-9954-4E57-9EA2-6BD8ABCC2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i.org/10.1038/s41586-025-09053-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1038/ng.265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跨组织多细胞协调及其在癌症中的重塑</dc:title>
  <dc:creator>序列方舟</dc:creator>
  <cp:keywords/>
  <cp:lastModifiedBy>123</cp:lastModifiedBy>
  <cp:revision>13</cp:revision>
  <dcterms:created xsi:type="dcterms:W3CDTF">2025-06-12T02:22:00Z</dcterms:created>
  <dcterms:modified xsi:type="dcterms:W3CDTF">2025-06-12T02:25:00Z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ref.bib</vt:lpwstr>
  </property>
  <property fmtid="{D5CDD505-2E9C-101B-9397-08002B2CF9AE}" pid="5" name="by-auth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