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jpg" ContentType="image/jpeg"/>
  <Override PartName="/word/media/rId21.png" ContentType="image/png"/>
  <Override PartName="/word/media/rId27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Seq-Scope：高分辨率空间转录组技术</w:t>
      </w:r>
    </w:p>
    <w:p>
      <w:pPr>
        <w:pStyle w:val="Author"/>
      </w:pPr>
      <w:r>
        <w:t xml:space="preserve">序列方舟</w:t>
      </w:r>
    </w:p>
    <w:bookmarkStart w:id="20" w:name="引言"/>
    <w:p>
      <w:pPr>
        <w:pStyle w:val="Heading2"/>
      </w:pPr>
      <w:r>
        <w:t xml:space="preserve">1 引言</w:t>
      </w:r>
    </w:p>
    <w:p>
      <w:pPr>
        <w:pStyle w:val="FirstParagraph"/>
      </w:pPr>
      <w:r>
        <w:t xml:space="preserve">空间转录组（Spatial Transcriptomics, ST）技术正快速发展，其目标是在组织切片中获取全面的基因表达信息，随着时间的发展，越来越多的技术涌现出来。今天小编为大家介绍另外一种基于Illumina patterned flow cell的空间转录组技术：Seq-Scope</w:t>
      </w:r>
      <w:r>
        <w:rPr>
          <w:vertAlign w:val="superscript"/>
        </w:rPr>
        <w:t xml:space="preserve">[1]</w:t>
      </w:r>
      <w:r>
        <w:t xml:space="preserve">。传统方法如 10x Visum 的分辨率受限（约 100 μm），难以观察单细胞甚至亚细胞结构。</w:t>
      </w:r>
      <w:r>
        <w:rPr>
          <w:b/>
          <w:bCs/>
        </w:rPr>
        <w:t xml:space="preserve">Seq-Scope</w:t>
      </w:r>
      <w:r>
        <w:t xml:space="preserve"> </w:t>
      </w:r>
      <w:r>
        <w:t xml:space="preserve">是一种基于 Illumina 流式测序平台的新型空间转录组技术，具有亚微米级分辨率（约 0.6 μm），可实现</w:t>
      </w:r>
      <w:r>
        <w:rPr>
          <w:b/>
          <w:bCs/>
        </w:rPr>
        <w:t xml:space="preserve">空间单细胞</w:t>
      </w:r>
      <w:r>
        <w:t xml:space="preserve">和</w:t>
      </w:r>
      <w:r>
        <w:rPr>
          <w:b/>
          <w:bCs/>
        </w:rPr>
        <w:t xml:space="preserve">亚细胞转录组分析</w:t>
      </w:r>
      <w:r>
        <w:t xml:space="preserve">，显著推动了组织微观结构的转录组探索。</w:t>
      </w:r>
    </w:p>
    <w:bookmarkEnd w:id="20"/>
    <w:bookmarkStart w:id="25" w:name="illumina-patterned-flow-cell"/>
    <w:p>
      <w:pPr>
        <w:pStyle w:val="Heading2"/>
      </w:pPr>
      <w:r>
        <w:t xml:space="preserve">2 Illumina patterned flow cell</w:t>
      </w:r>
    </w:p>
    <w:p>
      <w:pPr>
        <w:pStyle w:val="FirstParagraph"/>
      </w:pPr>
      <w:r>
        <w:t xml:space="preserve">在介绍Seq-Scope之前，我们先来了解一下什么是patterned flow cell.</w:t>
      </w:r>
    </w:p>
    <w:p>
      <w:pPr>
        <w:pStyle w:val="BodyText"/>
      </w:pPr>
      <w:r>
        <w:t xml:space="preserve">简单来说，patterned flow cell就是在一个载玻片上有排列规则的小孔（有点类似10x Visum或者Stereo-seq载玻片），两个小孔圆心之间的距离约0.6μm，这也是Seq-Scope理论上的分辨率极限。每个小孔里面会有一条长度为32-nt的barcode序列，在测序之前通过桥式PCR对其进行扩展，形成barcode cluster。</w:t>
      </w:r>
    </w:p>
    <w:p>
      <w:pPr>
        <w:pStyle w:val="BodyText"/>
      </w:pPr>
      <w:r>
        <w:t xml:space="preserve">barcode的结果如下:</w:t>
      </w:r>
    </w:p>
    <w:p>
      <w:pPr>
        <w:pStyle w:val="BodyText"/>
      </w:pPr>
      <w:r>
        <w:t xml:space="preserve">$$5' - [P5] - [32-nt \space HDMI \space barcode] - [poly(dT)] - [P7] - 3'$$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01"/>
          <w:p>
            <w:pPr>
              <w:pStyle w:val="Compact"/>
              <w:jc w:val="center"/>
            </w:pPr>
            <w:r>
              <w:drawing>
                <wp:inline>
                  <wp:extent cx="5334000" cy="386914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figures/seqscope-0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6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patterned flow cell。</w:t>
            </w:r>
          </w:p>
          <w:bookmarkEnd w:id="24"/>
        </w:tc>
      </w:tr>
    </w:tbl>
    <w:bookmarkEnd w:id="25"/>
    <w:bookmarkStart w:id="32" w:name="技术原理概览"/>
    <w:p>
      <w:pPr>
        <w:pStyle w:val="Heading2"/>
      </w:pPr>
      <w:r>
        <w:t xml:space="preserve">3 🧬 技术原理概览</w:t>
      </w:r>
    </w:p>
    <w:p>
      <w:pPr>
        <w:pStyle w:val="FirstParagraph"/>
      </w:pPr>
      <w:r>
        <w:t xml:space="preserve">Seq-Scope 分为两个主要步骤：</w:t>
      </w:r>
    </w:p>
    <w:bookmarkStart w:id="26" w:name="第一次测序1st-seq"/>
    <w:p>
      <w:pPr>
        <w:pStyle w:val="Heading3"/>
      </w:pPr>
      <w:r>
        <w:t xml:space="preserve">3.1 ◾️ 第一次测序（1st-Seq）</w:t>
      </w:r>
    </w:p>
    <w:p>
      <w:pPr>
        <w:pStyle w:val="FirstParagraph"/>
      </w:pPr>
      <w:r>
        <w:t xml:space="preserve">将编码空间条形码的 HDMI-oligo（High-Definition Map coordinate Identifier）在 Illumina flow cell 上进行</w:t>
      </w:r>
      <w:r>
        <w:rPr>
          <w:b/>
          <w:bCs/>
        </w:rPr>
        <w:t xml:space="preserve">固相扩增（solid-phase amplification）</w:t>
      </w:r>
      <w:r>
        <w:t xml:space="preserve">。Illumina</w:t>
      </w:r>
      <w:r>
        <w:t xml:space="preserve"> </w:t>
      </w:r>
      <w:r>
        <w:rPr>
          <w:b/>
          <w:bCs/>
        </w:rPr>
        <w:t xml:space="preserve">测序仪读取 HDMI 序列及其空间坐标（x,y）</w:t>
      </w:r>
      <w:r>
        <w:t xml:space="preserve">，构建空间条码与位置映射。在这一步会通过小孔中是否有多个颜色来判断是否有多种barcode，从而将这样的小孔去除。所以如果考虑到空的以及含有多个barcode的小孔，实际分辨率会大于0.6 μm。但是由于其barcode的密度较高，捕获率相较于其他技术会高一些。</w:t>
      </w:r>
    </w:p>
    <w:bookmarkEnd w:id="26"/>
    <w:bookmarkStart w:id="31" w:name="第二次测序2nd-seq"/>
    <w:p>
      <w:pPr>
        <w:pStyle w:val="Heading3"/>
      </w:pPr>
      <w:r>
        <w:t xml:space="preserve">3.2 ◾️ 第二次测序（2nd-Seq）</w:t>
      </w:r>
    </w:p>
    <w:p>
      <w:pPr>
        <w:pStyle w:val="FirstParagraph"/>
      </w:pPr>
      <w:r>
        <w:t xml:space="preserve">这一步是真正的测序步骤，首先在 flow cell 上放置组织切片，组织中的 mRNA 与 HDMI-oligo 的 poly(dT) 区杂交。逆转录生成 cDNA footprint，然后第二链合成，最后PCR 富集建库。TruSeq Read 1 与 Read 2 实现</w:t>
      </w:r>
      <w:r>
        <w:rPr>
          <w:b/>
          <w:bCs/>
        </w:rPr>
        <w:t xml:space="preserve">paired-end 测序</w:t>
      </w:r>
      <w:r>
        <w:t xml:space="preserve">，获得 cDNA + HDMI 的信息。与 1st-Seq 的空间坐标匹配，实现空间转录组重建。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2"/>
          <w:p>
            <w:pPr>
              <w:pStyle w:val="Compact"/>
              <w:jc w:val="center"/>
            </w:pPr>
            <w:r>
              <w:drawing>
                <wp:inline>
                  <wp:extent cx="5334000" cy="2373063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figures/seqscope-0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73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Seq-Scope工作流程。</w:t>
            </w:r>
          </w:p>
          <w:bookmarkEnd w:id="30"/>
        </w:tc>
      </w:tr>
    </w:tbl>
    <w:bookmarkEnd w:id="31"/>
    <w:bookmarkEnd w:id="32"/>
    <w:bookmarkStart w:id="36" w:name="技术优势与性能评估"/>
    <w:p>
      <w:pPr>
        <w:pStyle w:val="Heading2"/>
      </w:pPr>
      <w:r>
        <w:t xml:space="preserve">4 🔬 技术优势与性能评估</w:t>
      </w:r>
    </w:p>
    <w:bookmarkStart w:id="33" w:name="分辨率突破"/>
    <w:p>
      <w:pPr>
        <w:pStyle w:val="Heading3"/>
      </w:pPr>
      <w:r>
        <w:t xml:space="preserve">4.1 ◾️ 分辨率突破</w:t>
      </w:r>
    </w:p>
    <w:p>
      <w:pPr>
        <w:pStyle w:val="Compact"/>
        <w:numPr>
          <w:ilvl w:val="0"/>
          <w:numId w:val="1001"/>
        </w:numPr>
      </w:pPr>
      <w:r>
        <w:t xml:space="preserve">HDMI pixel 间距约为 0.6 μm，比 VISIUM（100 μm）、Slide-Seq（10 μm）等技术高出数十倍。</w:t>
      </w:r>
    </w:p>
    <w:p>
      <w:pPr>
        <w:pStyle w:val="Compact"/>
        <w:numPr>
          <w:ilvl w:val="0"/>
          <w:numId w:val="1001"/>
        </w:numPr>
      </w:pPr>
      <w:r>
        <w:t xml:space="preserve">每 1 mm² flow cell 区域可容纳约</w:t>
      </w:r>
      <w:r>
        <w:t xml:space="preserve"> </w:t>
      </w:r>
      <w:r>
        <w:rPr>
          <w:b/>
          <w:bCs/>
        </w:rPr>
        <w:t xml:space="preserve">150 万个 HDMI clusters</w:t>
      </w:r>
      <w:r>
        <w:t xml:space="preserve">。</w:t>
      </w:r>
    </w:p>
    <w:bookmarkEnd w:id="33"/>
    <w:bookmarkStart w:id="34" w:name="转录捕获效率"/>
    <w:p>
      <w:pPr>
        <w:pStyle w:val="Heading3"/>
      </w:pPr>
      <w:r>
        <w:t xml:space="preserve">4.2 ◾️ 转录捕获效率</w:t>
      </w:r>
    </w:p>
    <w:p>
      <w:pPr>
        <w:pStyle w:val="Compact"/>
        <w:numPr>
          <w:ilvl w:val="0"/>
          <w:numId w:val="1002"/>
        </w:numPr>
      </w:pPr>
      <w:r>
        <w:t xml:space="preserve">每 HDMI pixel 可捕获平均：</w:t>
      </w:r>
    </w:p>
    <w:p>
      <w:pPr>
        <w:pStyle w:val="Compact"/>
        <w:numPr>
          <w:ilvl w:val="1"/>
          <w:numId w:val="1003"/>
        </w:numPr>
      </w:pPr>
      <w:r>
        <w:t xml:space="preserve">肝组织：~6.7 个 UMI</w:t>
      </w:r>
    </w:p>
    <w:p>
      <w:pPr>
        <w:pStyle w:val="Compact"/>
        <w:numPr>
          <w:ilvl w:val="1"/>
          <w:numId w:val="1003"/>
        </w:numPr>
      </w:pPr>
      <w:r>
        <w:t xml:space="preserve">结肠组织：~23.4 个 UMI</w:t>
      </w:r>
    </w:p>
    <w:p>
      <w:pPr>
        <w:pStyle w:val="Compact"/>
        <w:numPr>
          <w:ilvl w:val="0"/>
          <w:numId w:val="1002"/>
        </w:numPr>
      </w:pPr>
      <w:r>
        <w:t xml:space="preserve">在合并单细胞区域后，平均获得 ~4700 个 UMI，逼近传统单细胞 RNA-seq 的水平。</w:t>
      </w:r>
    </w:p>
    <w:bookmarkEnd w:id="34"/>
    <w:bookmarkStart w:id="35" w:name="亚细胞分辨力"/>
    <w:p>
      <w:pPr>
        <w:pStyle w:val="Heading3"/>
      </w:pPr>
      <w:r>
        <w:t xml:space="preserve">4.3 ◾️ 亚细胞分辨力</w:t>
      </w:r>
    </w:p>
    <w:p>
      <w:pPr>
        <w:pStyle w:val="Compact"/>
        <w:numPr>
          <w:ilvl w:val="0"/>
          <w:numId w:val="1004"/>
        </w:numPr>
      </w:pPr>
      <w:r>
        <w:t xml:space="preserve">区分未剪接（unspliced）、已剪接（spliced）与线粒体转录本（mtRNA），实现核-胞质空间结构可视化。</w:t>
      </w:r>
    </w:p>
    <w:p>
      <w:pPr>
        <w:pStyle w:val="Compact"/>
        <w:numPr>
          <w:ilvl w:val="0"/>
          <w:numId w:val="1004"/>
        </w:numPr>
      </w:pPr>
      <w:r>
        <w:t xml:space="preserve">Malat1、Neat1 等核定位 RNA 富集于 unspliced 区域；mtRNA 显著富集于胞质区。</w:t>
      </w:r>
    </w:p>
    <w:bookmarkEnd w:id="35"/>
    <w:bookmarkEnd w:id="36"/>
    <w:bookmarkStart w:id="42" w:name="生物学应用实例"/>
    <w:p>
      <w:pPr>
        <w:pStyle w:val="Heading2"/>
      </w:pPr>
      <w:r>
        <w:t xml:space="preserve">5 🧠 生物学应用实例</w:t>
      </w:r>
    </w:p>
    <w:bookmarkStart w:id="41" w:name="肝组织分析"/>
    <w:p>
      <w:pPr>
        <w:pStyle w:val="Heading3"/>
      </w:pPr>
      <w:r>
        <w:t xml:space="preserve">5.1 🧬 肝组织分析</w:t>
      </w:r>
    </w:p>
    <w:p>
      <w:pPr>
        <w:pStyle w:val="Compact"/>
        <w:numPr>
          <w:ilvl w:val="0"/>
          <w:numId w:val="1005"/>
        </w:numPr>
      </w:pPr>
      <w:r>
        <w:t xml:space="preserve">明确识别肝细胞门周（periportal）与中央静脉（pericentral）区的分区转录特征。</w:t>
      </w:r>
    </w:p>
    <w:p>
      <w:pPr>
        <w:pStyle w:val="Compact"/>
        <w:numPr>
          <w:ilvl w:val="0"/>
          <w:numId w:val="1005"/>
        </w:numPr>
      </w:pPr>
      <w:r>
        <w:t xml:space="preserve">通过细胞图像分割与空间映射，检测空间定位明确的肝细胞类型和状态。</w:t>
      </w:r>
    </w:p>
    <w:p>
      <w:pPr>
        <w:pStyle w:val="Compact"/>
        <w:numPr>
          <w:ilvl w:val="0"/>
          <w:numId w:val="1005"/>
        </w:numPr>
      </w:pPr>
      <w:r>
        <w:t xml:space="preserve">发现疾病模型中损伤反应细胞（如 HPC、激活型 HSC、炎性巨噬细胞）围绕坏死肝细胞分布，构建病理微结构图谱。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3"/>
          <w:p>
            <w:pPr>
              <w:pStyle w:val="Compact"/>
              <w:jc w:val="center"/>
            </w:pPr>
            <w:r>
              <w:drawing>
                <wp:inline>
                  <wp:extent cx="5334000" cy="2110355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ures/seqscope-03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0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Seq-Scope在肝脏中的应用。</w:t>
            </w:r>
          </w:p>
          <w:bookmarkEnd w:id="40"/>
        </w:tc>
      </w:tr>
    </w:tbl>
    <w:bookmarkEnd w:id="41"/>
    <w:bookmarkEnd w:id="42"/>
    <w:bookmarkStart w:id="46" w:name="总结"/>
    <w:p>
      <w:pPr>
        <w:pStyle w:val="Heading2"/>
      </w:pPr>
      <w:r>
        <w:t xml:space="preserve">6 总结</w:t>
      </w:r>
    </w:p>
    <w:p>
      <w:pPr>
        <w:pStyle w:val="FirstParagraph"/>
      </w:pPr>
      <w:r>
        <w:t xml:space="preserve">今天小编为大家哦介绍了一个新的空间转录组技术，其使用的核心技术与Open-ST相同。作为后来者Open-ST将空间转录组技术推到了三维空间，由于两者核心技术相似，了解其中一种技术能够为我们理解另外一种提供帮助。</w:t>
      </w:r>
      <w:r>
        <w:t xml:space="preserve"> </w:t>
      </w:r>
      <w:r>
        <w:rPr>
          <w:b/>
          <w:bCs/>
        </w:rPr>
        <w:t xml:space="preserve">本公众号专注与单细胞、空间转录组、空间代谢组、空间蛋白质组以及宏基因组方向个性化分析和方案设计，欢迎大家交流咨询。后续我们还会更新更多空间转录组、空间蛋白质组、空代间谢组以及单细胞方面的内容，欢迎关注交流</w:t>
      </w:r>
      <w:r>
        <w:t xml:space="preserve">。</w:t>
      </w:r>
    </w:p>
    <w:p>
      <w:pPr>
        <w:pStyle w:val="BodyText"/>
      </w:pPr>
      <w:r>
        <w:drawing>
          <wp:inline>
            <wp:extent cx="1600200" cy="1600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./StringArk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Start w:id="50" w:name="参考文献"/>
    <w:p>
      <w:pPr>
        <w:pStyle w:val="Heading2"/>
      </w:pPr>
      <w:r>
        <w:t xml:space="preserve">参考文献</w:t>
      </w:r>
    </w:p>
    <w:bookmarkStart w:id="49" w:name="refs"/>
    <w:bookmarkStart w:id="48" w:name="ref-Cho2021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hyperlink r:id="rId47">
        <w:r>
          <w:rPr>
            <w:rStyle w:val="Hyperlink"/>
          </w:rPr>
          <w:t xml:space="preserve">C.-S. Cho, J. Xi, Y. Si, S.-R. Park, J.-E. Hsu, M. Kim, G. Jun, H. M. Kang, J. H. Lee,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Cell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2021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184</w:t>
        </w:r>
        <w:r>
          <w:rPr>
            <w:rStyle w:val="Hyperlink"/>
          </w:rPr>
          <w:t xml:space="preserve">, 3559</w:t>
        </w:r>
      </w:hyperlink>
      <w:r>
        <w:t xml:space="preserve">.</w:t>
      </w:r>
    </w:p>
    <w:bookmarkEnd w:id="48"/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jpg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hyperlink" Id="rId47" Target="https://doi.org/10.1016/j.cell.2021.05.01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16/j.cell.2021.05.01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Seq-Scope：高分辨率空间转录组技术</dc:title>
  <dc:creator>序列方舟</dc:creator>
  <cp:keywords/>
  <dcterms:created xsi:type="dcterms:W3CDTF">2025-07-20T05:35:41Z</dcterms:created>
  <dcterms:modified xsi:type="dcterms:W3CDTF">2025-07-20T05:35:41Z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ref.bib</vt:lpwstr>
  </property>
  <property fmtid="{D5CDD505-2E9C-101B-9397-08002B2CF9AE}" pid="5" name="by-author">
    <vt:lpwstr/>
  </property>
  <property fmtid="{D5CDD505-2E9C-101B-9397-08002B2CF9AE}" pid="6" name="csl">
    <vt:lpwstr>/home/yincy/github/styles/advanced-science.csl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