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4811" w:rsidRPr="00D01D5E" w:rsidRDefault="00CB4811" w:rsidP="00CB4811">
      <w:pPr>
        <w:spacing w:line="360" w:lineRule="auto"/>
        <w:jc w:val="both"/>
        <w:rPr>
          <w:rFonts w:ascii="Calibri" w:hAnsi="Calibri" w:cs="Arial"/>
        </w:rPr>
      </w:pPr>
      <w:r w:rsidRPr="00D01D5E">
        <w:rPr>
          <w:rFonts w:ascii="Calibri" w:hAnsi="Calibri" w:cs="Arial"/>
          <w:noProof/>
          <w:lang w:val="en-US" w:eastAsia="en-US"/>
        </w:rPr>
        <w:drawing>
          <wp:inline distT="0" distB="0" distL="0" distR="0">
            <wp:extent cx="5267325" cy="2143125"/>
            <wp:effectExtent l="0" t="0" r="9525" b="9525"/>
            <wp:docPr id="3" name="Picture 3" descr="Fig Sup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Supp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67325" cy="2143125"/>
                    </a:xfrm>
                    <a:prstGeom prst="rect">
                      <a:avLst/>
                    </a:prstGeom>
                    <a:noFill/>
                    <a:ln>
                      <a:noFill/>
                    </a:ln>
                  </pic:spPr>
                </pic:pic>
              </a:graphicData>
            </a:graphic>
          </wp:inline>
        </w:drawing>
      </w:r>
    </w:p>
    <w:p w:rsidR="00CB4811" w:rsidRPr="00D01D5E" w:rsidRDefault="00CB4811" w:rsidP="00CB4811">
      <w:pPr>
        <w:spacing w:line="360" w:lineRule="auto"/>
        <w:jc w:val="both"/>
        <w:rPr>
          <w:rFonts w:ascii="Calibri" w:hAnsi="Calibri" w:cs="Segoe UI"/>
          <w:color w:val="212121"/>
          <w:shd w:val="clear" w:color="auto" w:fill="FFFFFF"/>
        </w:rPr>
      </w:pPr>
      <w:r w:rsidRPr="000A37ED">
        <w:rPr>
          <w:rFonts w:ascii="Calibri" w:hAnsi="Calibri" w:cs="Arial"/>
          <w:b/>
        </w:rPr>
        <w:t xml:space="preserve">Supplementary Figure 1: </w:t>
      </w:r>
      <w:proofErr w:type="spellStart"/>
      <w:r w:rsidRPr="000A37ED">
        <w:rPr>
          <w:rFonts w:ascii="Calibri" w:hAnsi="Calibri" w:cs="Arial"/>
          <w:b/>
        </w:rPr>
        <w:t>Avil</w:t>
      </w:r>
      <w:proofErr w:type="spellEnd"/>
      <w:r w:rsidRPr="000A37ED">
        <w:rPr>
          <w:rFonts w:ascii="Calibri" w:hAnsi="Calibri" w:cs="Arial"/>
          <w:b/>
        </w:rPr>
        <w:t xml:space="preserve"> is present in sensory neurons of the </w:t>
      </w:r>
      <w:proofErr w:type="spellStart"/>
      <w:r w:rsidRPr="000A37ED">
        <w:rPr>
          <w:rFonts w:ascii="Calibri" w:hAnsi="Calibri" w:cs="Arial"/>
          <w:b/>
        </w:rPr>
        <w:t>Avil</w:t>
      </w:r>
      <w:proofErr w:type="spellEnd"/>
      <w:r w:rsidRPr="000A37ED">
        <w:rPr>
          <w:rFonts w:ascii="Calibri" w:hAnsi="Calibri" w:cs="Arial"/>
          <w:b/>
        </w:rPr>
        <w:t xml:space="preserve">-GFP transgenic mouse. </w:t>
      </w:r>
      <w:r w:rsidRPr="000A37ED">
        <w:rPr>
          <w:rFonts w:ascii="Calibri" w:hAnsi="Calibri" w:cs="Arial"/>
        </w:rPr>
        <w:t>Representative images of</w:t>
      </w:r>
      <w:r w:rsidRPr="000A37ED">
        <w:rPr>
          <w:rFonts w:ascii="Calibri" w:hAnsi="Calibri" w:cs="Arial"/>
          <w:b/>
        </w:rPr>
        <w:t xml:space="preserve"> </w:t>
      </w:r>
      <w:r w:rsidRPr="000A37ED">
        <w:rPr>
          <w:rFonts w:ascii="Calibri" w:hAnsi="Calibri" w:cs="Arial"/>
        </w:rPr>
        <w:t xml:space="preserve">DRG and TG extracted from the </w:t>
      </w:r>
      <w:proofErr w:type="spellStart"/>
      <w:r w:rsidRPr="000A37ED">
        <w:rPr>
          <w:rFonts w:ascii="Calibri" w:hAnsi="Calibri" w:cs="Arial"/>
        </w:rPr>
        <w:t>Avil</w:t>
      </w:r>
      <w:proofErr w:type="spellEnd"/>
      <w:r w:rsidRPr="000A37ED">
        <w:rPr>
          <w:rFonts w:ascii="Calibri" w:hAnsi="Calibri" w:cs="Arial"/>
        </w:rPr>
        <w:t xml:space="preserve">-GFP mouse show that all green cells are positive for </w:t>
      </w:r>
      <w:proofErr w:type="spellStart"/>
      <w:r w:rsidRPr="000A37ED">
        <w:rPr>
          <w:rFonts w:ascii="Calibri" w:hAnsi="Calibri" w:cs="Arial"/>
        </w:rPr>
        <w:t>NeuN</w:t>
      </w:r>
      <w:proofErr w:type="spellEnd"/>
      <w:r w:rsidRPr="000A37ED">
        <w:rPr>
          <w:rFonts w:ascii="Calibri" w:hAnsi="Calibri" w:cs="Arial"/>
        </w:rPr>
        <w:t xml:space="preserve"> (in red), highlighting the expression of </w:t>
      </w:r>
      <w:proofErr w:type="spellStart"/>
      <w:r w:rsidRPr="000A37ED">
        <w:rPr>
          <w:rFonts w:ascii="Calibri" w:hAnsi="Calibri" w:cs="Arial"/>
        </w:rPr>
        <w:t>Avil</w:t>
      </w:r>
      <w:proofErr w:type="spellEnd"/>
      <w:r w:rsidRPr="000A37ED">
        <w:rPr>
          <w:rFonts w:ascii="Calibri" w:hAnsi="Calibri" w:cs="Arial"/>
        </w:rPr>
        <w:t xml:space="preserve"> in neurons only. </w:t>
      </w:r>
      <w:r w:rsidRPr="000A37ED">
        <w:rPr>
          <w:rFonts w:ascii="Calibri" w:hAnsi="Calibri" w:cs="Segoe UI"/>
          <w:color w:val="212121"/>
          <w:shd w:val="clear" w:color="auto" w:fill="FFFFFF"/>
        </w:rPr>
        <w:t>Scale bar: 50 microns.</w:t>
      </w:r>
      <w:r w:rsidRPr="00D01D5E">
        <w:rPr>
          <w:rFonts w:ascii="Calibri" w:hAnsi="Calibri" w:cs="Segoe UI"/>
          <w:color w:val="212121"/>
          <w:shd w:val="clear" w:color="auto" w:fill="FFFFFF"/>
        </w:rPr>
        <w:t xml:space="preserve">  </w:t>
      </w:r>
    </w:p>
    <w:p w:rsidR="00CB4811" w:rsidRPr="00D01D5E" w:rsidRDefault="00CB4811" w:rsidP="00CB4811">
      <w:pPr>
        <w:spacing w:line="360" w:lineRule="auto"/>
        <w:jc w:val="both"/>
        <w:rPr>
          <w:rFonts w:ascii="Calibri" w:hAnsi="Calibri" w:cs="Segoe UI"/>
          <w:color w:val="212121"/>
          <w:shd w:val="clear" w:color="auto" w:fill="FFFFFF"/>
        </w:rPr>
      </w:pPr>
      <w:bookmarkStart w:id="0" w:name="_GoBack"/>
      <w:bookmarkEnd w:id="0"/>
    </w:p>
    <w:p w:rsidR="00CB4811" w:rsidRPr="00D01D5E" w:rsidRDefault="00CB4811" w:rsidP="00CB4811">
      <w:pPr>
        <w:spacing w:line="360" w:lineRule="auto"/>
        <w:jc w:val="both"/>
        <w:rPr>
          <w:rFonts w:ascii="Calibri" w:hAnsi="Calibri" w:cs="Arial"/>
        </w:rPr>
      </w:pPr>
    </w:p>
    <w:p w:rsidR="00CB4811" w:rsidRPr="00D01D5E" w:rsidRDefault="00CB4811" w:rsidP="00CB4811">
      <w:pPr>
        <w:spacing w:line="360" w:lineRule="auto"/>
        <w:jc w:val="both"/>
        <w:rPr>
          <w:rFonts w:ascii="Calibri" w:hAnsi="Calibri" w:cs="Arial"/>
        </w:rPr>
      </w:pPr>
      <w:r w:rsidRPr="00D01D5E">
        <w:rPr>
          <w:rFonts w:ascii="Calibri" w:hAnsi="Calibri" w:cs="Arial"/>
          <w:noProof/>
          <w:lang w:val="en-US" w:eastAsia="en-US"/>
        </w:rPr>
        <w:lastRenderedPageBreak/>
        <w:drawing>
          <wp:inline distT="0" distB="0" distL="0" distR="0">
            <wp:extent cx="5267325" cy="5057775"/>
            <wp:effectExtent l="0" t="0" r="9525" b="9525"/>
            <wp:docPr id="2" name="Picture 2" descr="Supp 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pp Fig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7325" cy="5057775"/>
                    </a:xfrm>
                    <a:prstGeom prst="rect">
                      <a:avLst/>
                    </a:prstGeom>
                    <a:noFill/>
                    <a:ln>
                      <a:noFill/>
                    </a:ln>
                  </pic:spPr>
                </pic:pic>
              </a:graphicData>
            </a:graphic>
          </wp:inline>
        </w:drawing>
      </w:r>
    </w:p>
    <w:p w:rsidR="00CB4811" w:rsidRPr="00D01D5E" w:rsidRDefault="00CB4811" w:rsidP="00CB4811">
      <w:pPr>
        <w:spacing w:line="360" w:lineRule="auto"/>
        <w:jc w:val="both"/>
        <w:rPr>
          <w:rFonts w:ascii="Calibri" w:hAnsi="Calibri" w:cs="Arial"/>
        </w:rPr>
      </w:pPr>
    </w:p>
    <w:p w:rsidR="00CB4811" w:rsidRPr="00D01D5E" w:rsidRDefault="00CB4811" w:rsidP="00CB4811">
      <w:pPr>
        <w:spacing w:line="360" w:lineRule="auto"/>
        <w:jc w:val="both"/>
        <w:rPr>
          <w:rFonts w:ascii="Calibri" w:hAnsi="Calibri" w:cs="Arial"/>
        </w:rPr>
      </w:pPr>
      <w:r w:rsidRPr="00D01D5E">
        <w:rPr>
          <w:rFonts w:ascii="Calibri" w:hAnsi="Calibri" w:cs="Arial"/>
          <w:b/>
        </w:rPr>
        <w:t>Supplementary Figure 2: Detailed gating strategy for FACS.</w:t>
      </w:r>
      <w:r w:rsidRPr="00D01D5E">
        <w:rPr>
          <w:rFonts w:ascii="Calibri" w:hAnsi="Calibri" w:cs="Arial"/>
        </w:rPr>
        <w:t xml:space="preserve"> </w:t>
      </w:r>
      <w:r w:rsidRPr="00D01D5E">
        <w:rPr>
          <w:rFonts w:ascii="Calibri" w:hAnsi="Calibri" w:cs="Arial"/>
          <w:b/>
        </w:rPr>
        <w:t>(A)</w:t>
      </w:r>
      <w:r w:rsidRPr="00D01D5E">
        <w:rPr>
          <w:rFonts w:ascii="Calibri" w:hAnsi="Calibri" w:cs="Arial"/>
        </w:rPr>
        <w:t xml:space="preserve"> DRG or TG neurons were gated on GFP positive cells (FITC+), followed by side scatter area (SSC-A) vs. side scatter width (SCC-W) to distinguish single cells from clumps, and finally selected based on the live-dead stain </w:t>
      </w:r>
      <w:proofErr w:type="spellStart"/>
      <w:r w:rsidRPr="00D01D5E">
        <w:rPr>
          <w:rFonts w:ascii="Calibri" w:hAnsi="Calibri" w:cs="Arial"/>
        </w:rPr>
        <w:t>propidium</w:t>
      </w:r>
      <w:proofErr w:type="spellEnd"/>
      <w:r w:rsidRPr="00D01D5E">
        <w:rPr>
          <w:rFonts w:ascii="Calibri" w:hAnsi="Calibri" w:cs="Arial"/>
        </w:rPr>
        <w:t xml:space="preserve"> iodide (PE-Cy5 negative) </w:t>
      </w:r>
      <w:r w:rsidRPr="00D01D5E">
        <w:rPr>
          <w:rFonts w:ascii="Calibri" w:hAnsi="Calibri" w:cs="Arial"/>
          <w:b/>
        </w:rPr>
        <w:t>(B)</w:t>
      </w:r>
      <w:r w:rsidRPr="00D01D5E">
        <w:rPr>
          <w:rFonts w:ascii="Calibri" w:hAnsi="Calibri" w:cs="Arial"/>
        </w:rPr>
        <w:t xml:space="preserve">. The rightmost column </w:t>
      </w:r>
      <w:r w:rsidRPr="00D01D5E">
        <w:rPr>
          <w:rFonts w:ascii="Calibri" w:hAnsi="Calibri" w:cs="Arial"/>
          <w:b/>
        </w:rPr>
        <w:t>(C)</w:t>
      </w:r>
      <w:r w:rsidRPr="00D01D5E">
        <w:rPr>
          <w:rFonts w:ascii="Calibri" w:hAnsi="Calibri" w:cs="Arial"/>
        </w:rPr>
        <w:t xml:space="preserve"> shows how gates were established using fluorescence minus one controls (FMOs). Please note that the machine can faithfully detect varying degrees of GFP fluorescence ranging from 10</w:t>
      </w:r>
      <w:r w:rsidRPr="00D01D5E">
        <w:rPr>
          <w:rFonts w:ascii="Calibri" w:hAnsi="Calibri" w:cs="Arial"/>
          <w:vertAlign w:val="superscript"/>
        </w:rPr>
        <w:t>3</w:t>
      </w:r>
      <w:r w:rsidRPr="00D01D5E">
        <w:rPr>
          <w:rFonts w:ascii="Calibri" w:hAnsi="Calibri" w:cs="Arial"/>
        </w:rPr>
        <w:t>-10</w:t>
      </w:r>
      <w:r w:rsidRPr="00D01D5E">
        <w:rPr>
          <w:rFonts w:ascii="Calibri" w:hAnsi="Calibri" w:cs="Arial"/>
          <w:vertAlign w:val="superscript"/>
        </w:rPr>
        <w:t>5</w:t>
      </w:r>
      <w:r w:rsidRPr="00D01D5E">
        <w:rPr>
          <w:rFonts w:ascii="Calibri" w:hAnsi="Calibri" w:cs="Arial"/>
        </w:rPr>
        <w:t>.</w:t>
      </w:r>
    </w:p>
    <w:p w:rsidR="00CB4811" w:rsidRPr="00D01D5E" w:rsidRDefault="00CB4811" w:rsidP="00CB4811">
      <w:pPr>
        <w:spacing w:line="360" w:lineRule="auto"/>
        <w:jc w:val="both"/>
        <w:rPr>
          <w:rFonts w:ascii="Calibri" w:hAnsi="Calibri" w:cs="Arial"/>
        </w:rPr>
      </w:pPr>
    </w:p>
    <w:p w:rsidR="00CB4811" w:rsidRPr="00D01D5E" w:rsidRDefault="00CB4811" w:rsidP="00CB4811">
      <w:pPr>
        <w:spacing w:line="360" w:lineRule="auto"/>
        <w:jc w:val="both"/>
        <w:rPr>
          <w:rFonts w:ascii="Calibri" w:hAnsi="Calibri" w:cs="Arial"/>
        </w:rPr>
      </w:pPr>
    </w:p>
    <w:p w:rsidR="00CB4811" w:rsidRPr="00D01D5E" w:rsidRDefault="00CB4811" w:rsidP="00CB4811">
      <w:pPr>
        <w:spacing w:line="360" w:lineRule="auto"/>
        <w:jc w:val="both"/>
        <w:rPr>
          <w:rFonts w:ascii="Calibri" w:hAnsi="Calibri" w:cs="Arial"/>
        </w:rPr>
      </w:pPr>
    </w:p>
    <w:p w:rsidR="00CB4811" w:rsidRPr="00D01D5E" w:rsidRDefault="00CB4811" w:rsidP="00CB4811">
      <w:pPr>
        <w:spacing w:line="360" w:lineRule="auto"/>
        <w:jc w:val="both"/>
        <w:rPr>
          <w:rFonts w:ascii="Calibri" w:hAnsi="Calibri" w:cs="Arial"/>
        </w:rPr>
      </w:pPr>
    </w:p>
    <w:p w:rsidR="00CB4811" w:rsidRPr="00D01D5E" w:rsidRDefault="00CB4811" w:rsidP="00CB4811">
      <w:pPr>
        <w:spacing w:line="360" w:lineRule="auto"/>
        <w:jc w:val="both"/>
        <w:rPr>
          <w:rFonts w:ascii="Calibri" w:hAnsi="Calibri" w:cs="Arial"/>
        </w:rPr>
      </w:pPr>
    </w:p>
    <w:p w:rsidR="00CB4811" w:rsidRPr="00D01D5E" w:rsidRDefault="00CB4811" w:rsidP="00CB4811">
      <w:pPr>
        <w:spacing w:line="360" w:lineRule="auto"/>
        <w:jc w:val="both"/>
        <w:rPr>
          <w:rFonts w:ascii="Calibri" w:hAnsi="Calibri" w:cs="Arial"/>
        </w:rPr>
      </w:pPr>
      <w:r w:rsidRPr="00D01D5E">
        <w:rPr>
          <w:rFonts w:ascii="Calibri" w:hAnsi="Calibri" w:cs="Arial"/>
          <w:noProof/>
          <w:lang w:val="en-US" w:eastAsia="en-US"/>
        </w:rPr>
        <w:drawing>
          <wp:inline distT="0" distB="0" distL="0" distR="0">
            <wp:extent cx="5038725" cy="3695700"/>
            <wp:effectExtent l="0" t="0" r="9525" b="0"/>
            <wp:docPr id="1" name="Picture 1" descr="Supp 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p Fig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38725" cy="3695700"/>
                    </a:xfrm>
                    <a:prstGeom prst="rect">
                      <a:avLst/>
                    </a:prstGeom>
                    <a:noFill/>
                    <a:ln>
                      <a:noFill/>
                    </a:ln>
                  </pic:spPr>
                </pic:pic>
              </a:graphicData>
            </a:graphic>
          </wp:inline>
        </w:drawing>
      </w:r>
    </w:p>
    <w:p w:rsidR="00CB4811" w:rsidRPr="00D01D5E" w:rsidRDefault="00CB4811" w:rsidP="00CB4811">
      <w:pPr>
        <w:spacing w:line="360" w:lineRule="auto"/>
        <w:jc w:val="both"/>
        <w:rPr>
          <w:rFonts w:ascii="Calibri" w:hAnsi="Calibri" w:cs="Arial"/>
          <w:b/>
        </w:rPr>
      </w:pPr>
      <w:r w:rsidRPr="00D01D5E">
        <w:rPr>
          <w:rFonts w:ascii="Calibri" w:hAnsi="Calibri" w:cs="Arial"/>
          <w:b/>
        </w:rPr>
        <w:t xml:space="preserve">Supplementary Figure 3: Cell size distribution of FACS sorted neuronal cells used in this study. </w:t>
      </w:r>
      <w:r w:rsidRPr="00D01D5E">
        <w:rPr>
          <w:rFonts w:ascii="Calibri" w:hAnsi="Calibri" w:cs="Arial"/>
        </w:rPr>
        <w:t xml:space="preserve">Graph illustrating cell size distribution present in the unsorted (white bars) and FACS sorted (green bars) preparations.  Cumulative-sum chart shows the neuronal size distribution of FACS sorted cells (green diamonds) is slightly skewed to the left hand side, when compared to unsorted cells (white squares) reflecting a higher proportion of smaller diameter neurons present in the FACS preparation, as reflected in the RNA profile (see discussion). FACS data is representative of the quantification of 327 cells from the lumbar DRG of one animal. Data was plotted against previous published data (Unsorted) from our laboratory (Thakur et al., 2014). </w:t>
      </w:r>
      <w:r w:rsidRPr="00D01D5E">
        <w:rPr>
          <w:rFonts w:ascii="Calibri" w:hAnsi="Calibri" w:cs="Arial"/>
          <w:b/>
        </w:rPr>
        <w:t xml:space="preserve">  </w:t>
      </w:r>
    </w:p>
    <w:p w:rsidR="00CB4811" w:rsidRPr="00D01D5E" w:rsidRDefault="00CB4811" w:rsidP="00CB4811">
      <w:pPr>
        <w:spacing w:line="360" w:lineRule="auto"/>
        <w:jc w:val="both"/>
        <w:rPr>
          <w:rFonts w:ascii="Calibri" w:hAnsi="Calibri" w:cs="Arial"/>
          <w:b/>
        </w:rPr>
      </w:pPr>
    </w:p>
    <w:p w:rsidR="00FB32B4" w:rsidRDefault="00FB32B4"/>
    <w:sectPr w:rsidR="00FB3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811"/>
    <w:rsid w:val="000A37ED"/>
    <w:rsid w:val="00CB4811"/>
    <w:rsid w:val="00FB3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AC798F-7B6B-4BC2-9409-995AB05DF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4811"/>
    <w:pPr>
      <w:spacing w:after="0" w:line="240" w:lineRule="auto"/>
    </w:pPr>
    <w:rPr>
      <w:rFonts w:ascii="Times New Roman" w:eastAsia="MS Mincho" w:hAnsi="Times New Roman" w:cs="Times New Roman"/>
      <w:sz w:val="24"/>
      <w:szCs w:val="24"/>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PITSOLUTIONS PVT LTD</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Frontiers</dc:creator>
  <cp:keywords/>
  <dc:description/>
  <cp:lastModifiedBy>Frontiers</cp:lastModifiedBy>
  <cp:revision>2</cp:revision>
  <dcterms:created xsi:type="dcterms:W3CDTF">2017-09-25T11:54:00Z</dcterms:created>
  <dcterms:modified xsi:type="dcterms:W3CDTF">2017-09-25T11:54:00Z</dcterms:modified>
</cp:coreProperties>
</file>