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1E6A80B" w14:textId="6798CC46" w:rsidR="00C30CAC" w:rsidRPr="00C30CAC" w:rsidRDefault="00C30CAC" w:rsidP="00C30CAC">
      <w:pPr>
        <w:pStyle w:val="a7"/>
        <w:rPr>
          <w:rFonts w:ascii="黑体" w:hAnsi="黑体" w:cs="Arial"/>
          <w:bCs w:val="0"/>
        </w:rPr>
      </w:pPr>
      <w:bookmarkStart w:id="0" w:name="_Hlk91072795"/>
      <w:r w:rsidRPr="00C30CAC">
        <w:rPr>
          <w:rFonts w:ascii="黑体" w:hAnsi="黑体" w:cs="Arial" w:hint="eastAsia"/>
          <w:bCs w:val="0"/>
        </w:rPr>
        <w:t>二、开题报告</w:t>
      </w:r>
    </w:p>
    <w:p w14:paraId="58C96D9C" w14:textId="5A757866" w:rsidR="00C30CAC" w:rsidRPr="00C30CAC" w:rsidRDefault="008056F3" w:rsidP="00C30CAC">
      <w:pPr>
        <w:pStyle w:val="a8"/>
        <w:rPr>
          <w:rStyle w:val="11"/>
          <w:rFonts w:ascii="仿宋" w:eastAsia="仿宋" w:hAnsi="仿宋"/>
          <w:b/>
          <w:bCs/>
        </w:rPr>
      </w:pPr>
      <w:r w:rsidRPr="008056F3">
        <w:rPr>
          <w:rStyle w:val="11"/>
          <w:rFonts w:ascii="仿宋" w:eastAsia="仿宋" w:hAnsi="仿宋" w:hint="eastAsia"/>
          <w:b/>
          <w:bCs/>
        </w:rPr>
        <w:t>巨噬细胞来源的PDGFB对于肾脏肿瘤生长的影响</w:t>
      </w:r>
    </w:p>
    <w:p w14:paraId="427EDBAE" w14:textId="6504A744" w:rsidR="00C30CAC" w:rsidRDefault="00C30CAC" w:rsidP="00C30CAC">
      <w:pPr>
        <w:pStyle w:val="a9"/>
      </w:pPr>
      <w:r w:rsidRPr="00601BC9">
        <w:rPr>
          <w:rFonts w:hint="eastAsia"/>
        </w:rPr>
        <w:t xml:space="preserve">1 </w:t>
      </w:r>
      <w:r w:rsidRPr="00601BC9">
        <w:rPr>
          <w:rFonts w:hint="eastAsia"/>
        </w:rPr>
        <w:t>研究背景（顶格、小三号仿宋</w:t>
      </w:r>
      <w:r>
        <w:rPr>
          <w:rFonts w:hint="eastAsia"/>
        </w:rPr>
        <w:t>加粗</w:t>
      </w:r>
      <w:r w:rsidRPr="00601BC9">
        <w:rPr>
          <w:rFonts w:hint="eastAsia"/>
        </w:rPr>
        <w:t>）</w:t>
      </w:r>
    </w:p>
    <w:p w14:paraId="18E19C3B" w14:textId="0AA7DC1A" w:rsidR="00A03FC3" w:rsidRDefault="00A44306" w:rsidP="00A44306">
      <w:pPr>
        <w:pStyle w:val="aa"/>
      </w:pPr>
      <w:r w:rsidRPr="00A44306">
        <w:rPr>
          <w:rFonts w:hint="eastAsia"/>
          <w:b w:val="0"/>
          <w:bCs w:val="0"/>
        </w:rPr>
        <w:t>1.</w:t>
      </w:r>
      <w:r>
        <w:rPr>
          <w:rFonts w:hint="eastAsia"/>
        </w:rPr>
        <w:t xml:space="preserve">1 </w:t>
      </w:r>
      <w:r w:rsidR="00C30CAC" w:rsidRPr="00601BC9">
        <w:rPr>
          <w:rFonts w:hint="eastAsia"/>
        </w:rPr>
        <w:t>背景介绍（节的标题、四号仿宋</w:t>
      </w:r>
      <w:r w:rsidR="00C30CAC">
        <w:rPr>
          <w:rFonts w:hint="eastAsia"/>
        </w:rPr>
        <w:t>加粗</w:t>
      </w:r>
      <w:r w:rsidR="00C30CAC" w:rsidRPr="00601BC9">
        <w:rPr>
          <w:rFonts w:hint="eastAsia"/>
        </w:rPr>
        <w:t>）</w:t>
      </w:r>
    </w:p>
    <w:p w14:paraId="7F486BCF" w14:textId="77777777" w:rsidR="00C30CAC" w:rsidRPr="00E46DDC" w:rsidRDefault="00C30CAC" w:rsidP="00C30CAC">
      <w:pPr>
        <w:pStyle w:val="ab"/>
      </w:pPr>
      <w:r w:rsidRPr="00E46DDC">
        <w:t>1.1.1</w:t>
      </w:r>
      <w:r w:rsidRPr="00E46DDC">
        <w:rPr>
          <w:rFonts w:hint="eastAsia"/>
        </w:rPr>
        <w:t xml:space="preserve"> </w:t>
      </w:r>
      <w:r w:rsidRPr="00E46DDC">
        <w:rPr>
          <w:rFonts w:hint="eastAsia"/>
        </w:rPr>
        <w:t>三级标题（顶格、小四号仿宋</w:t>
      </w:r>
      <w:r>
        <w:rPr>
          <w:rFonts w:hint="eastAsia"/>
        </w:rPr>
        <w:t>加粗</w:t>
      </w:r>
      <w:r w:rsidRPr="00E46DDC">
        <w:rPr>
          <w:rFonts w:hint="eastAsia"/>
        </w:rPr>
        <w:t>）</w:t>
      </w:r>
    </w:p>
    <w:p w14:paraId="5ACCCD26" w14:textId="227A253B" w:rsidR="00BA2B7B" w:rsidRPr="00997DC7" w:rsidRDefault="00BA2B7B" w:rsidP="00377088">
      <w:pPr>
        <w:pStyle w:val="aa"/>
        <w:ind w:firstLineChars="200" w:firstLine="480"/>
        <w:outlineLvl w:val="9"/>
        <w:rPr>
          <w:rFonts w:ascii="仿宋" w:hAnsi="仿宋"/>
          <w:b w:val="0"/>
          <w:sz w:val="24"/>
          <w:szCs w:val="24"/>
        </w:rPr>
      </w:pPr>
      <w:r w:rsidRPr="00997DC7">
        <w:rPr>
          <w:rFonts w:ascii="仿宋" w:hAnsi="仿宋" w:hint="eastAsia"/>
          <w:b w:val="0"/>
          <w:sz w:val="24"/>
          <w:szCs w:val="24"/>
        </w:rPr>
        <w:t>脊椎动物的肾脏是蚕豆形状成对出现的器官，肾脏的主要功能就是过滤掉体内代谢废物，这些功能是以肾小球为单位完成的。每个成年人大约有1</w:t>
      </w:r>
      <w:r w:rsidRPr="00997DC7">
        <w:rPr>
          <w:rFonts w:ascii="仿宋" w:hAnsi="仿宋"/>
          <w:b w:val="0"/>
          <w:sz w:val="24"/>
          <w:szCs w:val="24"/>
        </w:rPr>
        <w:t>00</w:t>
      </w:r>
      <w:r w:rsidRPr="00997DC7">
        <w:rPr>
          <w:rFonts w:ascii="仿宋" w:hAnsi="仿宋" w:hint="eastAsia"/>
          <w:b w:val="0"/>
          <w:sz w:val="24"/>
          <w:szCs w:val="24"/>
        </w:rPr>
        <w:t>万个肾单位，每个成年小鼠大约有1</w:t>
      </w:r>
      <w:r w:rsidRPr="00997DC7">
        <w:rPr>
          <w:rFonts w:ascii="仿宋" w:hAnsi="仿宋"/>
          <w:b w:val="0"/>
          <w:sz w:val="24"/>
          <w:szCs w:val="24"/>
        </w:rPr>
        <w:t>2500</w:t>
      </w:r>
      <w:r w:rsidRPr="00997DC7">
        <w:rPr>
          <w:rFonts w:ascii="仿宋" w:hAnsi="仿宋" w:hint="eastAsia"/>
          <w:b w:val="0"/>
          <w:sz w:val="24"/>
          <w:szCs w:val="24"/>
        </w:rPr>
        <w:t xml:space="preserve">个肾单位。除了过滤掉体内代谢废物，肾小球同时也参与维持体液的渗透压，酸碱平衡，以及一些电解质的浓度。另外肾脏也会分泌红细胞生成素，肾素和钙三醇。在缺氧的情况下肾脏释放的红细胞生成素会促进骨髓产生红细胞。肾素是一种酶可以调节血管紧张素和醛固酮的水平，进而调节血压。钙三醇可以促进肠道吸收钙和肾小管重吸收磷酸。可见肾脏是维持人体平衡的重要器官，肾脏病变将对人的健康产生重大影响，尤其是肾脏肿瘤。 </w:t>
      </w:r>
    </w:p>
    <w:p w14:paraId="7DE717BF" w14:textId="222F4DF0" w:rsidR="00BA2B7B" w:rsidRPr="00997DC7" w:rsidRDefault="00BA2B7B" w:rsidP="00BA2B7B">
      <w:pPr>
        <w:pStyle w:val="a9"/>
        <w:ind w:firstLineChars="200" w:firstLine="480"/>
        <w:outlineLvl w:val="9"/>
        <w:rPr>
          <w:rFonts w:ascii="仿宋" w:hAnsi="仿宋"/>
          <w:b w:val="0"/>
          <w:sz w:val="24"/>
          <w:szCs w:val="24"/>
        </w:rPr>
      </w:pPr>
      <w:r w:rsidRPr="00997DC7">
        <w:rPr>
          <w:rFonts w:ascii="仿宋" w:hAnsi="仿宋" w:hint="eastAsia"/>
          <w:b w:val="0"/>
          <w:sz w:val="24"/>
          <w:szCs w:val="24"/>
        </w:rPr>
        <w:t>巨噬细胞是固有免疫系统的一种白细胞，其主要功能就是作为组织的卫兵维持组织稳态，吞噬细胞碎片及入侵的微生物等。在机体的不同地方都发现有巨噬细胞的存在，</w:t>
      </w:r>
      <w:r w:rsidR="00377088" w:rsidRPr="00997DC7">
        <w:rPr>
          <w:rFonts w:ascii="仿宋" w:hAnsi="仿宋" w:hint="eastAsia"/>
          <w:b w:val="0"/>
          <w:sz w:val="24"/>
          <w:szCs w:val="24"/>
        </w:rPr>
        <w:t>不同地方的巨噬细胞有着相应的组织特异</w:t>
      </w:r>
      <w:r w:rsidRPr="00997DC7">
        <w:rPr>
          <w:rFonts w:ascii="仿宋" w:hAnsi="仿宋" w:hint="eastAsia"/>
          <w:b w:val="0"/>
          <w:sz w:val="24"/>
          <w:szCs w:val="24"/>
        </w:rPr>
        <w:t>的功能，因此也有着不同的名字。比如肝脏</w:t>
      </w:r>
      <w:r w:rsidR="00D50ACD" w:rsidRPr="00997DC7">
        <w:rPr>
          <w:rFonts w:ascii="仿宋" w:hAnsi="仿宋" w:hint="eastAsia"/>
          <w:b w:val="0"/>
          <w:sz w:val="24"/>
          <w:szCs w:val="24"/>
        </w:rPr>
        <w:t>中的</w:t>
      </w:r>
      <w:r w:rsidRPr="00997DC7">
        <w:rPr>
          <w:rFonts w:ascii="仿宋" w:hAnsi="仿宋" w:hint="eastAsia"/>
          <w:b w:val="0"/>
          <w:sz w:val="24"/>
          <w:szCs w:val="24"/>
        </w:rPr>
        <w:t>巨噬细胞叫做K</w:t>
      </w:r>
      <w:r w:rsidRPr="00997DC7">
        <w:rPr>
          <w:rFonts w:ascii="仿宋" w:hAnsi="仿宋"/>
          <w:b w:val="0"/>
          <w:sz w:val="24"/>
          <w:szCs w:val="24"/>
        </w:rPr>
        <w:t xml:space="preserve">uffer </w:t>
      </w:r>
      <w:r w:rsidRPr="00997DC7">
        <w:rPr>
          <w:rFonts w:ascii="仿宋" w:hAnsi="仿宋" w:hint="eastAsia"/>
          <w:b w:val="0"/>
          <w:sz w:val="24"/>
          <w:szCs w:val="24"/>
        </w:rPr>
        <w:t>C</w:t>
      </w:r>
      <w:r w:rsidRPr="00997DC7">
        <w:rPr>
          <w:rFonts w:ascii="仿宋" w:hAnsi="仿宋"/>
          <w:b w:val="0"/>
          <w:sz w:val="24"/>
          <w:szCs w:val="24"/>
        </w:rPr>
        <w:t>ells</w:t>
      </w:r>
      <w:r w:rsidRPr="00997DC7">
        <w:rPr>
          <w:rFonts w:ascii="仿宋" w:hAnsi="仿宋" w:hint="eastAsia"/>
          <w:b w:val="0"/>
          <w:sz w:val="24"/>
          <w:szCs w:val="24"/>
        </w:rPr>
        <w:t>，血液和骨髓中的巨噬细胞叫做m</w:t>
      </w:r>
      <w:r w:rsidRPr="00997DC7">
        <w:rPr>
          <w:rFonts w:ascii="仿宋" w:hAnsi="仿宋"/>
          <w:b w:val="0"/>
          <w:sz w:val="24"/>
          <w:szCs w:val="24"/>
        </w:rPr>
        <w:t>onocytes</w:t>
      </w:r>
      <w:r w:rsidRPr="00997DC7">
        <w:rPr>
          <w:rFonts w:ascii="仿宋" w:hAnsi="仿宋" w:hint="eastAsia"/>
          <w:b w:val="0"/>
          <w:sz w:val="24"/>
          <w:szCs w:val="24"/>
        </w:rPr>
        <w:t>，中枢神经系统</w:t>
      </w:r>
      <w:r w:rsidR="002D700A" w:rsidRPr="00997DC7">
        <w:rPr>
          <w:rFonts w:ascii="仿宋" w:hAnsi="仿宋" w:hint="eastAsia"/>
          <w:b w:val="0"/>
          <w:sz w:val="24"/>
          <w:szCs w:val="24"/>
        </w:rPr>
        <w:t>中</w:t>
      </w:r>
      <w:r w:rsidRPr="00997DC7">
        <w:rPr>
          <w:rFonts w:ascii="仿宋" w:hAnsi="仿宋" w:hint="eastAsia"/>
          <w:b w:val="0"/>
          <w:sz w:val="24"/>
          <w:szCs w:val="24"/>
        </w:rPr>
        <w:t>的巨噬细胞叫做 microglia 等。除了吞噬和在免疫反应中释放炎症因子招募其他免疫细胞外，巨噬细胞还有抗原递呈的功能，因此巨噬细胞的功能异常还会影响到后天免疫系统的功能。</w:t>
      </w:r>
    </w:p>
    <w:p w14:paraId="185CDB43" w14:textId="255D1954" w:rsidR="00C30CAC" w:rsidRPr="00997DC7" w:rsidRDefault="00F14006" w:rsidP="00BA2B7B">
      <w:pPr>
        <w:pStyle w:val="a9"/>
        <w:ind w:firstLineChars="200" w:firstLine="480"/>
        <w:outlineLvl w:val="9"/>
        <w:rPr>
          <w:rFonts w:ascii="仿宋" w:hAnsi="仿宋"/>
          <w:b w:val="0"/>
          <w:sz w:val="24"/>
          <w:szCs w:val="24"/>
        </w:rPr>
      </w:pPr>
      <w:r w:rsidRPr="00997DC7">
        <w:rPr>
          <w:rFonts w:ascii="仿宋" w:hAnsi="仿宋" w:hint="eastAsia"/>
          <w:b w:val="0"/>
          <w:sz w:val="24"/>
          <w:szCs w:val="24"/>
        </w:rPr>
        <w:lastRenderedPageBreak/>
        <w:t>肾脏肿瘤大部分发生在5</w:t>
      </w:r>
      <w:r w:rsidRPr="00997DC7">
        <w:rPr>
          <w:rFonts w:ascii="仿宋" w:hAnsi="仿宋"/>
          <w:b w:val="0"/>
          <w:sz w:val="24"/>
          <w:szCs w:val="24"/>
        </w:rPr>
        <w:t>0-70</w:t>
      </w:r>
      <w:r w:rsidRPr="00997DC7">
        <w:rPr>
          <w:rFonts w:ascii="仿宋" w:hAnsi="仿宋" w:hint="eastAsia"/>
          <w:b w:val="0"/>
          <w:sz w:val="24"/>
          <w:szCs w:val="24"/>
        </w:rPr>
        <w:t>岁的老年个体上，</w:t>
      </w:r>
      <w:r w:rsidR="00D675AE" w:rsidRPr="00997DC7">
        <w:rPr>
          <w:rFonts w:ascii="仿宋" w:hAnsi="仿宋" w:hint="eastAsia"/>
          <w:b w:val="0"/>
          <w:sz w:val="24"/>
          <w:szCs w:val="24"/>
        </w:rPr>
        <w:t>发病率最高的肾细胞瘤（c</w:t>
      </w:r>
      <w:r w:rsidR="00D675AE" w:rsidRPr="00997DC7">
        <w:rPr>
          <w:rFonts w:ascii="仿宋" w:hAnsi="仿宋"/>
          <w:b w:val="0"/>
          <w:sz w:val="24"/>
          <w:szCs w:val="24"/>
        </w:rPr>
        <w:t>cRCC</w:t>
      </w:r>
      <w:r w:rsidR="00D675AE" w:rsidRPr="00997DC7">
        <w:rPr>
          <w:rFonts w:ascii="仿宋" w:hAnsi="仿宋" w:hint="eastAsia"/>
          <w:b w:val="0"/>
          <w:sz w:val="24"/>
          <w:szCs w:val="24"/>
        </w:rPr>
        <w:t>）约占所有</w:t>
      </w:r>
      <w:r w:rsidR="00BA1717">
        <w:rPr>
          <w:rFonts w:ascii="仿宋" w:hAnsi="仿宋" w:hint="eastAsia"/>
          <w:b w:val="0"/>
          <w:sz w:val="24"/>
          <w:szCs w:val="24"/>
        </w:rPr>
        <w:t>肾脏</w:t>
      </w:r>
      <w:r w:rsidR="00D675AE" w:rsidRPr="00997DC7">
        <w:rPr>
          <w:rFonts w:ascii="仿宋" w:hAnsi="仿宋" w:hint="eastAsia"/>
          <w:b w:val="0"/>
          <w:sz w:val="24"/>
          <w:szCs w:val="24"/>
        </w:rPr>
        <w:t>肿瘤的</w:t>
      </w:r>
      <w:r w:rsidR="00790954">
        <w:rPr>
          <w:rFonts w:ascii="仿宋" w:hAnsi="仿宋" w:hint="eastAsia"/>
          <w:b w:val="0"/>
          <w:sz w:val="24"/>
          <w:szCs w:val="24"/>
        </w:rPr>
        <w:t>8</w:t>
      </w:r>
      <w:r w:rsidR="00790954">
        <w:rPr>
          <w:rFonts w:ascii="仿宋" w:hAnsi="仿宋"/>
          <w:b w:val="0"/>
          <w:sz w:val="24"/>
          <w:szCs w:val="24"/>
        </w:rPr>
        <w:t>5</w:t>
      </w:r>
      <w:r w:rsidR="00D675AE" w:rsidRPr="00997DC7">
        <w:rPr>
          <w:rFonts w:ascii="仿宋" w:hAnsi="仿宋"/>
          <w:b w:val="0"/>
          <w:sz w:val="24"/>
          <w:szCs w:val="24"/>
        </w:rPr>
        <w:t>%</w:t>
      </w:r>
      <w:r w:rsidR="00D675AE" w:rsidRPr="00997DC7">
        <w:rPr>
          <w:rFonts w:ascii="仿宋" w:hAnsi="仿宋" w:hint="eastAsia"/>
          <w:b w:val="0"/>
          <w:sz w:val="24"/>
          <w:szCs w:val="24"/>
        </w:rPr>
        <w:t>，</w:t>
      </w:r>
      <w:r w:rsidRPr="00997DC7">
        <w:rPr>
          <w:rFonts w:ascii="仿宋" w:hAnsi="仿宋" w:hint="eastAsia"/>
          <w:b w:val="0"/>
          <w:sz w:val="24"/>
          <w:szCs w:val="24"/>
        </w:rPr>
        <w:t>其中男性和女性的比例大概为2：1</w:t>
      </w:r>
      <w:r w:rsidR="00AF7AF8" w:rsidRPr="00997DC7">
        <w:rPr>
          <w:rFonts w:ascii="仿宋" w:hAnsi="仿宋"/>
          <w:b w:val="0"/>
          <w:sz w:val="24"/>
          <w:szCs w:val="24"/>
        </w:rPr>
        <w:fldChar w:fldCharType="begin" w:fldLock="1"/>
      </w:r>
      <w:r w:rsidR="00AF7AF8" w:rsidRPr="00997DC7">
        <w:rPr>
          <w:rFonts w:ascii="仿宋" w:hAnsi="仿宋"/>
          <w:b w:val="0"/>
          <w:sz w:val="24"/>
          <w:szCs w:val="24"/>
        </w:rPr>
        <w:instrText>ADDIN CSL_CITATION {"citationItems":[{"id":"ITEM-1","itemData":{"DOI":"10.3322/caac.21590","ISSN":"0007-9235","PMID":"31912902","abstract":"Each year, the American Cancer Society estimates the numbers of new cancer cases and deaths that will occur in the United States and compiles the most recent data on population-based cancer occurrence. Incidence data (through 2016) were collected by the Surveillance, Epidemiology, and End Results Program; the National Program of Cancer Registries; and the North American Association of Central Cancer Registries. Mortality data (through 2017) were collected by the National Center for Health Statistics. In 2020, 1,806,590 new cancer cases and 606,520 cancer deaths are projected to occur in the United States. The cancer death rate rose until 1991, then fell continuously through 2017, resulting in an overall decline of 29% that translates into an estimated 2.9</w:instrText>
      </w:r>
      <w:r w:rsidR="00AF7AF8" w:rsidRPr="00997DC7">
        <w:rPr>
          <w:rFonts w:ascii="Calibri" w:hAnsi="Calibri" w:cs="Calibri"/>
          <w:b w:val="0"/>
          <w:sz w:val="24"/>
          <w:szCs w:val="24"/>
        </w:rPr>
        <w:instrText> </w:instrText>
      </w:r>
      <w:r w:rsidR="00AF7AF8" w:rsidRPr="00997DC7">
        <w:rPr>
          <w:rFonts w:ascii="仿宋" w:hAnsi="仿宋"/>
          <w:b w:val="0"/>
          <w:sz w:val="24"/>
          <w:szCs w:val="24"/>
        </w:rPr>
        <w:instrText>million fewer cancer deaths than would have occurred if peak rates had persisted. This progress is driven by long-term declines in death rates for the 4 leading cancers (lung, colorectal, breast, prostate); however, over the past decade (2008-2017), reductions slowed for female breast and colorectal cancers, and halted for prostate cancer. In contrast, declines accelerated for lung cancer, from 3% annually during 2008 through 2013 to 5% during 2013 through 2017 in men and from 2% to almost 4% in women, spurring the largest ever single-year drop in overall cancer mortality of 2.2% from 2016 to 2017. Yet lung cancer still caused more deaths in 2017 than breast, prostate, colorectal, and brain cancers combined. Recent mortality declines were also dramatic for melanoma of the skin in the wake of US Food and Drug Administration approval of new therapies for metastatic disease, escalating to 7% annually during 2013 through 2017 from 1% during 2006 through 2010 in men and women aged 50 to 64</w:instrText>
      </w:r>
      <w:r w:rsidR="00AF7AF8" w:rsidRPr="00997DC7">
        <w:rPr>
          <w:rFonts w:ascii="Calibri" w:hAnsi="Calibri" w:cs="Calibri"/>
          <w:b w:val="0"/>
          <w:sz w:val="24"/>
          <w:szCs w:val="24"/>
        </w:rPr>
        <w:instrText> </w:instrText>
      </w:r>
      <w:r w:rsidR="00AF7AF8" w:rsidRPr="00997DC7">
        <w:rPr>
          <w:rFonts w:ascii="仿宋" w:hAnsi="仿宋"/>
          <w:b w:val="0"/>
          <w:sz w:val="24"/>
          <w:szCs w:val="24"/>
        </w:rPr>
        <w:instrText>years and from 2% to 3% in those aged 20 to 49</w:instrText>
      </w:r>
      <w:r w:rsidR="00AF7AF8" w:rsidRPr="00997DC7">
        <w:rPr>
          <w:rFonts w:ascii="Calibri" w:hAnsi="Calibri" w:cs="Calibri"/>
          <w:b w:val="0"/>
          <w:sz w:val="24"/>
          <w:szCs w:val="24"/>
        </w:rPr>
        <w:instrText> </w:instrText>
      </w:r>
      <w:r w:rsidR="00AF7AF8" w:rsidRPr="00997DC7">
        <w:rPr>
          <w:rFonts w:ascii="仿宋" w:hAnsi="仿宋"/>
          <w:b w:val="0"/>
          <w:sz w:val="24"/>
          <w:szCs w:val="24"/>
        </w:rPr>
        <w:instrText>years; annual declines of 5% to 6% in individuals aged 65</w:instrText>
      </w:r>
      <w:r w:rsidR="00AF7AF8" w:rsidRPr="00997DC7">
        <w:rPr>
          <w:rFonts w:ascii="Calibri" w:hAnsi="Calibri" w:cs="Calibri"/>
          <w:b w:val="0"/>
          <w:sz w:val="24"/>
          <w:szCs w:val="24"/>
        </w:rPr>
        <w:instrText> </w:instrText>
      </w:r>
      <w:r w:rsidR="00AF7AF8" w:rsidRPr="00997DC7">
        <w:rPr>
          <w:rFonts w:ascii="仿宋" w:hAnsi="仿宋"/>
          <w:b w:val="0"/>
          <w:sz w:val="24"/>
          <w:szCs w:val="24"/>
        </w:rPr>
        <w:instrText>years and older are particularly striking because rates in this age group were increasing prior to 2013. It is also notable that long-term rapid increases in liver cancer mortality have attenuated in women and stabilized in men. In summary, slowing momentum for some cancers amenable to early detection is juxtaposed with notable gains for other common cancers.","author":[{"dropping-particle":"","family":"Siegel","given":"Rebecca L.","non-dropping-particle":"","parse-names":false,"suffix":""},{"dropping-particle":"","family":"Miller","given":"Kimberly D.","non-dropping-particle":"","parse-names":false,"suffix":""},{"dropping-particle":"","family":"Jemal","given":"Ahmedin","non-dropping-particle":"","parse-names":false,"suffix":""}],"container-title":"CA: A Cancer Journal for Clinicians","id":"ITEM-1","issue":"1","issued":{"date-parts":[["2020"]]},"page":"7-30","title":"Cancer statistics, 2020","type":"article-journal","volume":"70"},"uris":["http://www.mendeley.com/documents/?uuid=72e7b174-08db-4c5f-ac98-338c005f19bb"]}],"mendeley":{"formattedCitation":"[1]","plainTextFormattedCitation":"[1]","previouslyFormattedCitation":"[1]"},"properties":{"noteIndex":0},"schema":"https://github.com/citation-style-language/schema/raw/master/csl-citation.json"}</w:instrText>
      </w:r>
      <w:r w:rsidR="00AF7AF8" w:rsidRPr="00997DC7">
        <w:rPr>
          <w:rFonts w:ascii="仿宋" w:hAnsi="仿宋"/>
          <w:b w:val="0"/>
          <w:sz w:val="24"/>
          <w:szCs w:val="24"/>
        </w:rPr>
        <w:fldChar w:fldCharType="separate"/>
      </w:r>
      <w:r w:rsidR="00AF7AF8" w:rsidRPr="00997DC7">
        <w:rPr>
          <w:rFonts w:ascii="仿宋" w:hAnsi="仿宋"/>
          <w:b w:val="0"/>
          <w:noProof/>
          <w:sz w:val="24"/>
          <w:szCs w:val="24"/>
        </w:rPr>
        <w:t>[1]</w:t>
      </w:r>
      <w:r w:rsidR="00AF7AF8" w:rsidRPr="00997DC7">
        <w:rPr>
          <w:rFonts w:ascii="仿宋" w:hAnsi="仿宋"/>
          <w:b w:val="0"/>
          <w:sz w:val="24"/>
          <w:szCs w:val="24"/>
        </w:rPr>
        <w:fldChar w:fldCharType="end"/>
      </w:r>
      <w:r w:rsidR="00736904" w:rsidRPr="00997DC7">
        <w:rPr>
          <w:rFonts w:ascii="仿宋" w:hAnsi="仿宋" w:hint="eastAsia"/>
          <w:b w:val="0"/>
          <w:sz w:val="24"/>
          <w:szCs w:val="24"/>
        </w:rPr>
        <w:t>。</w:t>
      </w:r>
      <w:r w:rsidR="00D675AE" w:rsidRPr="00997DC7">
        <w:rPr>
          <w:rFonts w:ascii="仿宋" w:hAnsi="仿宋" w:hint="eastAsia"/>
          <w:b w:val="0"/>
          <w:sz w:val="24"/>
          <w:szCs w:val="24"/>
        </w:rPr>
        <w:t>影响肾脏肿瘤发生的因素主要是吸烟和肥胖，其他的次要因素包括高血压，慢性肾衰，以及酒精等。</w:t>
      </w:r>
      <w:r w:rsidR="00BA2B7B" w:rsidRPr="00997DC7">
        <w:rPr>
          <w:rFonts w:ascii="仿宋" w:hAnsi="仿宋" w:hint="eastAsia"/>
          <w:b w:val="0"/>
          <w:sz w:val="24"/>
          <w:szCs w:val="24"/>
        </w:rPr>
        <w:t>肾脏肿瘤中有着大量的免疫细胞的浸润，其中大部分是巨噬细胞</w:t>
      </w:r>
      <w:r w:rsidR="00BA2B7B" w:rsidRPr="00997DC7">
        <w:rPr>
          <w:rFonts w:ascii="仿宋" w:hAnsi="仿宋"/>
          <w:b w:val="0"/>
          <w:sz w:val="24"/>
          <w:szCs w:val="24"/>
        </w:rPr>
        <w:fldChar w:fldCharType="begin" w:fldLock="1"/>
      </w:r>
      <w:r w:rsidR="00AF7AF8" w:rsidRPr="00997DC7">
        <w:rPr>
          <w:rFonts w:ascii="仿宋" w:hAnsi="仿宋"/>
          <w:b w:val="0"/>
          <w:sz w:val="24"/>
          <w:szCs w:val="24"/>
        </w:rPr>
        <w:instrText>ADDIN CSL_CITATION {"citationItems":[{"id":"ITEM-1","itemData":{"DOI":"10.1073/pnas.2103240118","ISSN":"10916490","PMID":"34099557","abstract":"Diverse subtypes of renal cell carcinomas (RCCs) display a wide spectrum of histomorphologies, proteogenomic alterations, immune cell infiltration patterns, and clinical behavior. Delineating the cells of origin for different RCC subtypes will provide mechanistic insights into their diverse pathobiology. Here, we employed single-cell RNA sequencing (scRNA-seq) to develop benign and malignant renal cell atlases. Using a random forest model trained on this cell atlas, we predicted the putative cell of origin for more than 10 RCC subtypes. scRNA-seq also revealed several attributes of the tumor microenvironment in the most common subtype of kidney cancer, clear cell RCC (ccRCC). We elucidated an active role for tumor epithelia in promoting immune cell infiltration, potentially explaining why ccRCC responds to immune checkpoint inhibitors, despite having a low neoantigen burden. In addition, we characterized an association between high endothelial cell types and lack of response to immunotherapy in ccRCC. Taken together, these single-cell analyses of benign kidney and RCC provide insight into the putative cell of origin for RCC subtypes and highlight the important role of the tumor microenvironment in influencing ccRCC biology and response to therapy.","author":[{"dropping-particle":"","family":"Zhang","given":"Yuping","non-dropping-particle":"","parse-names":false,"suffix":""},{"dropping-particle":"","family":"Narayanan","given":"Sathiya P.","non-dropping-particle":"","parse-names":false,"suffix":""},{"dropping-particle":"","family":"Mannan","given":"Rahul","non-dropping-particle":"","parse-names":false,"suffix":""},{"dropping-particle":"","family":"Raskind","given":"Gregory","non-dropping-particle":"","parse-names":false,"suffix":""},{"dropping-particle":"","family":"Wang","given":"Xiaoming","non-dropping-particle":"","parse-names":false,"suffix":""},{"dropping-particle":"","family":"Vats","given":"Pankaj","non-dropping-particle":"","parse-names":false,"suffix":""},{"dropping-particle":"","family":"Su","given":"Fengyun","non-dropping-particle":"","parse-names":false,"suffix":""},{"dropping-particle":"","family":"Hosseini","given":"Noshad","non-dropping-particle":"","parse-names":false,"suffix":""},{"dropping-particle":"","family":"Cao","given":"Xuhong","non-dropping-particle":"","parse-names":false,"suffix":""},{"dropping-particle":"","family":"Kumar-Sinha","given":"Chandan","non-dropping-particle":"","parse-names":false,"suffix":""},{"dropping-particle":"","family":"Ellison","given":"Stephanie J.","non-dropping-particle":"","parse-names":false,"suffix":""},{"dropping-particle":"","family":"Giordano","given":"Thomas J.","non-dropping-particle":"","parse-names":false,"suffix":""},{"dropping-particle":"","family":"Morgan","given":"Todd M.","non-dropping-particle":"","parse-names":false,"suffix":""},{"dropping-particle":"","family":"Pitchiaya","given":"Sethuramasundaram","non-dropping-particle":"","parse-names":false,"suffix":""},{"dropping-particle":"","family":"Alva","given":"Ajjai","non-dropping-particle":"","parse-names":false,"suffix":""},{"dropping-particle":"","family":"Mehra","given":"Rohit","non-dropping-particle":"","parse-names":false,"suffix":""},{"dropping-particle":"","family":"Cieslik","given":"Marcin","non-dropping-particle":"","parse-names":false,"suffix":""},{"dropping-particle":"","family":"Dhanasekaran","given":"Saravana M.","non-dropping-particle":"","parse-names":false,"suffix":""},{"dropping-particle":"","family":"Chinnaiyan","given":"Arul M.","non-dropping-particle":"","parse-names":false,"suffix":""}],"container-title":"Proceedings of the National Academy of Sciences of the United States of America","id":"ITEM-1","issue":"24","issued":{"date-parts":[["2021"]]},"title":"Single-cell analyses of renal cell cancers reveal insights into tumor microenvironment, cell of origin, and therapy response","type":"article-journal","volume":"118"},"uris":["http://www.mendeley.com/documents/?uuid=3fc1a00e-32f4-48a3-a62d-691cb34e9c1e"]}],"mendeley":{"formattedCitation":"[2]","plainTextFormattedCitation":"[2]","previouslyFormattedCitation":"[2]"},"properties":{"noteIndex":0},"schema":"https://github.com/citation-style-language/schema/raw/master/csl-citation.json"}</w:instrText>
      </w:r>
      <w:r w:rsidR="00BA2B7B" w:rsidRPr="00997DC7">
        <w:rPr>
          <w:rFonts w:ascii="仿宋" w:hAnsi="仿宋"/>
          <w:b w:val="0"/>
          <w:sz w:val="24"/>
          <w:szCs w:val="24"/>
        </w:rPr>
        <w:fldChar w:fldCharType="separate"/>
      </w:r>
      <w:r w:rsidR="00AF7AF8" w:rsidRPr="00997DC7">
        <w:rPr>
          <w:rFonts w:ascii="仿宋" w:hAnsi="仿宋"/>
          <w:b w:val="0"/>
          <w:noProof/>
          <w:sz w:val="24"/>
          <w:szCs w:val="24"/>
        </w:rPr>
        <w:t>[2]</w:t>
      </w:r>
      <w:r w:rsidR="00BA2B7B" w:rsidRPr="00997DC7">
        <w:rPr>
          <w:rFonts w:ascii="仿宋" w:hAnsi="仿宋"/>
          <w:b w:val="0"/>
          <w:sz w:val="24"/>
          <w:szCs w:val="24"/>
        </w:rPr>
        <w:fldChar w:fldCharType="end"/>
      </w:r>
      <w:r w:rsidR="00BA2B7B" w:rsidRPr="00997DC7">
        <w:rPr>
          <w:rFonts w:ascii="仿宋" w:hAnsi="仿宋" w:hint="eastAsia"/>
          <w:b w:val="0"/>
          <w:sz w:val="24"/>
          <w:szCs w:val="24"/>
        </w:rPr>
        <w:t>，说明巨噬细胞在肿瘤的发生发展过程中起到了重要的作用。早期的研究显示巨噬细胞在肿瘤中功能的多样性，有的研究显示更多巨噬细胞的浸润对应着好的治疗效果</w:t>
      </w:r>
      <w:r w:rsidR="00BA2B7B" w:rsidRPr="00997DC7">
        <w:rPr>
          <w:rFonts w:ascii="仿宋" w:hAnsi="仿宋"/>
          <w:b w:val="0"/>
          <w:sz w:val="24"/>
          <w:szCs w:val="24"/>
        </w:rPr>
        <w:fldChar w:fldCharType="begin" w:fldLock="1"/>
      </w:r>
      <w:r w:rsidR="00AF7AF8" w:rsidRPr="00997DC7">
        <w:rPr>
          <w:rFonts w:ascii="仿宋" w:hAnsi="仿宋"/>
          <w:b w:val="0"/>
          <w:sz w:val="24"/>
          <w:szCs w:val="24"/>
        </w:rPr>
        <w:instrText xml:space="preserve">ADDIN CSL_CITATION {"citationItems":[{"id":"ITEM-1","itemData":{"DOI":"10.1038/sj.bjc.6604256","ISSN":"00070920","PMID":"18283317","abstract":"The purpose of this study was to investigate the prognostic value of tumour-associated macrophages with a focus on micro-anatomical localisation and determine whether molecular changes of the epidermal growth factor receptor (EGFR) are related to macrophage infiltration in resected non-small cell lung cancer (NSCLC). One hundred and forty-four patients were included in this study. Immunohistochemistry was used to identify CD68+ macrophages in the tumour islet and surrounding stroma. Epidermal growth factor receptor mutations were studied by direct sequencing. The EGFR gene copy number and protein expression were analysed by fluorescence in situ hybridisation and immunohistochemistry. Patients with a high tumour islet macrophage density survived longer than did the patient with a low tumour islet macrophage density (5-year overall survival rate was 63.9 vs 38.9%, P=0.0002). A multivariate Cox proportional hazard analysis revealed that the tumour islet macrophage count was an independent prognostic factor for survival (hazard ratio 0.471, 95% confidence interval 0.300-0.740). However, EGFR mutations, gene copy number, and protein expression were not related to the macrophage infiltration. In conclusion, tumour islet macrophage infiltration was identified as a strong favourable independent prognostic marker for survival but not correlated with the molecular changes of the EGFR in patients with resected NSCLC. </w:instrText>
      </w:r>
      <w:r w:rsidR="00AF7AF8" w:rsidRPr="00997DC7">
        <w:rPr>
          <w:rFonts w:ascii="Calibri" w:hAnsi="Calibri" w:cs="Calibri"/>
          <w:b w:val="0"/>
          <w:sz w:val="24"/>
          <w:szCs w:val="24"/>
        </w:rPr>
        <w:instrText>©</w:instrText>
      </w:r>
      <w:r w:rsidR="00AF7AF8" w:rsidRPr="00997DC7">
        <w:rPr>
          <w:rFonts w:ascii="仿宋" w:hAnsi="仿宋"/>
          <w:b w:val="0"/>
          <w:sz w:val="24"/>
          <w:szCs w:val="24"/>
        </w:rPr>
        <w:instrText xml:space="preserve"> 2008 Cancer Research UK.","author":[{"dropping-particle":"","family":"Kim","given":"D. W.","non-dropping-particle":"","parse-names":false,"suffix":""},{"dropping-particle":"","family":"Min","given":"H. S.","non-dropping-particle":"","parse-names":false,"suffix":""},{"dropping-particle":"","family":"Lee","given":"K. H.","non-dropping-particle":"","parse-names":false,"suffix":""},{"dropping-particle":"","family":"Kim","given":"Y. J.","non-dropping-particle":"","parse-names":false,"suffix":""},{"dropping-particle":"","family":"Oh","given":"D. Y.","non-dropping-particle":"","parse-names":false,"suffix":""},{"dropping-particle":"","family":"Jeon","given":"Y. K.","non-dropping-particle":"","parse-names":false,"suffix":""},{"dropping-particle":"","family":"Lee","given":"S. H.","non-dropping-particle":"","parse-names":false,"suffix":""},{"dropping-particle":"","family":"Im","given":"S. A.","non-dropping-particle":"","parse-names":false,"suffix":""},{"dropping-particle":"","family":"Chung","given":"D. H.","non-dropping-particle":"","parse-names":false,"suffix":""},{"dropping-particle":"","family":"Kim","given":"Y. T.","non-dropping-particle":"","parse-names":false,"suffix":""},{"dropping-particle":"","family":"Kim","given":"T. Y.","non-dropping-particle":"","parse-names":false,"suffix":""},{"dropping-particle":"","family":"Bang","given":"Y. J.","non-dropping-particle":"","parse-names":false,"suffix":""},{"dropping-particle":"","family":"Sung","given":"S. W.","non-dropping-particle":"","parse-names":false,"suffix":""},{"dropping-particle":"","family":"Kim","given":"J. H.","non-dropping-particle":"","parse-names":false,"suffix":""},{"dropping-particle":"","family":"Heo","given":"D. S.","non-dropping-particle":"","parse-names":false,"suffix":""}],"container-title":"British Journal of Cancer","id":"ITEM-1","issue":"6","issued":{"date-parts":[["2008"]]},"page":"1118-1124","title":"High tumour islet macrophage infiltration correlates with improved patient survival but not with EGFR mutations, gene copy number or protein expression in resected non-small cell lung cancer","type":"article-journal","volume":"98"},"uris":["http://www.mendeley.com/documents/?uuid=43eed925-1543-4e1f-acef-dc812699bad6"]}],"mendeley":{"formattedCitation":"[3]","plainTextFormattedCitation":"[3]","previouslyFormattedCitation":"[3]"},"properties":{"noteIndex":0},"schema":"https://github.com/citation-style-language/schema/raw/master/csl-citation.json"}</w:instrText>
      </w:r>
      <w:r w:rsidR="00BA2B7B" w:rsidRPr="00997DC7">
        <w:rPr>
          <w:rFonts w:ascii="仿宋" w:hAnsi="仿宋"/>
          <w:b w:val="0"/>
          <w:sz w:val="24"/>
          <w:szCs w:val="24"/>
        </w:rPr>
        <w:fldChar w:fldCharType="separate"/>
      </w:r>
      <w:r w:rsidR="00AF7AF8" w:rsidRPr="00997DC7">
        <w:rPr>
          <w:rFonts w:ascii="仿宋" w:hAnsi="仿宋"/>
          <w:b w:val="0"/>
          <w:noProof/>
          <w:sz w:val="24"/>
          <w:szCs w:val="24"/>
        </w:rPr>
        <w:t>[3]</w:t>
      </w:r>
      <w:r w:rsidR="00BA2B7B" w:rsidRPr="00997DC7">
        <w:rPr>
          <w:rFonts w:ascii="仿宋" w:hAnsi="仿宋"/>
          <w:b w:val="0"/>
          <w:sz w:val="24"/>
          <w:szCs w:val="24"/>
        </w:rPr>
        <w:fldChar w:fldCharType="end"/>
      </w:r>
      <w:r w:rsidR="00BA2B7B" w:rsidRPr="00997DC7">
        <w:rPr>
          <w:rFonts w:ascii="仿宋" w:hAnsi="仿宋" w:hint="eastAsia"/>
          <w:b w:val="0"/>
          <w:sz w:val="24"/>
          <w:szCs w:val="24"/>
        </w:rPr>
        <w:t>，而有的研究结果显示更多巨噬细胞的浸润对应着更差的治疗效果</w:t>
      </w:r>
      <w:r w:rsidR="00BA2B7B" w:rsidRPr="00997DC7">
        <w:rPr>
          <w:rFonts w:ascii="仿宋" w:hAnsi="仿宋"/>
          <w:b w:val="0"/>
          <w:sz w:val="24"/>
          <w:szCs w:val="24"/>
        </w:rPr>
        <w:fldChar w:fldCharType="begin" w:fldLock="1"/>
      </w:r>
      <w:r w:rsidR="00AF7AF8" w:rsidRPr="00997DC7">
        <w:rPr>
          <w:rFonts w:ascii="仿宋" w:hAnsi="仿宋"/>
          <w:b w:val="0"/>
          <w:sz w:val="24"/>
          <w:szCs w:val="24"/>
        </w:rPr>
        <w:instrText xml:space="preserve">ADDIN CSL_CITATION {"citationItems":[{"id":"ITEM-1","itemData":{"DOI":"10.1002/path.1027","ISSN":"00223417","PMID":"11857487","abstract":"The role of macrophages in tumour growth and development is complex and multifaceted. Whilst there is limited evidence that tumour-associated macrophages (TAMs) can be directly tumouricidal and stimulate the anti-tumour activity of T cells, there is now contrasting evidence that tumour cells are able to block or evade the activity of TAMs at the tumour site. In some cases, tumour-derived molecules even direct TAM activities to promote tumour survival and growth. Indeed, evidence has emerged for a symbiotic relationship between tumour cells and TAMs, in which tumour cells attract TAMs and sustain their survival, with TAMs then responding to micro-environmental factors in tumours such as hypoxia (low oxygen tension) by producing important mitogens as well as various growth factors and enzymes that stimulate tumour angiogenesis. This review presents evidence for the number and/or distribution of TAMs being linked to prognosis in different types of human malignancy. It also outlines the range of pro- and anti-tumour functions performed by TAMs, and the novel therapies recently devised using TAMs to stimulate host immune responses or deliver therapeutic gene constructs to solid tumours. Copyright </w:instrText>
      </w:r>
      <w:r w:rsidR="00AF7AF8" w:rsidRPr="00997DC7">
        <w:rPr>
          <w:rFonts w:ascii="Calibri" w:hAnsi="Calibri" w:cs="Calibri"/>
          <w:b w:val="0"/>
          <w:sz w:val="24"/>
          <w:szCs w:val="24"/>
        </w:rPr>
        <w:instrText>©</w:instrText>
      </w:r>
      <w:r w:rsidR="00AF7AF8" w:rsidRPr="00997DC7">
        <w:rPr>
          <w:rFonts w:ascii="仿宋" w:hAnsi="仿宋"/>
          <w:b w:val="0"/>
          <w:sz w:val="24"/>
          <w:szCs w:val="24"/>
        </w:rPr>
        <w:instrText xml:space="preserve"> 2002 John Wiley &amp; Sons, Ltd.","author":[{"dropping-particle":"","family":"Bingle","given":"L.","non-dropping-particle":"","parse-names":false,"suffix":""},{"dropping-particle":"","family":"Brown","given":"N. J.","non-dropping-particle":"","parse-names":false,"suffix":""},{"dropping-particle":"","family":"Lewis","given":"C. E.","non-dropping-particle":"","parse-names":false,"suffix":""}],"container-title":"Journal of Pathology","id":"ITEM-1","issue":"3","issued":{"date-parts":[["2002"]]},"page":"254-265","title":"The role of tumour-associated macrophages in tumour progression: Implications for new anticancer therapies","type":"article-journal","volume":"196"},"uris":["http://www.mendeley.com/documents/?uuid=7b4fefd5-b6f4-4ca3-a878-8348dfe0f441"]}],"mendeley":{"formattedCitation":"[4]","plainTextFormattedCitation":"[4]","previouslyFormattedCitation":"[4]"},"properties":{"noteIndex":0},"schema":"https://github.com/citation-style-language/schema/raw/master/csl-citation.json"}</w:instrText>
      </w:r>
      <w:r w:rsidR="00BA2B7B" w:rsidRPr="00997DC7">
        <w:rPr>
          <w:rFonts w:ascii="仿宋" w:hAnsi="仿宋"/>
          <w:b w:val="0"/>
          <w:sz w:val="24"/>
          <w:szCs w:val="24"/>
        </w:rPr>
        <w:fldChar w:fldCharType="separate"/>
      </w:r>
      <w:r w:rsidR="00AF7AF8" w:rsidRPr="00997DC7">
        <w:rPr>
          <w:rFonts w:ascii="仿宋" w:hAnsi="仿宋"/>
          <w:b w:val="0"/>
          <w:noProof/>
          <w:sz w:val="24"/>
          <w:szCs w:val="24"/>
        </w:rPr>
        <w:t>[4]</w:t>
      </w:r>
      <w:r w:rsidR="00BA2B7B" w:rsidRPr="00997DC7">
        <w:rPr>
          <w:rFonts w:ascii="仿宋" w:hAnsi="仿宋"/>
          <w:b w:val="0"/>
          <w:sz w:val="24"/>
          <w:szCs w:val="24"/>
        </w:rPr>
        <w:fldChar w:fldCharType="end"/>
      </w:r>
      <w:r w:rsidR="00BA2B7B" w:rsidRPr="00997DC7">
        <w:rPr>
          <w:rFonts w:ascii="仿宋" w:hAnsi="仿宋" w:hint="eastAsia"/>
          <w:b w:val="0"/>
          <w:sz w:val="24"/>
          <w:szCs w:val="24"/>
        </w:rPr>
        <w:t>。随着研究的深入目前普遍的看法认为在肿瘤形成的早期巨噬细胞有抑制肿瘤形成的功能，然</w:t>
      </w:r>
      <w:r w:rsidR="00A37A8B" w:rsidRPr="00997DC7">
        <w:rPr>
          <w:rFonts w:ascii="仿宋" w:hAnsi="仿宋" w:hint="eastAsia"/>
          <w:b w:val="0"/>
          <w:sz w:val="24"/>
          <w:szCs w:val="24"/>
        </w:rPr>
        <w:t>而</w:t>
      </w:r>
      <w:r w:rsidR="00BA2B7B" w:rsidRPr="00997DC7">
        <w:rPr>
          <w:rFonts w:ascii="仿宋" w:hAnsi="仿宋" w:hint="eastAsia"/>
          <w:b w:val="0"/>
          <w:sz w:val="24"/>
          <w:szCs w:val="24"/>
        </w:rPr>
        <w:t>到了肿瘤形成后，受肿瘤微环境的影响，巨噬细胞分化成促进肿瘤生长的形态。从最近发表的单细胞测序数据也可以发现，相比于正常组织中的巨噬细胞，肿瘤组织中的巨噬细胞的相对数量及多样性都有着非常大的变化</w:t>
      </w:r>
      <w:r w:rsidR="00BA2B7B" w:rsidRPr="00997DC7">
        <w:rPr>
          <w:rFonts w:ascii="仿宋" w:hAnsi="仿宋"/>
          <w:b w:val="0"/>
          <w:sz w:val="24"/>
          <w:szCs w:val="24"/>
        </w:rPr>
        <w:fldChar w:fldCharType="begin" w:fldLock="1"/>
      </w:r>
      <w:r w:rsidR="00AF7AF8" w:rsidRPr="00997DC7">
        <w:rPr>
          <w:rFonts w:ascii="仿宋" w:hAnsi="仿宋"/>
          <w:b w:val="0"/>
          <w:sz w:val="24"/>
          <w:szCs w:val="24"/>
        </w:rPr>
        <w:instrText>ADDIN CSL_CITATION {"citationItems":[{"id":"ITEM-1","itemData":{"DOI":"10.1126/science.aar2131","ISSN":"10959203","abstract":"Our understanding of kidney disease pathogenesis is limited by an incomplete molecular characterization of the cell types responsible for the organ's multiple homeostatic functions. To help fill this knowledge gap, we characterized 57,979 cells from healthy mouse kidneys by using unbiased single-cell RNA sequencing. On the basis of gene expression patterns, we infer that inherited kidney diseases that arise from distinct genetic mutations but share the same phenotypic manifestation originate from the same differentiated cell type. We also found that the collecting duct in kidneys of adult mice generates a spectrum of cell types through a newly identified transitional cell. Computational cell trajectory analysis and in vivo lineage tracing revealed that intercalated cells and principal cells undergo transitions mediated by the Notch signaling pathway. In mouse and human kidney disease, these transitions were shifted toward a principal cell fate and were associated with metabolic acidosis.","author":[{"dropping-particle":"","family":"Park","given":"Jihwan","non-dropping-particle":"","parse-names":false,"suffix":""},{"dropping-particle":"","family":"Shrestha","given":"Rojesh","non-dropping-particle":"","parse-names":false,"suffix":""},{"dropping-particle":"","family":"Qiu","given":"Chengxiang","non-dropping-particle":"","parse-names":false,"suffix":""},{"dropping-particle":"","family":"Kondo","given":"Ayano","non-dropping-particle":"","parse-names":false,"suffix":""},{"dropping-particle":"","family":"Huang","given":"Shizheng","non-dropping-particle":"","parse-names":false,"suffix":""},{"dropping-particle":"","family":"Werth","given":"Max","non-dropping-particle":"","parse-names":false,"suffix":""},{"dropping-particle":"","family":"Li","given":"Mingyao","non-dropping-particle":"","parse-names":false,"suffix":""},{"dropping-particle":"","family":"Barasch","given":"Jonathan","non-dropping-particle":"","parse-names":false,"suffix":""},{"dropping-particle":"","family":"Suszták","given":"Katalin","non-dropping-particle":"","parse-names":false,"suffix":""}],"container-title":"Science","id":"ITEM-1","issue":"6390","issued":{"date-parts":[["2018"]]},"note":"沈老师给的文章，查找kidney epthelial cell high expressed ligand gene\n\nfor processing data from SRP125999 and GSE107585\n\nnorm1\nSRR6337197 \nSRR6337198 \nSRR6337200 \nSRR6337199\nSRR6337204\nSRR6337203\nSRR6337202\nSRR6337201\n\nnorm2\nSRR6337205\nSRR6337206\nSRR6337207\nSRR6337208\nSRR6337209\nSRR6337210\nSRR6337211\nSRR6337212\n\nnorm3\nSRR6337213\nSRR6337214\nSRR6337215\nSRR6337216\nSRR6337217\nSRR6337218\nSRR6337219\nSRR6337220\n\nnorm4\nSRR6337221\nSRR6337222\nSRR6337223\nSRR6337224\nSRR6337225\nSRR6337226\nSRR6337227\nSRR6337228\n\nKsp-cre-GFP\nSRR6337229\n\nscl-cre-GFP\nSRR6337230\n\nPod-cre-GFP\nSRR6337231","page":"758-763","title":"Single-cell transcriptomics of the mouse kidney reveals potential cellular targets of kidney disease","type":"article-journal","volume":"360"},"uris":["http://www.mendeley.com/documents/?uuid=9aa90d53-b849-4972-acbe-cf34e34d39e5"]}],"mendeley":{"formattedCitation":"[5]","plainTextFormattedCitation":"[5]","previouslyFormattedCitation":"[5]"},"properties":{"noteIndex":0},"schema":"https://github.com/citation-style-language/schema/raw/master/csl-citation.json"}</w:instrText>
      </w:r>
      <w:r w:rsidR="00BA2B7B" w:rsidRPr="00997DC7">
        <w:rPr>
          <w:rFonts w:ascii="仿宋" w:hAnsi="仿宋"/>
          <w:b w:val="0"/>
          <w:sz w:val="24"/>
          <w:szCs w:val="24"/>
        </w:rPr>
        <w:fldChar w:fldCharType="separate"/>
      </w:r>
      <w:r w:rsidR="00AF7AF8" w:rsidRPr="00997DC7">
        <w:rPr>
          <w:rFonts w:ascii="仿宋" w:hAnsi="仿宋"/>
          <w:b w:val="0"/>
          <w:noProof/>
          <w:sz w:val="24"/>
          <w:szCs w:val="24"/>
        </w:rPr>
        <w:t>[5]</w:t>
      </w:r>
      <w:r w:rsidR="00BA2B7B" w:rsidRPr="00997DC7">
        <w:rPr>
          <w:rFonts w:ascii="仿宋" w:hAnsi="仿宋"/>
          <w:b w:val="0"/>
          <w:sz w:val="24"/>
          <w:szCs w:val="24"/>
        </w:rPr>
        <w:fldChar w:fldCharType="end"/>
      </w:r>
      <w:r w:rsidR="00BA2B7B" w:rsidRPr="00997DC7">
        <w:rPr>
          <w:rFonts w:ascii="仿宋" w:hAnsi="仿宋"/>
          <w:b w:val="0"/>
          <w:sz w:val="24"/>
          <w:szCs w:val="24"/>
        </w:rPr>
        <w:fldChar w:fldCharType="begin" w:fldLock="1"/>
      </w:r>
      <w:r w:rsidR="00AF7AF8" w:rsidRPr="00997DC7">
        <w:rPr>
          <w:rFonts w:ascii="仿宋" w:hAnsi="仿宋"/>
          <w:b w:val="0"/>
          <w:sz w:val="24"/>
          <w:szCs w:val="24"/>
        </w:rPr>
        <w:instrText>ADDIN CSL_CITATION {"citationItems":[{"id":"ITEM-1","itemData":{"DOI":"10.1016/j.ccell.2021.03.007","ISSN":"15356108","abstract":"Graphical abstract Highlights d Single-cell RNA-seq reveals the architecture of the ccRCC immune microenvironment d Multiregional immune phenotypes integrated with bulk RNA-seq and tumor pathology d TCR usage varies by phenotype and defines T cell differentiation trajectories d Signatures of tissue-resident T cells and TAMs predict clinical outcome","author":[{"dropping-particle":"","family":"Krishna","given":"Chirag","non-dropping-particle":"","parse-names":false,"suffix":""},{"dropping-particle":"","family":"DiNatale","given":"Renzo G.","non-dropping-particle":"","parse-names":false,"suffix":""},{"dropping-particle":"","family":"Kuo","given":"Fengshen","non-dropping-particle":"","parse-names":false,"suffix":""},{"dropping-particle":"","family":"Srivastava","given":"Raghvendra M.","non-dropping-particle":"","parse-names":false,"suffix":""},{"dropping-particle":"","family":"Vuong","given":"Lynda","non-dropping-particle":"","parse-names":false,"suffix":""},{"dropping-particle":"","family":"Chowell","given":"Diego","non-dropping-particle":"","parse-names":false,"suffix":""},{"dropping-particle":"","family":"Gupta","given":"Sounak","non-dropping-particle":"","parse-names":false,"suffix":""},{"dropping-particle":"","family":"Vanderbilt","given":"Chad","non-dropping-particle":"","parse-names":false,"suffix":""},{"dropping-particle":"","family":"Purohit","given":"Tanaya A.","non-dropping-particle":"","parse-names":false,"suffix":""},{"dropping-particle":"","family":"Liu","given":"Ming","non-dropping-particle":"","parse-names":false,"suffix":""},{"dropping-particle":"","family":"Kansler","given":"Emily","non-dropping-particle":"","parse-names":false,"suffix":""},{"dropping-particle":"","family":"Nixon","given":"Briana G.","non-dropping-particle":"","parse-names":false,"suffix":""},{"dropping-particle":"","family":"Chen","given":"Ying-Bei","non-dropping-particle":"","parse-names":false,"suffix":""},{"dropping-particle":"","family":"Makarov","given":"Vladimir","non-dropping-particle":"","parse-names":false,"suffix":""},{"dropping-particle":"","family":"Blum","given":"Kyle A.","non-dropping-particle":"","parse-names":false,"suffix":""},{"dropping-particle":"","family":"Attalla","given":"Kyrollis","non-dropping-particle":"","parse-names":false,"suffix":""},{"dropping-particle":"","family":"Weng","given":"Stanley","non-dropping-particle":"","parse-names":false,"suffix":""},{"dropping-particle":"","family":"Salmans","given":"Michael L.","non-dropping-particle":"","parse-names":false,"suffix":""},{"dropping-particle":"","family":"Golkaram","given":"Mahdi","non-dropping-particle":"","parse-names":false,"suffix":""},{"dropping-particle":"","family":"Liu","given":"Li","non-dropping-particle":"","parse-names":false,"suffix":""},{"dropping-particle":"","family":"Zhang","given":"Shile","non-dropping-particle":"","parse-names":false,"suffix":""},{"dropping-particle":"","family":"Vijayaraghavan","given":"Raakhee","non-dropping-particle":"","parse-names":false,"suffix":""},{"dropping-particle":"","family":"Pawlowski","given":"Traci","non-dropping-particle":"","parse-names":false,"suffix":""},{"dropping-particle":"","family":"Reuter","given":"Victor","non-dropping-particle":"","parse-names":false,"suffix":""},{"dropping-particle":"","family":"Carlo","given":"Maria I.","non-dropping-particle":"","parse-names":false,"suffix":""},{"dropping-particle":"","family":"Voss","given":"Martin H.","non-dropping-particle":"","parse-names":false,"suffix":""},{"dropping-particle":"","family":"Coleman","given":"Jonathan","non-dropping-particle":"","parse-names":false,"suffix":""},{"dropping-particle":"","family":"Russo","given":"Paul","non-dropping-particle":"","parse-names":false,"suffix":""},{"dropping-particle":"","family":"Motzer","given":"Robert J.","non-dropping-particle":"","parse-names":false,"suffix":""},{"dropping-particle":"","family":"Li","given":"Ming O.","non-dropping-particle":"","parse-names":false,"suffix":""},{"dropping-particle":"","family":"Leslie","given":"Christina S.","non-dropping-particle":"","parse-names":false,"suffix":""},{"dropping-particle":"","family":"Chan","given":"Timothy A.","non-dropping-particle":"","parse-names":false,"suffix":""},{"dropping-particle":"","family":"Hakimi","given":"A. Ari","non-dropping-particle":"","parse-names":false,"suffix":""}],"container-title":"Cancer Cell","id":"ITEM-1","issued":{"date-parts":[["2021"]]},"page":"1-16","publisher":"Elsevier Inc.","title":"Single-cell sequencing links multiregional immune landscapes and tissue-resident T</w:instrText>
      </w:r>
      <w:r w:rsidR="00AF7AF8" w:rsidRPr="00997DC7">
        <w:rPr>
          <w:rFonts w:ascii="Calibri" w:hAnsi="Calibri" w:cs="Calibri"/>
          <w:b w:val="0"/>
          <w:sz w:val="24"/>
          <w:szCs w:val="24"/>
        </w:rPr>
        <w:instrText> </w:instrText>
      </w:r>
      <w:r w:rsidR="00AF7AF8" w:rsidRPr="00997DC7">
        <w:rPr>
          <w:rFonts w:ascii="仿宋" w:hAnsi="仿宋"/>
          <w:b w:val="0"/>
          <w:sz w:val="24"/>
          <w:szCs w:val="24"/>
        </w:rPr>
        <w:instrText>cells in ccRCC to tumor topology and therapy efficacy","type":"article-journal"},"uris":["http://www.mendeley.com/documents/?uuid=877408f0-868a-4f5b-9b34-08b95e7ad9e3"]}],"mendeley":{"formattedCitation":"[6]","plainTextFormattedCitation":"[6]","previouslyFormattedCitation":"[6]"},"properties":{"noteIndex":0},"schema":"https://github.com/citation-style-language/schema/raw/master/csl-citation.json"}</w:instrText>
      </w:r>
      <w:r w:rsidR="00BA2B7B" w:rsidRPr="00997DC7">
        <w:rPr>
          <w:rFonts w:ascii="仿宋" w:hAnsi="仿宋"/>
          <w:b w:val="0"/>
          <w:sz w:val="24"/>
          <w:szCs w:val="24"/>
        </w:rPr>
        <w:fldChar w:fldCharType="separate"/>
      </w:r>
      <w:r w:rsidR="00AF7AF8" w:rsidRPr="00997DC7">
        <w:rPr>
          <w:rFonts w:ascii="仿宋" w:hAnsi="仿宋"/>
          <w:b w:val="0"/>
          <w:noProof/>
          <w:sz w:val="24"/>
          <w:szCs w:val="24"/>
        </w:rPr>
        <w:t>[6]</w:t>
      </w:r>
      <w:r w:rsidR="00BA2B7B" w:rsidRPr="00997DC7">
        <w:rPr>
          <w:rFonts w:ascii="仿宋" w:hAnsi="仿宋"/>
          <w:b w:val="0"/>
          <w:sz w:val="24"/>
          <w:szCs w:val="24"/>
        </w:rPr>
        <w:fldChar w:fldCharType="end"/>
      </w:r>
      <w:r w:rsidR="00BA2B7B" w:rsidRPr="00997DC7">
        <w:rPr>
          <w:rFonts w:ascii="仿宋" w:hAnsi="仿宋"/>
          <w:b w:val="0"/>
          <w:sz w:val="24"/>
          <w:szCs w:val="24"/>
        </w:rPr>
        <w:fldChar w:fldCharType="begin" w:fldLock="1"/>
      </w:r>
      <w:r w:rsidR="00AF7AF8" w:rsidRPr="00997DC7">
        <w:rPr>
          <w:rFonts w:ascii="仿宋" w:hAnsi="仿宋"/>
          <w:b w:val="0"/>
          <w:sz w:val="24"/>
          <w:szCs w:val="24"/>
        </w:rPr>
        <w:instrText>ADDIN CSL_CITATION {"citationItems":[{"id":"ITEM-1","itemData":{"DOI":"10.1126/science.aat1699","ISSN":"10959203","PMID":"30093597","abstract":"Messenger RNA encodes cellular function and phenotype. In the context of human cancer, it defines the identities of malignant cells and the diversity of tumor tissue. We studied 72,501 single-cell transcriptomes of human renal tumors and normal tissue from fetal, pediatric, and adult kidneys.We matched childhood Wilms tumor with specific fetal cell types, thus providing evidence for the hypothesis that Wilms tumor cells are aberrant fetal cells. In adult renal cell carcinoma, we identified a canonical cancer transcriptome that matched a little-known subtype of proximal convoluted tubular cell. Analyses of the tumor composition defined cancer-associated normal cells and delineated a complex vascular endothelial growth factor (VEGF) signaling circuit. Our findings reveal the precise cellular identities and compositions of human kidney tumors.","author":[{"dropping-particle":"","family":"Young","given":"Matthew D.","non-dropping-particle":"","parse-names":false,"suffix":""},{"dropping-particle":"","family":"Mitchell","given":"Thomas J.","non-dropping-particle":"","parse-names":false,"suffix":""},{"dropping-particle":"","family":"Vieira Braga","given":"Felipe A.","non-dropping-particle":"","parse-names":false,"suffix":""},{"dropping-particle":"","family":"Tran","given":"Maxine G.B.","non-dropping-particle":"","parse-names":false,"suffix":""},{"dropping-particle":"","family":"Stewart","given":"Benjamin J.","non-dropping-particle":"","parse-names":false,"suffix":""},{"dropping-particle":"","family":"Ferdinand","given":"John R.","non-dropping-particle":"","parse-names":false,"suffix":""},{"dropping-particle":"","family":"Collord","given":"Grace","non-dropping-particle":"","parse-names":false,"suffix":""},{"dropping-particle":"","family":"Botting","given":"Rachel A.","non-dropping-particle":"","parse-names":false,"suffix":""},{"dropping-particle":"","family":"Popescu","given":"Dorin Mirel","non-dropping-particle":"","parse-names":false,"suffix":""},{"dropping-particle":"","family":"Loudon","given":"Kevin W.","non-dropping-particle":"","parse-names":false,"suffix":""},{"dropping-particle":"","family":"Vento-Tormo","given":"Roser","non-dropping-particle":"","parse-names":false,"suffix":""},{"dropping-particle":"","family":"Stephenson","given":"Emily","non-dropping-particle":"","parse-names":false,"suffix":""},{"dropping-particle":"","family":"Cagan","given":"Alex","non-dropping-particle":"","parse-names":false,"suffix":""},{"dropping-particle":"","family":"Farndon","given":"Sarah J.","non-dropping-particle":"","parse-names":false,"suffix":""},{"dropping-particle":"","family":"Velasco-Herrera","given":"Martin Del Castillo","non-dropping-particle":"","parse-names":false,"suffix":""},{"dropping-particle":"","family":"Guzzo","given":"Charlotte","non-dropping-particle":"","parse-names":false,"suffix":""},{"dropping-particle":"","family":"Richoz","given":"Nathan","non-dropping-particle":"","parse-names":false,"suffix":""},{"dropping-particle":"","family":"Mamanova","given":"Lira","non-dropping-particle":"","parse-names":false,"suffix":""},{"dropping-particle":"","family":"Aho","given":"Tevita","non-dropping-particle":"","parse-names":false,"suffix":""},{"dropping-particle":"","family":"Armitage","given":"James N.","non-dropping-particle":"","parse-names":false,"suffix":""},{"dropping-particle":"","family":"Riddick","given":"Antony C.P.","non-dropping-particle":"","parse-names":false,"suffix":""},{"dropping-particle":"","family":"Mushtaq","given":"Imran","non-dropping-particle":"","parse-names":false,"suffix":""},{"dropping-particle":"","family":"Farrell","given":"Stephen","non-dropping-particle":"","parse-names":false,"suffix":""},{"dropping-particle":"","family":"Rampling","given":"Dyanne","non-dropping-particle":"","parse-names":false,"suffix":""},{"dropping-particle":"","family":"Nicholson","given":"James","non-dropping-particle":"","parse-names":false,"suffix":""},{"dropping-particle":"","family":"Filby","given":"Andrew","non-dropping-particle":"","parse-names":false,"suffix":""},{"dropping-particle":"","family":"Burge","given":"Johanna","non-dropping-particle":"","parse-names":false,"suffix":""},{"dropping-particle":"","family":"Lisgo","given":"Steven","non-dropping-particle":"","parse-names":false,"suffix":""},{"dropping-particle":"","family":"Maxwell","given":"Patrick H.","non-dropping-particle":"","parse-names":false,"suffix":""},{"dropping-particle":"","family":"Lindsay","given":"Susan","non-dropping-particle":"","parse-names":false,"suffix":""},{"dropping-particle":"","family":"Warren","given":"Anne Y.","non-dropping-particle":"","parse-names":false,"suffix":""},{"dropping-particle":"","family":"Stewart","given":"Grant D.","non-dropping-particle":"","parse-names":false,"suffix":""},{"dropping-particle":"","family":"Sebire","given":"Neil","non-dropping-particle":"","parse-names":false,"suffix":""},{"dropping-particle":"","family":"Coleman","given":"Nicholas","non-dropping-particle":"","parse-names":false,"suffix":""},{"dropping-particle":"","family":"Haniffa","given":"Muzlifah","non-dropping-particle":"","parse-names":false,"suffix":""},{"dropping-particle":"","family":"Teichmann","given":"Sarah A.","non-dropping-particle":"","parse-names":false,"suffix":""},{"dropping-particle":"","family":"Clatworthy","given":"Menna","non-dropping-particle":"","parse-names":false,"suffix":""},{"dropping-particle":"","family":"Behjati","given":"Sam","non-dropping-particle":"","parse-names":false,"suffix":""}],"container-title":"Science","id":"ITEM-1","issue":"6402","issued":{"date-parts":[["2018"]]},"page":"594-599","title":"Single-cell transcriptomes from human kidneys reveal the cellular identity of renal tumors","type":"article-journal","volume":"361"},"uris":["http://www.mendeley.com/documents/?uuid=30b07e37-712c-4ade-bd16-a449396628ce"]}],"mendeley":{"formattedCitation":"[7]","plainTextFormattedCitation":"[7]","previouslyFormattedCitation":"[7]"},"properties":{"noteIndex":0},"schema":"https://github.com/citation-style-language/schema/raw/master/csl-citation.json"}</w:instrText>
      </w:r>
      <w:r w:rsidR="00BA2B7B" w:rsidRPr="00997DC7">
        <w:rPr>
          <w:rFonts w:ascii="仿宋" w:hAnsi="仿宋"/>
          <w:b w:val="0"/>
          <w:sz w:val="24"/>
          <w:szCs w:val="24"/>
        </w:rPr>
        <w:fldChar w:fldCharType="separate"/>
      </w:r>
      <w:r w:rsidR="00AF7AF8" w:rsidRPr="00997DC7">
        <w:rPr>
          <w:rFonts w:ascii="仿宋" w:hAnsi="仿宋"/>
          <w:b w:val="0"/>
          <w:noProof/>
          <w:sz w:val="24"/>
          <w:szCs w:val="24"/>
        </w:rPr>
        <w:t>[7]</w:t>
      </w:r>
      <w:r w:rsidR="00BA2B7B" w:rsidRPr="00997DC7">
        <w:rPr>
          <w:rFonts w:ascii="仿宋" w:hAnsi="仿宋"/>
          <w:b w:val="0"/>
          <w:sz w:val="24"/>
          <w:szCs w:val="24"/>
        </w:rPr>
        <w:fldChar w:fldCharType="end"/>
      </w:r>
      <w:r w:rsidR="001B66FA" w:rsidRPr="00997DC7">
        <w:rPr>
          <w:rFonts w:ascii="仿宋" w:hAnsi="仿宋" w:hint="eastAsia"/>
          <w:b w:val="0"/>
          <w:sz w:val="24"/>
          <w:szCs w:val="24"/>
        </w:rPr>
        <w:t>，说明在肿瘤的发生发展过程中</w:t>
      </w:r>
      <w:r w:rsidR="006A0CD0" w:rsidRPr="00997DC7">
        <w:rPr>
          <w:rFonts w:ascii="仿宋" w:hAnsi="仿宋" w:hint="eastAsia"/>
          <w:b w:val="0"/>
          <w:sz w:val="24"/>
          <w:szCs w:val="24"/>
        </w:rPr>
        <w:t>巨噬细胞与肿瘤微环境中的其他细胞存在着大量的相互作用</w:t>
      </w:r>
      <w:r w:rsidR="006C3B8D" w:rsidRPr="00997DC7">
        <w:rPr>
          <w:rFonts w:ascii="仿宋" w:hAnsi="仿宋" w:hint="eastAsia"/>
          <w:b w:val="0"/>
          <w:sz w:val="24"/>
          <w:szCs w:val="24"/>
        </w:rPr>
        <w:t>，这些相互作用一方面促进了更多巨噬细胞的浸润，</w:t>
      </w:r>
      <w:r w:rsidR="005D448C" w:rsidRPr="00997DC7">
        <w:rPr>
          <w:rFonts w:ascii="仿宋" w:hAnsi="仿宋" w:hint="eastAsia"/>
          <w:b w:val="0"/>
          <w:sz w:val="24"/>
          <w:szCs w:val="24"/>
        </w:rPr>
        <w:t>另一方面也促进了巨噬细胞分化成更多的</w:t>
      </w:r>
      <w:r w:rsidR="00920274" w:rsidRPr="00997DC7">
        <w:rPr>
          <w:rFonts w:ascii="仿宋" w:hAnsi="仿宋" w:hint="eastAsia"/>
          <w:b w:val="0"/>
          <w:sz w:val="24"/>
          <w:szCs w:val="24"/>
        </w:rPr>
        <w:t>功能</w:t>
      </w:r>
      <w:r w:rsidR="005D448C" w:rsidRPr="00997DC7">
        <w:rPr>
          <w:rFonts w:ascii="仿宋" w:hAnsi="仿宋" w:hint="eastAsia"/>
          <w:b w:val="0"/>
          <w:sz w:val="24"/>
          <w:szCs w:val="24"/>
        </w:rPr>
        <w:t>形态</w:t>
      </w:r>
      <w:r w:rsidR="00BA2B7B" w:rsidRPr="00997DC7">
        <w:rPr>
          <w:rFonts w:ascii="仿宋" w:hAnsi="仿宋" w:hint="eastAsia"/>
          <w:b w:val="0"/>
          <w:sz w:val="24"/>
          <w:szCs w:val="24"/>
        </w:rPr>
        <w:t>。因此研究巨噬细胞对肿瘤发生发展的影响对于肾脏肿瘤的治疗和预防都具有非常重要的意义。</w:t>
      </w:r>
    </w:p>
    <w:p w14:paraId="3D5464F1" w14:textId="18892FCA" w:rsidR="00C30CAC" w:rsidRDefault="00C30CAC" w:rsidP="00C30CAC">
      <w:pPr>
        <w:pStyle w:val="aa"/>
      </w:pPr>
      <w:r w:rsidRPr="00E82CFC">
        <w:t>1.2</w:t>
      </w:r>
      <w:r>
        <w:rPr>
          <w:rFonts w:hint="eastAsia"/>
        </w:rPr>
        <w:t xml:space="preserve"> </w:t>
      </w:r>
      <w:r>
        <w:rPr>
          <w:rFonts w:hint="eastAsia"/>
        </w:rPr>
        <w:t>研究</w:t>
      </w:r>
      <w:r w:rsidRPr="000F671D">
        <w:rPr>
          <w:rFonts w:hint="eastAsia"/>
        </w:rPr>
        <w:t>目的</w:t>
      </w:r>
    </w:p>
    <w:p w14:paraId="61FB281B" w14:textId="26F9DE8C" w:rsidR="001A2F81" w:rsidRPr="00BA2B7B" w:rsidRDefault="001A2F81" w:rsidP="00AD0818">
      <w:pPr>
        <w:pStyle w:val="aa"/>
        <w:outlineLvl w:val="9"/>
        <w:rPr>
          <w:rFonts w:ascii="仿宋" w:hAnsi="仿宋"/>
          <w:b w:val="0"/>
          <w:sz w:val="24"/>
          <w:szCs w:val="24"/>
        </w:rPr>
      </w:pPr>
      <w:r w:rsidRPr="00BA2B7B">
        <w:rPr>
          <w:rFonts w:ascii="仿宋" w:hAnsi="仿宋" w:hint="eastAsia"/>
          <w:b w:val="0"/>
          <w:sz w:val="24"/>
          <w:szCs w:val="24"/>
        </w:rPr>
        <w:t>巨噬细胞来源的Pdgfb对肾脏肿瘤生长的影响。</w:t>
      </w:r>
    </w:p>
    <w:p w14:paraId="69B155F4" w14:textId="77777777" w:rsidR="00C30CAC" w:rsidRPr="000F671D" w:rsidRDefault="00C30CAC" w:rsidP="00C30CAC">
      <w:pPr>
        <w:pStyle w:val="a9"/>
      </w:pPr>
      <w:r w:rsidRPr="000F671D">
        <w:rPr>
          <w:rFonts w:hint="eastAsia"/>
        </w:rPr>
        <w:t>2</w:t>
      </w:r>
      <w:r>
        <w:rPr>
          <w:rFonts w:hint="eastAsia"/>
        </w:rPr>
        <w:t>研究</w:t>
      </w:r>
      <w:r w:rsidRPr="000F671D">
        <w:rPr>
          <w:rFonts w:hint="eastAsia"/>
        </w:rPr>
        <w:t>内容和技术路线</w:t>
      </w:r>
    </w:p>
    <w:p w14:paraId="533B5AC4" w14:textId="3DA0E606" w:rsidR="00C30CAC" w:rsidRDefault="00C30CAC" w:rsidP="00C30CAC">
      <w:pPr>
        <w:pStyle w:val="aa"/>
      </w:pPr>
      <w:r w:rsidRPr="00E82CFC">
        <w:t>2.1</w:t>
      </w:r>
      <w:r>
        <w:rPr>
          <w:rFonts w:hint="eastAsia"/>
        </w:rPr>
        <w:t xml:space="preserve"> </w:t>
      </w:r>
      <w:r w:rsidRPr="000F671D">
        <w:rPr>
          <w:rFonts w:hint="eastAsia"/>
        </w:rPr>
        <w:t>研究内容</w:t>
      </w:r>
    </w:p>
    <w:p w14:paraId="60A553A3" w14:textId="4B958CA3" w:rsidR="00111EA8" w:rsidRPr="00656ADC" w:rsidRDefault="00111EA8" w:rsidP="00656ADC">
      <w:pPr>
        <w:pStyle w:val="aa"/>
        <w:outlineLvl w:val="9"/>
        <w:rPr>
          <w:rFonts w:ascii="仿宋" w:hAnsi="仿宋" w:hint="eastAsia"/>
          <w:b w:val="0"/>
          <w:sz w:val="24"/>
          <w:szCs w:val="24"/>
        </w:rPr>
      </w:pPr>
      <w:r w:rsidRPr="00656ADC">
        <w:rPr>
          <w:rFonts w:ascii="仿宋" w:hAnsi="仿宋" w:hint="eastAsia"/>
          <w:b w:val="0"/>
          <w:sz w:val="24"/>
          <w:szCs w:val="24"/>
        </w:rPr>
        <w:t>使用</w:t>
      </w:r>
      <w:r w:rsidRPr="00656ADC">
        <w:rPr>
          <w:rFonts w:ascii="仿宋" w:hAnsi="仿宋"/>
          <w:b w:val="0"/>
          <w:sz w:val="24"/>
          <w:szCs w:val="24"/>
        </w:rPr>
        <w:t>Cx3cr1-CreER</w:t>
      </w:r>
      <w:r w:rsidR="00656ADC">
        <w:rPr>
          <w:rFonts w:ascii="仿宋" w:hAnsi="仿宋"/>
          <w:b w:val="0"/>
          <w:sz w:val="24"/>
          <w:szCs w:val="24"/>
          <w:vertAlign w:val="superscript"/>
        </w:rPr>
        <w:t>+/-</w:t>
      </w:r>
      <w:r w:rsidR="00A5114E">
        <w:rPr>
          <w:rFonts w:ascii="仿宋" w:hAnsi="仿宋"/>
          <w:b w:val="0"/>
          <w:sz w:val="24"/>
          <w:szCs w:val="24"/>
        </w:rPr>
        <w:t>;</w:t>
      </w:r>
      <w:r w:rsidRPr="00656ADC">
        <w:rPr>
          <w:rFonts w:ascii="仿宋" w:hAnsi="仿宋"/>
          <w:b w:val="0"/>
          <w:sz w:val="24"/>
          <w:szCs w:val="24"/>
        </w:rPr>
        <w:t>Pdgfb</w:t>
      </w:r>
      <w:r w:rsidRPr="00656ADC">
        <w:rPr>
          <w:rFonts w:ascii="仿宋" w:hAnsi="仿宋"/>
          <w:b w:val="0"/>
          <w:sz w:val="24"/>
          <w:szCs w:val="24"/>
          <w:vertAlign w:val="superscript"/>
        </w:rPr>
        <w:t>flox/flox</w:t>
      </w:r>
      <w:r w:rsidRPr="00656ADC">
        <w:rPr>
          <w:rFonts w:ascii="仿宋" w:hAnsi="仿宋"/>
          <w:b w:val="0"/>
          <w:sz w:val="24"/>
          <w:szCs w:val="24"/>
        </w:rPr>
        <w:t xml:space="preserve"> </w:t>
      </w:r>
      <w:r w:rsidRPr="00656ADC">
        <w:rPr>
          <w:rFonts w:ascii="仿宋" w:hAnsi="仿宋" w:hint="eastAsia"/>
          <w:b w:val="0"/>
          <w:sz w:val="24"/>
          <w:szCs w:val="24"/>
        </w:rPr>
        <w:t>的小鼠模型特异的去除巨噬细胞来源的Pdgfb，观察其对肾脏肿瘤生长的影响。</w:t>
      </w:r>
    </w:p>
    <w:p w14:paraId="30587DF7" w14:textId="78C2E270" w:rsidR="00A5114E" w:rsidRDefault="00C30CAC" w:rsidP="00C30CAC">
      <w:pPr>
        <w:pStyle w:val="aa"/>
      </w:pPr>
      <w:r w:rsidRPr="00E82CFC">
        <w:t>2</w:t>
      </w:r>
      <w:r w:rsidRPr="0069168A">
        <w:t xml:space="preserve">.2 </w:t>
      </w:r>
      <w:r w:rsidRPr="0069168A">
        <w:t>技术路线</w:t>
      </w:r>
    </w:p>
    <w:p w14:paraId="6775EA4E" w14:textId="7CD73FE9" w:rsidR="00A5114E" w:rsidRPr="00F96444" w:rsidRDefault="008975C2" w:rsidP="00BA1717">
      <w:pPr>
        <w:pStyle w:val="aa"/>
        <w:numPr>
          <w:ilvl w:val="0"/>
          <w:numId w:val="2"/>
        </w:numPr>
        <w:outlineLvl w:val="9"/>
        <w:rPr>
          <w:rFonts w:ascii="仿宋" w:hAnsi="仿宋"/>
          <w:b w:val="0"/>
          <w:sz w:val="24"/>
          <w:szCs w:val="24"/>
        </w:rPr>
      </w:pPr>
      <w:r w:rsidRPr="00F96444">
        <w:rPr>
          <w:rFonts w:ascii="仿宋" w:hAnsi="仿宋" w:hint="eastAsia"/>
          <w:b w:val="0"/>
          <w:sz w:val="24"/>
          <w:szCs w:val="24"/>
        </w:rPr>
        <w:lastRenderedPageBreak/>
        <w:t>Cx</w:t>
      </w:r>
      <w:r w:rsidRPr="00F96444">
        <w:rPr>
          <w:rFonts w:ascii="仿宋" w:hAnsi="仿宋"/>
          <w:b w:val="0"/>
          <w:sz w:val="24"/>
          <w:szCs w:val="24"/>
        </w:rPr>
        <w:t>3</w:t>
      </w:r>
      <w:r w:rsidRPr="00F96444">
        <w:rPr>
          <w:rFonts w:ascii="仿宋" w:hAnsi="仿宋" w:hint="eastAsia"/>
          <w:b w:val="0"/>
          <w:sz w:val="24"/>
          <w:szCs w:val="24"/>
        </w:rPr>
        <w:t>c</w:t>
      </w:r>
      <w:r w:rsidRPr="00F96444">
        <w:rPr>
          <w:rFonts w:ascii="仿宋" w:hAnsi="仿宋"/>
          <w:b w:val="0"/>
          <w:sz w:val="24"/>
          <w:szCs w:val="24"/>
        </w:rPr>
        <w:t>r1-CreER</w:t>
      </w:r>
      <w:r w:rsidRPr="00F96444">
        <w:rPr>
          <w:rFonts w:ascii="仿宋" w:hAnsi="仿宋"/>
          <w:b w:val="0"/>
          <w:sz w:val="24"/>
          <w:szCs w:val="24"/>
          <w:vertAlign w:val="superscript"/>
        </w:rPr>
        <w:t>-/+</w:t>
      </w:r>
      <w:r w:rsidRPr="00F96444">
        <w:rPr>
          <w:rFonts w:ascii="仿宋" w:hAnsi="仿宋"/>
          <w:b w:val="0"/>
          <w:sz w:val="24"/>
          <w:szCs w:val="24"/>
        </w:rPr>
        <w:t xml:space="preserve"> </w:t>
      </w:r>
      <w:r w:rsidRPr="00F96444">
        <w:rPr>
          <w:rFonts w:ascii="仿宋" w:hAnsi="仿宋" w:hint="eastAsia"/>
          <w:b w:val="0"/>
          <w:sz w:val="24"/>
          <w:szCs w:val="24"/>
        </w:rPr>
        <w:t>杂合的小鼠与Pdgfb</w:t>
      </w:r>
      <w:r w:rsidRPr="00F96444">
        <w:rPr>
          <w:rFonts w:ascii="仿宋" w:hAnsi="仿宋"/>
          <w:b w:val="0"/>
          <w:sz w:val="24"/>
          <w:szCs w:val="24"/>
          <w:vertAlign w:val="superscript"/>
        </w:rPr>
        <w:t>+/flox</w:t>
      </w:r>
      <w:r w:rsidRPr="00F96444">
        <w:rPr>
          <w:rFonts w:ascii="仿宋" w:hAnsi="仿宋"/>
          <w:b w:val="0"/>
          <w:sz w:val="24"/>
          <w:szCs w:val="24"/>
        </w:rPr>
        <w:t xml:space="preserve"> </w:t>
      </w:r>
      <w:r w:rsidR="00F96444">
        <w:rPr>
          <w:rFonts w:ascii="仿宋" w:hAnsi="仿宋" w:hint="eastAsia"/>
          <w:b w:val="0"/>
          <w:sz w:val="24"/>
          <w:szCs w:val="24"/>
        </w:rPr>
        <w:t>杂合的小鼠</w:t>
      </w:r>
      <w:r w:rsidRPr="00F96444">
        <w:rPr>
          <w:rFonts w:ascii="仿宋" w:hAnsi="仿宋" w:hint="eastAsia"/>
          <w:b w:val="0"/>
          <w:sz w:val="24"/>
          <w:szCs w:val="24"/>
        </w:rPr>
        <w:t>杂交产生实验</w:t>
      </w:r>
      <w:r w:rsidR="0014293F">
        <w:rPr>
          <w:rFonts w:ascii="仿宋" w:hAnsi="仿宋" w:hint="eastAsia"/>
          <w:b w:val="0"/>
          <w:sz w:val="24"/>
          <w:szCs w:val="24"/>
        </w:rPr>
        <w:t>组</w:t>
      </w:r>
      <w:r w:rsidRPr="00F96444">
        <w:rPr>
          <w:rFonts w:ascii="仿宋" w:hAnsi="仿宋" w:hint="eastAsia"/>
          <w:b w:val="0"/>
          <w:sz w:val="24"/>
          <w:szCs w:val="24"/>
        </w:rPr>
        <w:t>需要的基因型</w:t>
      </w:r>
      <w:r w:rsidRPr="00F96444">
        <w:rPr>
          <w:rFonts w:ascii="仿宋" w:hAnsi="仿宋"/>
          <w:b w:val="0"/>
          <w:sz w:val="24"/>
          <w:szCs w:val="24"/>
        </w:rPr>
        <w:t>Cx3cr1-CreER</w:t>
      </w:r>
      <w:r w:rsidRPr="00F96444">
        <w:rPr>
          <w:rFonts w:ascii="仿宋" w:hAnsi="仿宋"/>
          <w:b w:val="0"/>
          <w:sz w:val="24"/>
          <w:szCs w:val="24"/>
          <w:vertAlign w:val="superscript"/>
        </w:rPr>
        <w:t>-/+</w:t>
      </w:r>
      <w:r w:rsidRPr="00F96444">
        <w:rPr>
          <w:rFonts w:ascii="仿宋" w:hAnsi="仿宋"/>
          <w:b w:val="0"/>
          <w:sz w:val="24"/>
          <w:szCs w:val="24"/>
        </w:rPr>
        <w:t>;Pdgfb</w:t>
      </w:r>
      <w:r w:rsidRPr="00F96444">
        <w:rPr>
          <w:rFonts w:ascii="仿宋" w:hAnsi="仿宋"/>
          <w:b w:val="0"/>
          <w:sz w:val="24"/>
          <w:szCs w:val="24"/>
          <w:vertAlign w:val="superscript"/>
        </w:rPr>
        <w:t>flox/flox</w:t>
      </w:r>
      <w:r w:rsidR="00544582" w:rsidRPr="00F96444">
        <w:rPr>
          <w:rFonts w:ascii="仿宋" w:hAnsi="仿宋" w:hint="eastAsia"/>
          <w:b w:val="0"/>
          <w:sz w:val="24"/>
          <w:szCs w:val="24"/>
        </w:rPr>
        <w:t>，并使用C</w:t>
      </w:r>
      <w:r w:rsidR="00544582" w:rsidRPr="00F96444">
        <w:rPr>
          <w:rFonts w:ascii="仿宋" w:hAnsi="仿宋"/>
          <w:b w:val="0"/>
          <w:sz w:val="24"/>
          <w:szCs w:val="24"/>
        </w:rPr>
        <w:t>x3cr1-CreER</w:t>
      </w:r>
      <w:r w:rsidR="00544582" w:rsidRPr="00F96444">
        <w:rPr>
          <w:rFonts w:ascii="仿宋" w:hAnsi="仿宋"/>
          <w:b w:val="0"/>
          <w:sz w:val="24"/>
          <w:szCs w:val="24"/>
          <w:vertAlign w:val="superscript"/>
        </w:rPr>
        <w:t>-/+</w:t>
      </w:r>
      <w:r w:rsidR="00544582" w:rsidRPr="00F96444">
        <w:rPr>
          <w:rFonts w:ascii="仿宋" w:hAnsi="仿宋" w:hint="eastAsia"/>
          <w:b w:val="0"/>
          <w:sz w:val="24"/>
          <w:szCs w:val="24"/>
        </w:rPr>
        <w:t>；Pdgfb</w:t>
      </w:r>
      <w:r w:rsidR="00544582" w:rsidRPr="00F96444">
        <w:rPr>
          <w:rFonts w:ascii="仿宋" w:hAnsi="仿宋"/>
          <w:b w:val="0"/>
          <w:sz w:val="24"/>
          <w:szCs w:val="24"/>
          <w:vertAlign w:val="superscript"/>
        </w:rPr>
        <w:t>+/flox</w:t>
      </w:r>
      <w:r w:rsidR="00544582" w:rsidRPr="00F96444">
        <w:rPr>
          <w:rFonts w:ascii="仿宋" w:hAnsi="仿宋" w:hint="eastAsia"/>
          <w:b w:val="0"/>
          <w:sz w:val="24"/>
          <w:szCs w:val="24"/>
        </w:rPr>
        <w:t>的小鼠作为对照组。</w:t>
      </w:r>
      <w:bookmarkStart w:id="1" w:name="_GoBack"/>
      <w:bookmarkEnd w:id="1"/>
    </w:p>
    <w:p w14:paraId="3499718B" w14:textId="42305C0E" w:rsidR="000E14D7" w:rsidRPr="00F96444" w:rsidRDefault="00DD61BD" w:rsidP="00BA1717">
      <w:pPr>
        <w:pStyle w:val="aa"/>
        <w:numPr>
          <w:ilvl w:val="0"/>
          <w:numId w:val="2"/>
        </w:numPr>
        <w:outlineLvl w:val="9"/>
        <w:rPr>
          <w:rFonts w:ascii="仿宋" w:hAnsi="仿宋"/>
          <w:b w:val="0"/>
          <w:sz w:val="24"/>
          <w:szCs w:val="24"/>
        </w:rPr>
      </w:pPr>
      <w:r w:rsidRPr="00F96444">
        <w:rPr>
          <w:rFonts w:ascii="仿宋" w:hAnsi="仿宋" w:hint="eastAsia"/>
          <w:b w:val="0"/>
          <w:sz w:val="24"/>
          <w:szCs w:val="24"/>
        </w:rPr>
        <w:t>接种肿瘤前3天每天给</w:t>
      </w:r>
      <w:r w:rsidR="00F573EC" w:rsidRPr="00F96444">
        <w:rPr>
          <w:rFonts w:ascii="仿宋" w:hAnsi="仿宋" w:hint="eastAsia"/>
          <w:b w:val="0"/>
          <w:sz w:val="24"/>
          <w:szCs w:val="24"/>
        </w:rPr>
        <w:t>实验组小鼠</w:t>
      </w:r>
      <w:r w:rsidR="00EA3F92" w:rsidRPr="00F96444">
        <w:rPr>
          <w:rFonts w:ascii="仿宋" w:hAnsi="仿宋" w:hint="eastAsia"/>
          <w:b w:val="0"/>
          <w:sz w:val="24"/>
          <w:szCs w:val="24"/>
        </w:rPr>
        <w:t>腹腔注射</w:t>
      </w:r>
      <w:r w:rsidR="00F573EC" w:rsidRPr="00F96444">
        <w:rPr>
          <w:rFonts w:ascii="仿宋" w:hAnsi="仿宋" w:hint="eastAsia"/>
          <w:b w:val="0"/>
          <w:sz w:val="24"/>
          <w:szCs w:val="24"/>
        </w:rPr>
        <w:t>1</w:t>
      </w:r>
      <w:r w:rsidR="00F573EC" w:rsidRPr="00F96444">
        <w:rPr>
          <w:rFonts w:ascii="仿宋" w:hAnsi="仿宋"/>
          <w:b w:val="0"/>
          <w:sz w:val="24"/>
          <w:szCs w:val="24"/>
        </w:rPr>
        <w:t>00</w:t>
      </w:r>
      <w:r w:rsidR="00F573EC" w:rsidRPr="00F96444">
        <w:rPr>
          <w:rFonts w:ascii="仿宋" w:hAnsi="仿宋" w:hint="eastAsia"/>
          <w:b w:val="0"/>
          <w:sz w:val="24"/>
          <w:szCs w:val="24"/>
        </w:rPr>
        <w:t>ul</w:t>
      </w:r>
      <w:r w:rsidR="00F573EC" w:rsidRPr="00F96444">
        <w:rPr>
          <w:rFonts w:ascii="仿宋" w:hAnsi="仿宋"/>
          <w:b w:val="0"/>
          <w:sz w:val="24"/>
          <w:szCs w:val="24"/>
        </w:rPr>
        <w:t>, 15mg/ml</w:t>
      </w:r>
      <w:r w:rsidR="00F573EC" w:rsidRPr="00F96444">
        <w:rPr>
          <w:rFonts w:ascii="仿宋" w:hAnsi="仿宋" w:hint="eastAsia"/>
          <w:b w:val="0"/>
          <w:sz w:val="24"/>
          <w:szCs w:val="24"/>
        </w:rPr>
        <w:t>的</w:t>
      </w:r>
      <w:r w:rsidR="00776419" w:rsidRPr="00F96444">
        <w:rPr>
          <w:rFonts w:ascii="仿宋" w:hAnsi="仿宋" w:hint="eastAsia"/>
          <w:b w:val="0"/>
          <w:sz w:val="24"/>
          <w:szCs w:val="24"/>
        </w:rPr>
        <w:t>溶于玉米油中的</w:t>
      </w:r>
      <w:r w:rsidR="00F573EC" w:rsidRPr="00F96444">
        <w:rPr>
          <w:rFonts w:ascii="仿宋" w:hAnsi="仿宋" w:hint="eastAsia"/>
          <w:b w:val="0"/>
          <w:sz w:val="24"/>
          <w:szCs w:val="24"/>
        </w:rPr>
        <w:t>Tamoxifen，对照组打1</w:t>
      </w:r>
      <w:r w:rsidR="00F573EC" w:rsidRPr="00F96444">
        <w:rPr>
          <w:rFonts w:ascii="仿宋" w:hAnsi="仿宋"/>
          <w:b w:val="0"/>
          <w:sz w:val="24"/>
          <w:szCs w:val="24"/>
        </w:rPr>
        <w:t>00</w:t>
      </w:r>
      <w:r w:rsidR="00F573EC" w:rsidRPr="00F96444">
        <w:rPr>
          <w:rFonts w:ascii="仿宋" w:hAnsi="仿宋" w:hint="eastAsia"/>
          <w:b w:val="0"/>
          <w:sz w:val="24"/>
          <w:szCs w:val="24"/>
        </w:rPr>
        <w:t>ul的玉米油。</w:t>
      </w:r>
    </w:p>
    <w:p w14:paraId="787865FC" w14:textId="544850C3" w:rsidR="009E6C7C" w:rsidRPr="00F96444" w:rsidRDefault="00F35EED" w:rsidP="00BA1717">
      <w:pPr>
        <w:pStyle w:val="aa"/>
        <w:numPr>
          <w:ilvl w:val="0"/>
          <w:numId w:val="2"/>
        </w:numPr>
        <w:outlineLvl w:val="9"/>
        <w:rPr>
          <w:rFonts w:ascii="仿宋" w:hAnsi="仿宋"/>
          <w:b w:val="0"/>
          <w:sz w:val="24"/>
          <w:szCs w:val="24"/>
        </w:rPr>
      </w:pPr>
      <w:r w:rsidRPr="00F96444">
        <w:rPr>
          <w:rFonts w:ascii="仿宋" w:hAnsi="仿宋" w:hint="eastAsia"/>
          <w:b w:val="0"/>
          <w:sz w:val="24"/>
          <w:szCs w:val="24"/>
        </w:rPr>
        <w:t>第4天给每只小鼠的左侧肾脏接种5</w:t>
      </w:r>
      <w:r w:rsidRPr="00F96444">
        <w:rPr>
          <w:rFonts w:ascii="仿宋" w:hAnsi="仿宋"/>
          <w:b w:val="0"/>
          <w:sz w:val="24"/>
          <w:szCs w:val="24"/>
        </w:rPr>
        <w:t>0</w:t>
      </w:r>
      <w:r w:rsidRPr="00F96444">
        <w:rPr>
          <w:rFonts w:ascii="仿宋" w:hAnsi="仿宋" w:hint="eastAsia"/>
          <w:b w:val="0"/>
          <w:sz w:val="24"/>
          <w:szCs w:val="24"/>
        </w:rPr>
        <w:t>万个P</w:t>
      </w:r>
      <w:r w:rsidRPr="00F96444">
        <w:rPr>
          <w:rFonts w:ascii="仿宋" w:hAnsi="仿宋"/>
          <w:b w:val="0"/>
          <w:sz w:val="24"/>
          <w:szCs w:val="24"/>
        </w:rPr>
        <w:t>B3</w:t>
      </w:r>
      <w:r w:rsidRPr="00F96444">
        <w:rPr>
          <w:rFonts w:ascii="仿宋" w:hAnsi="仿宋" w:hint="eastAsia"/>
          <w:b w:val="0"/>
          <w:sz w:val="24"/>
          <w:szCs w:val="24"/>
        </w:rPr>
        <w:t>乳腺瘤细胞系。</w:t>
      </w:r>
    </w:p>
    <w:p w14:paraId="754F3436" w14:textId="1D5CF9CF" w:rsidR="004A69D5" w:rsidRPr="00F96444" w:rsidRDefault="004A69D5" w:rsidP="00BA1717">
      <w:pPr>
        <w:pStyle w:val="aa"/>
        <w:numPr>
          <w:ilvl w:val="0"/>
          <w:numId w:val="2"/>
        </w:numPr>
        <w:outlineLvl w:val="9"/>
        <w:rPr>
          <w:rFonts w:ascii="仿宋" w:hAnsi="仿宋"/>
          <w:b w:val="0"/>
          <w:sz w:val="24"/>
          <w:szCs w:val="24"/>
        </w:rPr>
      </w:pPr>
      <w:r w:rsidRPr="00F96444">
        <w:rPr>
          <w:rFonts w:ascii="仿宋" w:hAnsi="仿宋" w:hint="eastAsia"/>
          <w:b w:val="0"/>
          <w:sz w:val="24"/>
          <w:szCs w:val="24"/>
        </w:rPr>
        <w:t>接种肿瘤后每隔一天分别给实验组和对照组腹腔注射1</w:t>
      </w:r>
      <w:r w:rsidRPr="00F96444">
        <w:rPr>
          <w:rFonts w:ascii="仿宋" w:hAnsi="仿宋"/>
          <w:b w:val="0"/>
          <w:sz w:val="24"/>
          <w:szCs w:val="24"/>
        </w:rPr>
        <w:t>00</w:t>
      </w:r>
      <w:r w:rsidRPr="00F96444">
        <w:rPr>
          <w:rFonts w:ascii="仿宋" w:hAnsi="仿宋" w:hint="eastAsia"/>
          <w:b w:val="0"/>
          <w:sz w:val="24"/>
          <w:szCs w:val="24"/>
        </w:rPr>
        <w:t>ul的Tamoxifen和玉米油。</w:t>
      </w:r>
    </w:p>
    <w:p w14:paraId="40C16D08" w14:textId="616F0A6C" w:rsidR="002A68AA" w:rsidRPr="00F96444" w:rsidRDefault="002A68AA" w:rsidP="00BA1717">
      <w:pPr>
        <w:pStyle w:val="aa"/>
        <w:numPr>
          <w:ilvl w:val="0"/>
          <w:numId w:val="2"/>
        </w:numPr>
        <w:outlineLvl w:val="9"/>
        <w:rPr>
          <w:rFonts w:ascii="仿宋" w:hAnsi="仿宋" w:hint="eastAsia"/>
          <w:b w:val="0"/>
          <w:sz w:val="24"/>
          <w:szCs w:val="24"/>
        </w:rPr>
      </w:pPr>
      <w:r w:rsidRPr="00F96444">
        <w:rPr>
          <w:rFonts w:ascii="仿宋" w:hAnsi="仿宋" w:hint="eastAsia"/>
          <w:b w:val="0"/>
          <w:sz w:val="24"/>
          <w:szCs w:val="24"/>
        </w:rPr>
        <w:t>接种肿瘤后</w:t>
      </w:r>
      <w:r w:rsidR="009764BF">
        <w:rPr>
          <w:rFonts w:ascii="仿宋" w:hAnsi="仿宋" w:hint="eastAsia"/>
          <w:b w:val="0"/>
          <w:sz w:val="24"/>
          <w:szCs w:val="24"/>
        </w:rPr>
        <w:t>第</w:t>
      </w:r>
      <w:r w:rsidRPr="00F96444">
        <w:rPr>
          <w:rFonts w:ascii="仿宋" w:hAnsi="仿宋" w:hint="eastAsia"/>
          <w:b w:val="0"/>
          <w:sz w:val="24"/>
          <w:szCs w:val="24"/>
        </w:rPr>
        <w:t>1</w:t>
      </w:r>
      <w:r w:rsidRPr="00F96444">
        <w:rPr>
          <w:rFonts w:ascii="仿宋" w:hAnsi="仿宋"/>
          <w:b w:val="0"/>
          <w:sz w:val="24"/>
          <w:szCs w:val="24"/>
        </w:rPr>
        <w:t>1</w:t>
      </w:r>
      <w:r w:rsidRPr="00F96444">
        <w:rPr>
          <w:rFonts w:ascii="仿宋" w:hAnsi="仿宋" w:hint="eastAsia"/>
          <w:b w:val="0"/>
          <w:sz w:val="24"/>
          <w:szCs w:val="24"/>
        </w:rPr>
        <w:t>天，</w:t>
      </w:r>
      <w:r w:rsidR="00415CAC" w:rsidRPr="00F96444">
        <w:rPr>
          <w:rFonts w:ascii="仿宋" w:hAnsi="仿宋" w:hint="eastAsia"/>
          <w:b w:val="0"/>
          <w:sz w:val="24"/>
          <w:szCs w:val="24"/>
        </w:rPr>
        <w:t>使用活体成像的方法观察肿瘤的大小。</w:t>
      </w:r>
    </w:p>
    <w:p w14:paraId="647EB65D" w14:textId="2E236053" w:rsidR="00C30CAC" w:rsidRPr="0069168A" w:rsidRDefault="00C30CAC" w:rsidP="00A5114E">
      <w:pPr>
        <w:pStyle w:val="aa"/>
        <w:rPr>
          <w:rFonts w:hint="eastAsia"/>
        </w:rPr>
      </w:pPr>
      <w:r w:rsidRPr="0069168A">
        <w:t xml:space="preserve">2.3 </w:t>
      </w:r>
      <w:r w:rsidRPr="0069168A">
        <w:t>可行性分析</w:t>
      </w:r>
    </w:p>
    <w:p w14:paraId="6C270A63" w14:textId="77777777" w:rsidR="00C30CAC" w:rsidRPr="000F671D" w:rsidRDefault="00C30CAC" w:rsidP="00C30CAC">
      <w:pPr>
        <w:pStyle w:val="a9"/>
      </w:pPr>
      <w:r w:rsidRPr="0069168A">
        <w:t xml:space="preserve">3 </w:t>
      </w:r>
      <w:r w:rsidRPr="0069168A">
        <w:t>计</w:t>
      </w:r>
      <w:r w:rsidRPr="000F671D">
        <w:rPr>
          <w:rFonts w:hint="eastAsia"/>
        </w:rPr>
        <w:t>划进度安排及预期目标</w:t>
      </w:r>
    </w:p>
    <w:p w14:paraId="30C67ACA" w14:textId="77777777" w:rsidR="00C30CAC" w:rsidRPr="000F671D" w:rsidRDefault="00C30CAC" w:rsidP="00C30CAC">
      <w:pPr>
        <w:pStyle w:val="aa"/>
      </w:pPr>
      <w:r w:rsidRPr="00E82CFC">
        <w:t>3.1</w:t>
      </w:r>
      <w:r>
        <w:rPr>
          <w:rFonts w:hint="eastAsia"/>
        </w:rPr>
        <w:t xml:space="preserve"> </w:t>
      </w:r>
      <w:r w:rsidRPr="000F671D">
        <w:rPr>
          <w:rFonts w:hint="eastAsia"/>
        </w:rPr>
        <w:t>进度安排</w:t>
      </w:r>
    </w:p>
    <w:p w14:paraId="496176EB" w14:textId="77777777" w:rsidR="00C30CAC" w:rsidRPr="000F671D" w:rsidRDefault="00C30CAC" w:rsidP="00C30CAC">
      <w:pPr>
        <w:pStyle w:val="aa"/>
      </w:pPr>
      <w:r w:rsidRPr="00E82CFC">
        <w:t>3.2</w:t>
      </w:r>
      <w:r>
        <w:rPr>
          <w:rFonts w:hint="eastAsia"/>
        </w:rPr>
        <w:t xml:space="preserve"> </w:t>
      </w:r>
      <w:r w:rsidRPr="000F671D">
        <w:rPr>
          <w:rFonts w:hint="eastAsia"/>
        </w:rPr>
        <w:t>预期目标</w:t>
      </w:r>
    </w:p>
    <w:p w14:paraId="0C836CA9" w14:textId="25ADE2B5" w:rsidR="001B7215" w:rsidRDefault="00C30CAC" w:rsidP="00C30CAC">
      <w:pPr>
        <w:outlineLvl w:val="1"/>
      </w:pPr>
      <w:r w:rsidRPr="000F671D">
        <w:rPr>
          <w:rFonts w:hint="eastAsia"/>
        </w:rPr>
        <w:t>参</w:t>
      </w:r>
      <w:r>
        <w:rPr>
          <w:rFonts w:hint="eastAsia"/>
        </w:rPr>
        <w:t>考文献</w:t>
      </w:r>
      <w:r w:rsidRPr="00FD7EB5">
        <w:t>（四号仿宋</w:t>
      </w:r>
      <w:r>
        <w:t>加粗</w:t>
      </w:r>
      <w:r w:rsidRPr="00FD7EB5">
        <w:t>）</w:t>
      </w:r>
      <w:bookmarkEnd w:id="0"/>
    </w:p>
    <w:p w14:paraId="21746C94" w14:textId="477457C6" w:rsidR="00A5114E" w:rsidRPr="00F06564" w:rsidRDefault="00CD2941" w:rsidP="00A5114E">
      <w:pPr>
        <w:autoSpaceDE w:val="0"/>
        <w:autoSpaceDN w:val="0"/>
        <w:adjustRightInd w:val="0"/>
        <w:ind w:left="640" w:hanging="640"/>
        <w:jc w:val="left"/>
        <w:rPr>
          <w:rFonts w:ascii="仿宋" w:eastAsia="仿宋" w:hAnsi="仿宋"/>
          <w:b/>
          <w:noProof/>
          <w:kern w:val="0"/>
          <w:sz w:val="28"/>
          <w:szCs w:val="28"/>
        </w:rPr>
      </w:pPr>
      <w:r w:rsidRPr="00F06564">
        <w:rPr>
          <w:rFonts w:ascii="仿宋" w:eastAsia="仿宋" w:hAnsi="仿宋"/>
          <w:b/>
          <w:sz w:val="28"/>
          <w:szCs w:val="28"/>
        </w:rPr>
        <w:fldChar w:fldCharType="begin" w:fldLock="1"/>
      </w:r>
      <w:r w:rsidRPr="00F06564">
        <w:rPr>
          <w:rFonts w:ascii="仿宋" w:eastAsia="仿宋" w:hAnsi="仿宋"/>
          <w:b/>
          <w:sz w:val="28"/>
          <w:szCs w:val="28"/>
        </w:rPr>
        <w:instrText xml:space="preserve">ADDIN Mendeley Bibliography CSL_BIBLIOGRAPHY </w:instrText>
      </w:r>
      <w:r w:rsidRPr="00F06564">
        <w:rPr>
          <w:rFonts w:ascii="仿宋" w:eastAsia="仿宋" w:hAnsi="仿宋"/>
          <w:b/>
          <w:sz w:val="28"/>
          <w:szCs w:val="28"/>
        </w:rPr>
        <w:fldChar w:fldCharType="separate"/>
      </w:r>
      <w:r w:rsidR="00A5114E" w:rsidRPr="00F06564">
        <w:rPr>
          <w:rFonts w:ascii="仿宋" w:eastAsia="仿宋" w:hAnsi="仿宋"/>
          <w:b/>
          <w:noProof/>
          <w:kern w:val="0"/>
          <w:sz w:val="28"/>
          <w:szCs w:val="28"/>
        </w:rPr>
        <w:t>[1]</w:t>
      </w:r>
      <w:r w:rsidR="00A5114E" w:rsidRPr="00F06564">
        <w:rPr>
          <w:rFonts w:ascii="仿宋" w:eastAsia="仿宋" w:hAnsi="仿宋"/>
          <w:b/>
          <w:noProof/>
          <w:kern w:val="0"/>
          <w:sz w:val="28"/>
          <w:szCs w:val="28"/>
        </w:rPr>
        <w:tab/>
        <w:t xml:space="preserve">R. L. Siegel, K. D. Miller, and A. Jemal, “Cancer statistics, 2020,” </w:t>
      </w:r>
      <w:r w:rsidR="00A5114E" w:rsidRPr="00F06564">
        <w:rPr>
          <w:rFonts w:ascii="仿宋" w:eastAsia="仿宋" w:hAnsi="仿宋"/>
          <w:b/>
          <w:i/>
          <w:iCs/>
          <w:noProof/>
          <w:kern w:val="0"/>
          <w:sz w:val="28"/>
          <w:szCs w:val="28"/>
        </w:rPr>
        <w:t>CA. Cancer J. Clin.</w:t>
      </w:r>
      <w:r w:rsidR="00A5114E" w:rsidRPr="00F06564">
        <w:rPr>
          <w:rFonts w:ascii="仿宋" w:eastAsia="仿宋" w:hAnsi="仿宋"/>
          <w:b/>
          <w:noProof/>
          <w:kern w:val="0"/>
          <w:sz w:val="28"/>
          <w:szCs w:val="28"/>
        </w:rPr>
        <w:t>, vol. 70, no. 1, pp. 7–30, 2020.</w:t>
      </w:r>
    </w:p>
    <w:p w14:paraId="0A763E5D" w14:textId="77777777" w:rsidR="00A5114E" w:rsidRPr="00F06564" w:rsidRDefault="00A5114E" w:rsidP="00A5114E">
      <w:pPr>
        <w:autoSpaceDE w:val="0"/>
        <w:autoSpaceDN w:val="0"/>
        <w:adjustRightInd w:val="0"/>
        <w:ind w:left="640" w:hanging="640"/>
        <w:jc w:val="left"/>
        <w:rPr>
          <w:rFonts w:ascii="仿宋" w:eastAsia="仿宋" w:hAnsi="仿宋"/>
          <w:b/>
          <w:noProof/>
          <w:kern w:val="0"/>
          <w:sz w:val="28"/>
          <w:szCs w:val="28"/>
        </w:rPr>
      </w:pPr>
      <w:r w:rsidRPr="00F06564">
        <w:rPr>
          <w:rFonts w:ascii="仿宋" w:eastAsia="仿宋" w:hAnsi="仿宋"/>
          <w:b/>
          <w:noProof/>
          <w:kern w:val="0"/>
          <w:sz w:val="28"/>
          <w:szCs w:val="28"/>
        </w:rPr>
        <w:t>[2]</w:t>
      </w:r>
      <w:r w:rsidRPr="00F06564">
        <w:rPr>
          <w:rFonts w:ascii="仿宋" w:eastAsia="仿宋" w:hAnsi="仿宋"/>
          <w:b/>
          <w:noProof/>
          <w:kern w:val="0"/>
          <w:sz w:val="28"/>
          <w:szCs w:val="28"/>
        </w:rPr>
        <w:tab/>
        <w:t xml:space="preserve">Y. Zhang </w:t>
      </w:r>
      <w:r w:rsidRPr="00F06564">
        <w:rPr>
          <w:rFonts w:ascii="仿宋" w:eastAsia="仿宋" w:hAnsi="仿宋"/>
          <w:b/>
          <w:i/>
          <w:iCs/>
          <w:noProof/>
          <w:kern w:val="0"/>
          <w:sz w:val="28"/>
          <w:szCs w:val="28"/>
        </w:rPr>
        <w:t>et al.</w:t>
      </w:r>
      <w:r w:rsidRPr="00F06564">
        <w:rPr>
          <w:rFonts w:ascii="仿宋" w:eastAsia="仿宋" w:hAnsi="仿宋"/>
          <w:b/>
          <w:noProof/>
          <w:kern w:val="0"/>
          <w:sz w:val="28"/>
          <w:szCs w:val="28"/>
        </w:rPr>
        <w:t xml:space="preserve">, “Single-cell analyses of renal cell cancers reveal insights into tumor microenvironment, cell of origin, and therapy response,” </w:t>
      </w:r>
      <w:r w:rsidRPr="00F06564">
        <w:rPr>
          <w:rFonts w:ascii="仿宋" w:eastAsia="仿宋" w:hAnsi="仿宋"/>
          <w:b/>
          <w:i/>
          <w:iCs/>
          <w:noProof/>
          <w:kern w:val="0"/>
          <w:sz w:val="28"/>
          <w:szCs w:val="28"/>
        </w:rPr>
        <w:t>Proc. Natl. Acad. Sci. U. S. A.</w:t>
      </w:r>
      <w:r w:rsidRPr="00F06564">
        <w:rPr>
          <w:rFonts w:ascii="仿宋" w:eastAsia="仿宋" w:hAnsi="仿宋"/>
          <w:b/>
          <w:noProof/>
          <w:kern w:val="0"/>
          <w:sz w:val="28"/>
          <w:szCs w:val="28"/>
        </w:rPr>
        <w:t>, vol. 118, no. 24, 2021.</w:t>
      </w:r>
    </w:p>
    <w:p w14:paraId="75432C08" w14:textId="77777777" w:rsidR="00A5114E" w:rsidRPr="00F06564" w:rsidRDefault="00A5114E" w:rsidP="00A5114E">
      <w:pPr>
        <w:autoSpaceDE w:val="0"/>
        <w:autoSpaceDN w:val="0"/>
        <w:adjustRightInd w:val="0"/>
        <w:ind w:left="640" w:hanging="640"/>
        <w:jc w:val="left"/>
        <w:rPr>
          <w:rFonts w:ascii="仿宋" w:eastAsia="仿宋" w:hAnsi="仿宋"/>
          <w:b/>
          <w:noProof/>
          <w:kern w:val="0"/>
          <w:sz w:val="28"/>
          <w:szCs w:val="28"/>
        </w:rPr>
      </w:pPr>
      <w:r w:rsidRPr="00F06564">
        <w:rPr>
          <w:rFonts w:ascii="仿宋" w:eastAsia="仿宋" w:hAnsi="仿宋"/>
          <w:b/>
          <w:noProof/>
          <w:kern w:val="0"/>
          <w:sz w:val="28"/>
          <w:szCs w:val="28"/>
        </w:rPr>
        <w:lastRenderedPageBreak/>
        <w:t>[3]</w:t>
      </w:r>
      <w:r w:rsidRPr="00F06564">
        <w:rPr>
          <w:rFonts w:ascii="仿宋" w:eastAsia="仿宋" w:hAnsi="仿宋"/>
          <w:b/>
          <w:noProof/>
          <w:kern w:val="0"/>
          <w:sz w:val="28"/>
          <w:szCs w:val="28"/>
        </w:rPr>
        <w:tab/>
        <w:t xml:space="preserve">D. W. Kim </w:t>
      </w:r>
      <w:r w:rsidRPr="00F06564">
        <w:rPr>
          <w:rFonts w:ascii="仿宋" w:eastAsia="仿宋" w:hAnsi="仿宋"/>
          <w:b/>
          <w:i/>
          <w:iCs/>
          <w:noProof/>
          <w:kern w:val="0"/>
          <w:sz w:val="28"/>
          <w:szCs w:val="28"/>
        </w:rPr>
        <w:t>et al.</w:t>
      </w:r>
      <w:r w:rsidRPr="00F06564">
        <w:rPr>
          <w:rFonts w:ascii="仿宋" w:eastAsia="仿宋" w:hAnsi="仿宋"/>
          <w:b/>
          <w:noProof/>
          <w:kern w:val="0"/>
          <w:sz w:val="28"/>
          <w:szCs w:val="28"/>
        </w:rPr>
        <w:t xml:space="preserve">, “High tumour islet macrophage infiltration correlates with improved patient survival but not with EGFR mutations, gene copy number or protein expression in resected non-small cell lung cancer,” </w:t>
      </w:r>
      <w:r w:rsidRPr="00F06564">
        <w:rPr>
          <w:rFonts w:ascii="仿宋" w:eastAsia="仿宋" w:hAnsi="仿宋"/>
          <w:b/>
          <w:i/>
          <w:iCs/>
          <w:noProof/>
          <w:kern w:val="0"/>
          <w:sz w:val="28"/>
          <w:szCs w:val="28"/>
        </w:rPr>
        <w:t>Br. J. Cancer</w:t>
      </w:r>
      <w:r w:rsidRPr="00F06564">
        <w:rPr>
          <w:rFonts w:ascii="仿宋" w:eastAsia="仿宋" w:hAnsi="仿宋"/>
          <w:b/>
          <w:noProof/>
          <w:kern w:val="0"/>
          <w:sz w:val="28"/>
          <w:szCs w:val="28"/>
        </w:rPr>
        <w:t>, vol. 98, no. 6, pp. 1118–1124, 2008.</w:t>
      </w:r>
    </w:p>
    <w:p w14:paraId="2CFD1C3A" w14:textId="77777777" w:rsidR="00A5114E" w:rsidRPr="00F06564" w:rsidRDefault="00A5114E" w:rsidP="00A5114E">
      <w:pPr>
        <w:autoSpaceDE w:val="0"/>
        <w:autoSpaceDN w:val="0"/>
        <w:adjustRightInd w:val="0"/>
        <w:ind w:left="640" w:hanging="640"/>
        <w:jc w:val="left"/>
        <w:rPr>
          <w:rFonts w:ascii="仿宋" w:eastAsia="仿宋" w:hAnsi="仿宋"/>
          <w:b/>
          <w:noProof/>
          <w:kern w:val="0"/>
          <w:sz w:val="28"/>
          <w:szCs w:val="28"/>
        </w:rPr>
      </w:pPr>
      <w:r w:rsidRPr="00F06564">
        <w:rPr>
          <w:rFonts w:ascii="仿宋" w:eastAsia="仿宋" w:hAnsi="仿宋"/>
          <w:b/>
          <w:noProof/>
          <w:kern w:val="0"/>
          <w:sz w:val="28"/>
          <w:szCs w:val="28"/>
        </w:rPr>
        <w:t>[4]</w:t>
      </w:r>
      <w:r w:rsidRPr="00F06564">
        <w:rPr>
          <w:rFonts w:ascii="仿宋" w:eastAsia="仿宋" w:hAnsi="仿宋"/>
          <w:b/>
          <w:noProof/>
          <w:kern w:val="0"/>
          <w:sz w:val="28"/>
          <w:szCs w:val="28"/>
        </w:rPr>
        <w:tab/>
        <w:t xml:space="preserve">L. Bingle, N. J. Brown, and C. E. Lewis, “The role of tumour-associated macrophages in tumour progression: Implications for new anticancer therapies,” </w:t>
      </w:r>
      <w:r w:rsidRPr="00F06564">
        <w:rPr>
          <w:rFonts w:ascii="仿宋" w:eastAsia="仿宋" w:hAnsi="仿宋"/>
          <w:b/>
          <w:i/>
          <w:iCs/>
          <w:noProof/>
          <w:kern w:val="0"/>
          <w:sz w:val="28"/>
          <w:szCs w:val="28"/>
        </w:rPr>
        <w:t>J. Pathol.</w:t>
      </w:r>
      <w:r w:rsidRPr="00F06564">
        <w:rPr>
          <w:rFonts w:ascii="仿宋" w:eastAsia="仿宋" w:hAnsi="仿宋"/>
          <w:b/>
          <w:noProof/>
          <w:kern w:val="0"/>
          <w:sz w:val="28"/>
          <w:szCs w:val="28"/>
        </w:rPr>
        <w:t>, vol. 196, no. 3, pp. 254–265, 2002.</w:t>
      </w:r>
    </w:p>
    <w:p w14:paraId="0530B783" w14:textId="77777777" w:rsidR="00A5114E" w:rsidRPr="00F06564" w:rsidRDefault="00A5114E" w:rsidP="00A5114E">
      <w:pPr>
        <w:autoSpaceDE w:val="0"/>
        <w:autoSpaceDN w:val="0"/>
        <w:adjustRightInd w:val="0"/>
        <w:ind w:left="640" w:hanging="640"/>
        <w:jc w:val="left"/>
        <w:rPr>
          <w:rFonts w:ascii="仿宋" w:eastAsia="仿宋" w:hAnsi="仿宋"/>
          <w:b/>
          <w:noProof/>
          <w:kern w:val="0"/>
          <w:sz w:val="28"/>
          <w:szCs w:val="28"/>
        </w:rPr>
      </w:pPr>
      <w:r w:rsidRPr="00F06564">
        <w:rPr>
          <w:rFonts w:ascii="仿宋" w:eastAsia="仿宋" w:hAnsi="仿宋"/>
          <w:b/>
          <w:noProof/>
          <w:kern w:val="0"/>
          <w:sz w:val="28"/>
          <w:szCs w:val="28"/>
        </w:rPr>
        <w:t>[5]</w:t>
      </w:r>
      <w:r w:rsidRPr="00F06564">
        <w:rPr>
          <w:rFonts w:ascii="仿宋" w:eastAsia="仿宋" w:hAnsi="仿宋"/>
          <w:b/>
          <w:noProof/>
          <w:kern w:val="0"/>
          <w:sz w:val="28"/>
          <w:szCs w:val="28"/>
        </w:rPr>
        <w:tab/>
        <w:t xml:space="preserve">J. Park </w:t>
      </w:r>
      <w:r w:rsidRPr="00F06564">
        <w:rPr>
          <w:rFonts w:ascii="仿宋" w:eastAsia="仿宋" w:hAnsi="仿宋"/>
          <w:b/>
          <w:i/>
          <w:iCs/>
          <w:noProof/>
          <w:kern w:val="0"/>
          <w:sz w:val="28"/>
          <w:szCs w:val="28"/>
        </w:rPr>
        <w:t>et al.</w:t>
      </w:r>
      <w:r w:rsidRPr="00F06564">
        <w:rPr>
          <w:rFonts w:ascii="仿宋" w:eastAsia="仿宋" w:hAnsi="仿宋"/>
          <w:b/>
          <w:noProof/>
          <w:kern w:val="0"/>
          <w:sz w:val="28"/>
          <w:szCs w:val="28"/>
        </w:rPr>
        <w:t xml:space="preserve">, “Single-cell transcriptomics of the mouse kidney reveals potential cellular targets of kidney disease,” </w:t>
      </w:r>
      <w:r w:rsidRPr="00F06564">
        <w:rPr>
          <w:rFonts w:ascii="仿宋" w:eastAsia="仿宋" w:hAnsi="仿宋"/>
          <w:b/>
          <w:i/>
          <w:iCs/>
          <w:noProof/>
          <w:kern w:val="0"/>
          <w:sz w:val="28"/>
          <w:szCs w:val="28"/>
        </w:rPr>
        <w:t>Science (80-. ).</w:t>
      </w:r>
      <w:r w:rsidRPr="00F06564">
        <w:rPr>
          <w:rFonts w:ascii="仿宋" w:eastAsia="仿宋" w:hAnsi="仿宋"/>
          <w:b/>
          <w:noProof/>
          <w:kern w:val="0"/>
          <w:sz w:val="28"/>
          <w:szCs w:val="28"/>
        </w:rPr>
        <w:t>, vol. 360, no. 6390, pp. 758–763, 2018.</w:t>
      </w:r>
    </w:p>
    <w:p w14:paraId="38FCD948" w14:textId="77777777" w:rsidR="00A5114E" w:rsidRPr="00F06564" w:rsidRDefault="00A5114E" w:rsidP="00A5114E">
      <w:pPr>
        <w:autoSpaceDE w:val="0"/>
        <w:autoSpaceDN w:val="0"/>
        <w:adjustRightInd w:val="0"/>
        <w:ind w:left="640" w:hanging="640"/>
        <w:jc w:val="left"/>
        <w:rPr>
          <w:rFonts w:ascii="仿宋" w:eastAsia="仿宋" w:hAnsi="仿宋"/>
          <w:b/>
          <w:noProof/>
          <w:kern w:val="0"/>
          <w:sz w:val="28"/>
          <w:szCs w:val="28"/>
        </w:rPr>
      </w:pPr>
      <w:r w:rsidRPr="00F06564">
        <w:rPr>
          <w:rFonts w:ascii="仿宋" w:eastAsia="仿宋" w:hAnsi="仿宋"/>
          <w:b/>
          <w:noProof/>
          <w:kern w:val="0"/>
          <w:sz w:val="28"/>
          <w:szCs w:val="28"/>
        </w:rPr>
        <w:t>[6]</w:t>
      </w:r>
      <w:r w:rsidRPr="00F06564">
        <w:rPr>
          <w:rFonts w:ascii="仿宋" w:eastAsia="仿宋" w:hAnsi="仿宋"/>
          <w:b/>
          <w:noProof/>
          <w:kern w:val="0"/>
          <w:sz w:val="28"/>
          <w:szCs w:val="28"/>
        </w:rPr>
        <w:tab/>
        <w:t xml:space="preserve">C. Krishna </w:t>
      </w:r>
      <w:r w:rsidRPr="00F06564">
        <w:rPr>
          <w:rFonts w:ascii="仿宋" w:eastAsia="仿宋" w:hAnsi="仿宋"/>
          <w:b/>
          <w:i/>
          <w:iCs/>
          <w:noProof/>
          <w:kern w:val="0"/>
          <w:sz w:val="28"/>
          <w:szCs w:val="28"/>
        </w:rPr>
        <w:t>et al.</w:t>
      </w:r>
      <w:r w:rsidRPr="00F06564">
        <w:rPr>
          <w:rFonts w:ascii="仿宋" w:eastAsia="仿宋" w:hAnsi="仿宋"/>
          <w:b/>
          <w:noProof/>
          <w:kern w:val="0"/>
          <w:sz w:val="28"/>
          <w:szCs w:val="28"/>
        </w:rPr>
        <w:t>, “Single-cell sequencing links multiregional immune landscapes and tissue-resident T</w:t>
      </w:r>
      <w:r w:rsidRPr="00F06564">
        <w:rPr>
          <w:rFonts w:ascii="Calibri" w:eastAsia="仿宋" w:hAnsi="Calibri" w:cs="Calibri"/>
          <w:b/>
          <w:noProof/>
          <w:kern w:val="0"/>
          <w:sz w:val="28"/>
          <w:szCs w:val="28"/>
        </w:rPr>
        <w:t> </w:t>
      </w:r>
      <w:r w:rsidRPr="00F06564">
        <w:rPr>
          <w:rFonts w:ascii="仿宋" w:eastAsia="仿宋" w:hAnsi="仿宋"/>
          <w:b/>
          <w:noProof/>
          <w:kern w:val="0"/>
          <w:sz w:val="28"/>
          <w:szCs w:val="28"/>
        </w:rPr>
        <w:t>cells in ccRCC to tumor topology and therapy efficacy,</w:t>
      </w:r>
      <w:r w:rsidRPr="00F06564">
        <w:rPr>
          <w:rFonts w:ascii="仿宋" w:eastAsia="仿宋" w:hAnsi="仿宋" w:cs="仿宋" w:hint="eastAsia"/>
          <w:b/>
          <w:noProof/>
          <w:kern w:val="0"/>
          <w:sz w:val="28"/>
          <w:szCs w:val="28"/>
        </w:rPr>
        <w:t>”</w:t>
      </w:r>
      <w:r w:rsidRPr="00F06564">
        <w:rPr>
          <w:rFonts w:ascii="仿宋" w:eastAsia="仿宋" w:hAnsi="仿宋"/>
          <w:b/>
          <w:noProof/>
          <w:kern w:val="0"/>
          <w:sz w:val="28"/>
          <w:szCs w:val="28"/>
        </w:rPr>
        <w:t xml:space="preserve"> </w:t>
      </w:r>
      <w:r w:rsidRPr="00F06564">
        <w:rPr>
          <w:rFonts w:ascii="仿宋" w:eastAsia="仿宋" w:hAnsi="仿宋"/>
          <w:b/>
          <w:i/>
          <w:iCs/>
          <w:noProof/>
          <w:kern w:val="0"/>
          <w:sz w:val="28"/>
          <w:szCs w:val="28"/>
        </w:rPr>
        <w:t>Cancer Cell</w:t>
      </w:r>
      <w:r w:rsidRPr="00F06564">
        <w:rPr>
          <w:rFonts w:ascii="仿宋" w:eastAsia="仿宋" w:hAnsi="仿宋"/>
          <w:b/>
          <w:noProof/>
          <w:kern w:val="0"/>
          <w:sz w:val="28"/>
          <w:szCs w:val="28"/>
        </w:rPr>
        <w:t>, pp. 1–16, 2021.</w:t>
      </w:r>
    </w:p>
    <w:p w14:paraId="57287DF0" w14:textId="77777777" w:rsidR="00A5114E" w:rsidRPr="00F06564" w:rsidRDefault="00A5114E" w:rsidP="00A5114E">
      <w:pPr>
        <w:autoSpaceDE w:val="0"/>
        <w:autoSpaceDN w:val="0"/>
        <w:adjustRightInd w:val="0"/>
        <w:ind w:left="640" w:hanging="640"/>
        <w:jc w:val="left"/>
        <w:rPr>
          <w:rFonts w:ascii="仿宋" w:eastAsia="仿宋" w:hAnsi="仿宋"/>
          <w:b/>
          <w:noProof/>
          <w:sz w:val="28"/>
          <w:szCs w:val="28"/>
        </w:rPr>
      </w:pPr>
      <w:r w:rsidRPr="00F06564">
        <w:rPr>
          <w:rFonts w:ascii="仿宋" w:eastAsia="仿宋" w:hAnsi="仿宋"/>
          <w:b/>
          <w:noProof/>
          <w:kern w:val="0"/>
          <w:sz w:val="28"/>
          <w:szCs w:val="28"/>
        </w:rPr>
        <w:t>[7]</w:t>
      </w:r>
      <w:r w:rsidRPr="00F06564">
        <w:rPr>
          <w:rFonts w:ascii="仿宋" w:eastAsia="仿宋" w:hAnsi="仿宋"/>
          <w:b/>
          <w:noProof/>
          <w:kern w:val="0"/>
          <w:sz w:val="28"/>
          <w:szCs w:val="28"/>
        </w:rPr>
        <w:tab/>
        <w:t xml:space="preserve">M. D. Young </w:t>
      </w:r>
      <w:r w:rsidRPr="00F06564">
        <w:rPr>
          <w:rFonts w:ascii="仿宋" w:eastAsia="仿宋" w:hAnsi="仿宋"/>
          <w:b/>
          <w:i/>
          <w:iCs/>
          <w:noProof/>
          <w:kern w:val="0"/>
          <w:sz w:val="28"/>
          <w:szCs w:val="28"/>
        </w:rPr>
        <w:t>et al.</w:t>
      </w:r>
      <w:r w:rsidRPr="00F06564">
        <w:rPr>
          <w:rFonts w:ascii="仿宋" w:eastAsia="仿宋" w:hAnsi="仿宋"/>
          <w:b/>
          <w:noProof/>
          <w:kern w:val="0"/>
          <w:sz w:val="28"/>
          <w:szCs w:val="28"/>
        </w:rPr>
        <w:t xml:space="preserve">, “Single-cell transcriptomes from human kidneys reveal the cellular identity of renal tumors,” </w:t>
      </w:r>
      <w:r w:rsidRPr="00F06564">
        <w:rPr>
          <w:rFonts w:ascii="仿宋" w:eastAsia="仿宋" w:hAnsi="仿宋"/>
          <w:b/>
          <w:i/>
          <w:iCs/>
          <w:noProof/>
          <w:kern w:val="0"/>
          <w:sz w:val="28"/>
          <w:szCs w:val="28"/>
        </w:rPr>
        <w:t>Science (80-. ).</w:t>
      </w:r>
      <w:r w:rsidRPr="00F06564">
        <w:rPr>
          <w:rFonts w:ascii="仿宋" w:eastAsia="仿宋" w:hAnsi="仿宋"/>
          <w:b/>
          <w:noProof/>
          <w:kern w:val="0"/>
          <w:sz w:val="28"/>
          <w:szCs w:val="28"/>
        </w:rPr>
        <w:t>, vol. 361, no. 6402, pp. 594–599, 2018.</w:t>
      </w:r>
    </w:p>
    <w:p w14:paraId="1ADF01FD" w14:textId="646ECD2B" w:rsidR="00313D77" w:rsidRDefault="00CD2941" w:rsidP="00C30CAC">
      <w:pPr>
        <w:outlineLvl w:val="1"/>
      </w:pPr>
      <w:r w:rsidRPr="00F06564">
        <w:rPr>
          <w:rFonts w:ascii="仿宋" w:eastAsia="仿宋" w:hAnsi="仿宋"/>
          <w:b/>
          <w:sz w:val="28"/>
          <w:szCs w:val="28"/>
        </w:rPr>
        <w:lastRenderedPageBreak/>
        <w:fldChar w:fldCharType="end"/>
      </w:r>
    </w:p>
    <w:sectPr w:rsidR="00313D7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7D5CC2" w14:textId="77777777" w:rsidR="00FA2660" w:rsidRDefault="00FA2660" w:rsidP="00C30CAC">
      <w:pPr>
        <w:spacing w:line="240" w:lineRule="auto"/>
      </w:pPr>
      <w:r>
        <w:separator/>
      </w:r>
    </w:p>
  </w:endnote>
  <w:endnote w:type="continuationSeparator" w:id="0">
    <w:p w14:paraId="4DCCC59D" w14:textId="77777777" w:rsidR="00FA2660" w:rsidRDefault="00FA2660" w:rsidP="00C30C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
    <w:altName w:val="FangSong"/>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FBCDE8" w14:textId="77777777" w:rsidR="00FA2660" w:rsidRDefault="00FA2660" w:rsidP="00C30CAC">
      <w:pPr>
        <w:spacing w:line="240" w:lineRule="auto"/>
      </w:pPr>
      <w:r>
        <w:separator/>
      </w:r>
    </w:p>
  </w:footnote>
  <w:footnote w:type="continuationSeparator" w:id="0">
    <w:p w14:paraId="33B8C593" w14:textId="77777777" w:rsidR="00FA2660" w:rsidRDefault="00FA2660" w:rsidP="00C30CA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76ECC"/>
    <w:multiLevelType w:val="hybridMultilevel"/>
    <w:tmpl w:val="71F8C77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26F23D2"/>
    <w:multiLevelType w:val="multilevel"/>
    <w:tmpl w:val="D59E8814"/>
    <w:lvl w:ilvl="0">
      <w:start w:val="1"/>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0C57"/>
    <w:rsid w:val="00001332"/>
    <w:rsid w:val="00014230"/>
    <w:rsid w:val="0002219A"/>
    <w:rsid w:val="00025A61"/>
    <w:rsid w:val="000407EF"/>
    <w:rsid w:val="000A33C8"/>
    <w:rsid w:val="000A3D83"/>
    <w:rsid w:val="000B05B4"/>
    <w:rsid w:val="000E14D7"/>
    <w:rsid w:val="000E64E0"/>
    <w:rsid w:val="000F009F"/>
    <w:rsid w:val="0010166B"/>
    <w:rsid w:val="001107BB"/>
    <w:rsid w:val="00111EA8"/>
    <w:rsid w:val="00124BDC"/>
    <w:rsid w:val="00125A20"/>
    <w:rsid w:val="0013343E"/>
    <w:rsid w:val="00141AF7"/>
    <w:rsid w:val="0014293F"/>
    <w:rsid w:val="00162180"/>
    <w:rsid w:val="00166EBE"/>
    <w:rsid w:val="0017295A"/>
    <w:rsid w:val="00182B92"/>
    <w:rsid w:val="001A2F81"/>
    <w:rsid w:val="001A5E6F"/>
    <w:rsid w:val="001B66FA"/>
    <w:rsid w:val="001B7215"/>
    <w:rsid w:val="00203382"/>
    <w:rsid w:val="002375AB"/>
    <w:rsid w:val="00274FB1"/>
    <w:rsid w:val="002A68AA"/>
    <w:rsid w:val="002D700A"/>
    <w:rsid w:val="002E4C5E"/>
    <w:rsid w:val="00313D77"/>
    <w:rsid w:val="00320543"/>
    <w:rsid w:val="0032380F"/>
    <w:rsid w:val="00324F86"/>
    <w:rsid w:val="003359D0"/>
    <w:rsid w:val="00341D3E"/>
    <w:rsid w:val="0036717A"/>
    <w:rsid w:val="00377088"/>
    <w:rsid w:val="00396856"/>
    <w:rsid w:val="003D3059"/>
    <w:rsid w:val="00415CAC"/>
    <w:rsid w:val="00422249"/>
    <w:rsid w:val="00423361"/>
    <w:rsid w:val="004303C5"/>
    <w:rsid w:val="004524F1"/>
    <w:rsid w:val="004A69D5"/>
    <w:rsid w:val="004B1598"/>
    <w:rsid w:val="004C1D6E"/>
    <w:rsid w:val="004D3349"/>
    <w:rsid w:val="004D4499"/>
    <w:rsid w:val="00506C14"/>
    <w:rsid w:val="00525464"/>
    <w:rsid w:val="00527B54"/>
    <w:rsid w:val="00544582"/>
    <w:rsid w:val="0055522D"/>
    <w:rsid w:val="005937D9"/>
    <w:rsid w:val="00595FFA"/>
    <w:rsid w:val="00596E8C"/>
    <w:rsid w:val="005D448C"/>
    <w:rsid w:val="005F101A"/>
    <w:rsid w:val="005F1ABA"/>
    <w:rsid w:val="00615886"/>
    <w:rsid w:val="0061712B"/>
    <w:rsid w:val="0062787C"/>
    <w:rsid w:val="00635CED"/>
    <w:rsid w:val="00652DA3"/>
    <w:rsid w:val="00656ADC"/>
    <w:rsid w:val="006A0CD0"/>
    <w:rsid w:val="006A5780"/>
    <w:rsid w:val="006B568D"/>
    <w:rsid w:val="006C3B8D"/>
    <w:rsid w:val="006D10E4"/>
    <w:rsid w:val="006E2577"/>
    <w:rsid w:val="00704CA9"/>
    <w:rsid w:val="00705ACA"/>
    <w:rsid w:val="00723BE0"/>
    <w:rsid w:val="00736904"/>
    <w:rsid w:val="00760ABA"/>
    <w:rsid w:val="00765C8B"/>
    <w:rsid w:val="0076610F"/>
    <w:rsid w:val="00776419"/>
    <w:rsid w:val="00790954"/>
    <w:rsid w:val="007913C0"/>
    <w:rsid w:val="007A1DF6"/>
    <w:rsid w:val="007C6C82"/>
    <w:rsid w:val="007E2C57"/>
    <w:rsid w:val="007E31ED"/>
    <w:rsid w:val="007E7DC7"/>
    <w:rsid w:val="008056F3"/>
    <w:rsid w:val="0082731E"/>
    <w:rsid w:val="00864B0B"/>
    <w:rsid w:val="00872706"/>
    <w:rsid w:val="00873C9D"/>
    <w:rsid w:val="00877522"/>
    <w:rsid w:val="008975C2"/>
    <w:rsid w:val="00907166"/>
    <w:rsid w:val="00920274"/>
    <w:rsid w:val="00921D0C"/>
    <w:rsid w:val="009510D0"/>
    <w:rsid w:val="009764BF"/>
    <w:rsid w:val="00997DC7"/>
    <w:rsid w:val="009B42A6"/>
    <w:rsid w:val="009D2C63"/>
    <w:rsid w:val="009E6C7C"/>
    <w:rsid w:val="009F2F8C"/>
    <w:rsid w:val="009F3686"/>
    <w:rsid w:val="00A03FC3"/>
    <w:rsid w:val="00A37A8B"/>
    <w:rsid w:val="00A44306"/>
    <w:rsid w:val="00A5114E"/>
    <w:rsid w:val="00A73D7F"/>
    <w:rsid w:val="00A926B4"/>
    <w:rsid w:val="00AC1FCE"/>
    <w:rsid w:val="00AC533D"/>
    <w:rsid w:val="00AD0818"/>
    <w:rsid w:val="00AF0859"/>
    <w:rsid w:val="00AF7AF8"/>
    <w:rsid w:val="00B36BBF"/>
    <w:rsid w:val="00B4525F"/>
    <w:rsid w:val="00B762E7"/>
    <w:rsid w:val="00B92772"/>
    <w:rsid w:val="00BA1717"/>
    <w:rsid w:val="00BA2B7B"/>
    <w:rsid w:val="00BA6CEA"/>
    <w:rsid w:val="00BE4D11"/>
    <w:rsid w:val="00BE698F"/>
    <w:rsid w:val="00BF2EC7"/>
    <w:rsid w:val="00BF4DCA"/>
    <w:rsid w:val="00C23297"/>
    <w:rsid w:val="00C24AFD"/>
    <w:rsid w:val="00C269FF"/>
    <w:rsid w:val="00C30CAC"/>
    <w:rsid w:val="00C41B0C"/>
    <w:rsid w:val="00C438B1"/>
    <w:rsid w:val="00C51F47"/>
    <w:rsid w:val="00C74940"/>
    <w:rsid w:val="00CA07DA"/>
    <w:rsid w:val="00CD2941"/>
    <w:rsid w:val="00D02F76"/>
    <w:rsid w:val="00D2098F"/>
    <w:rsid w:val="00D2436B"/>
    <w:rsid w:val="00D4195E"/>
    <w:rsid w:val="00D41B2A"/>
    <w:rsid w:val="00D472DE"/>
    <w:rsid w:val="00D50ACD"/>
    <w:rsid w:val="00D675AE"/>
    <w:rsid w:val="00D7692F"/>
    <w:rsid w:val="00DD17DA"/>
    <w:rsid w:val="00DD61BD"/>
    <w:rsid w:val="00DE087D"/>
    <w:rsid w:val="00DE2D0F"/>
    <w:rsid w:val="00DE6D6C"/>
    <w:rsid w:val="00E317A7"/>
    <w:rsid w:val="00E53DDC"/>
    <w:rsid w:val="00E80974"/>
    <w:rsid w:val="00E81E42"/>
    <w:rsid w:val="00E90277"/>
    <w:rsid w:val="00E94132"/>
    <w:rsid w:val="00EA3F92"/>
    <w:rsid w:val="00EB063D"/>
    <w:rsid w:val="00EB0C57"/>
    <w:rsid w:val="00EB5D84"/>
    <w:rsid w:val="00EC6856"/>
    <w:rsid w:val="00ED2FE8"/>
    <w:rsid w:val="00F06564"/>
    <w:rsid w:val="00F14006"/>
    <w:rsid w:val="00F30288"/>
    <w:rsid w:val="00F35EED"/>
    <w:rsid w:val="00F573EC"/>
    <w:rsid w:val="00F87897"/>
    <w:rsid w:val="00F96444"/>
    <w:rsid w:val="00FA2660"/>
    <w:rsid w:val="00FA4DED"/>
    <w:rsid w:val="00FB2406"/>
    <w:rsid w:val="00FB2D3B"/>
    <w:rsid w:val="00FE7327"/>
    <w:rsid w:val="00FF66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8C31DC"/>
  <w15:chartTrackingRefBased/>
  <w15:docId w15:val="{6C66B499-81B5-4FD6-8430-4DCFFFA33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C30CAC"/>
    <w:pPr>
      <w:widowControl w:val="0"/>
      <w:spacing w:line="360" w:lineRule="auto"/>
      <w:jc w:val="both"/>
    </w:pPr>
    <w:rPr>
      <w:rFonts w:ascii="Times New Roman" w:eastAsia="宋体" w:hAnsi="Times New Roman" w:cs="Times New Roman"/>
      <w:szCs w:val="24"/>
    </w:rPr>
  </w:style>
  <w:style w:type="paragraph" w:styleId="1">
    <w:name w:val="heading 1"/>
    <w:basedOn w:val="a"/>
    <w:next w:val="a"/>
    <w:link w:val="11"/>
    <w:uiPriority w:val="9"/>
    <w:qFormat/>
    <w:rsid w:val="00C30CAC"/>
    <w:pPr>
      <w:keepNext/>
      <w:keepLines/>
      <w:spacing w:before="340" w:after="330" w:line="578" w:lineRule="auto"/>
      <w:jc w:val="center"/>
      <w:outlineLvl w:val="0"/>
    </w:pPr>
    <w:rPr>
      <w:rFonts w:ascii="Calibri" w:eastAsia="微软雅黑" w:hAnsi="Calibri"/>
      <w:b/>
      <w:bCs/>
      <w:kern w:val="44"/>
      <w:sz w:val="32"/>
      <w:szCs w:val="44"/>
      <w:lang w:val="x-none" w:eastAsia="x-none"/>
    </w:rPr>
  </w:style>
  <w:style w:type="paragraph" w:styleId="2">
    <w:name w:val="heading 2"/>
    <w:basedOn w:val="a"/>
    <w:next w:val="a"/>
    <w:link w:val="20"/>
    <w:uiPriority w:val="9"/>
    <w:semiHidden/>
    <w:unhideWhenUsed/>
    <w:qFormat/>
    <w:rsid w:val="00C30CAC"/>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30CA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30CAC"/>
    <w:rPr>
      <w:sz w:val="18"/>
      <w:szCs w:val="18"/>
    </w:rPr>
  </w:style>
  <w:style w:type="paragraph" w:styleId="a5">
    <w:name w:val="footer"/>
    <w:basedOn w:val="a"/>
    <w:link w:val="a6"/>
    <w:uiPriority w:val="99"/>
    <w:unhideWhenUsed/>
    <w:rsid w:val="00C30CAC"/>
    <w:pPr>
      <w:tabs>
        <w:tab w:val="center" w:pos="4153"/>
        <w:tab w:val="right" w:pos="8306"/>
      </w:tabs>
      <w:snapToGrid w:val="0"/>
      <w:jc w:val="left"/>
    </w:pPr>
    <w:rPr>
      <w:sz w:val="18"/>
      <w:szCs w:val="18"/>
    </w:rPr>
  </w:style>
  <w:style w:type="character" w:customStyle="1" w:styleId="a6">
    <w:name w:val="页脚 字符"/>
    <w:basedOn w:val="a0"/>
    <w:link w:val="a5"/>
    <w:uiPriority w:val="99"/>
    <w:rsid w:val="00C30CAC"/>
    <w:rPr>
      <w:sz w:val="18"/>
      <w:szCs w:val="18"/>
    </w:rPr>
  </w:style>
  <w:style w:type="character" w:customStyle="1" w:styleId="10">
    <w:name w:val="标题 1 字符"/>
    <w:basedOn w:val="a0"/>
    <w:uiPriority w:val="9"/>
    <w:rsid w:val="00C30CAC"/>
    <w:rPr>
      <w:rFonts w:ascii="Times New Roman" w:eastAsia="宋体" w:hAnsi="Times New Roman" w:cs="Times New Roman"/>
      <w:b/>
      <w:bCs/>
      <w:kern w:val="44"/>
      <w:sz w:val="44"/>
      <w:szCs w:val="44"/>
    </w:rPr>
  </w:style>
  <w:style w:type="character" w:customStyle="1" w:styleId="11">
    <w:name w:val="标题 1 字符1"/>
    <w:link w:val="1"/>
    <w:uiPriority w:val="9"/>
    <w:rsid w:val="00C30CAC"/>
    <w:rPr>
      <w:rFonts w:ascii="Calibri" w:eastAsia="微软雅黑" w:hAnsi="Calibri" w:cs="Times New Roman"/>
      <w:b/>
      <w:bCs/>
      <w:kern w:val="44"/>
      <w:sz w:val="32"/>
      <w:szCs w:val="44"/>
      <w:lang w:val="x-none" w:eastAsia="x-none"/>
    </w:rPr>
  </w:style>
  <w:style w:type="paragraph" w:customStyle="1" w:styleId="a7">
    <w:name w:val="标题一"/>
    <w:basedOn w:val="2"/>
    <w:qFormat/>
    <w:rsid w:val="00C30CAC"/>
    <w:pPr>
      <w:spacing w:line="360" w:lineRule="auto"/>
      <w:jc w:val="center"/>
    </w:pPr>
    <w:rPr>
      <w:rFonts w:ascii="Times New Roman" w:eastAsia="黑体" w:hAnsi="Times New Roman" w:cs="Times New Roman"/>
    </w:rPr>
  </w:style>
  <w:style w:type="paragraph" w:customStyle="1" w:styleId="a8">
    <w:name w:val="标题二"/>
    <w:basedOn w:val="a7"/>
    <w:qFormat/>
    <w:rsid w:val="00C30CAC"/>
    <w:rPr>
      <w:rFonts w:eastAsia="仿宋"/>
    </w:rPr>
  </w:style>
  <w:style w:type="paragraph" w:customStyle="1" w:styleId="a9">
    <w:name w:val="标题三"/>
    <w:basedOn w:val="a8"/>
    <w:qFormat/>
    <w:rsid w:val="00C30CAC"/>
    <w:pPr>
      <w:jc w:val="left"/>
    </w:pPr>
    <w:rPr>
      <w:sz w:val="30"/>
    </w:rPr>
  </w:style>
  <w:style w:type="paragraph" w:customStyle="1" w:styleId="aa">
    <w:name w:val="标题四"/>
    <w:basedOn w:val="a9"/>
    <w:qFormat/>
    <w:rsid w:val="00C30CAC"/>
    <w:rPr>
      <w:sz w:val="28"/>
    </w:rPr>
  </w:style>
  <w:style w:type="paragraph" w:customStyle="1" w:styleId="ab">
    <w:name w:val="标题五"/>
    <w:basedOn w:val="aa"/>
    <w:qFormat/>
    <w:rsid w:val="00C30CAC"/>
    <w:rPr>
      <w:sz w:val="24"/>
    </w:rPr>
  </w:style>
  <w:style w:type="paragraph" w:customStyle="1" w:styleId="ac">
    <w:name w:val="正文用"/>
    <w:basedOn w:val="ad"/>
    <w:qFormat/>
    <w:rsid w:val="00C30CAC"/>
    <w:rPr>
      <w:rFonts w:ascii="Times New Roman" w:eastAsia="仿宋" w:hAnsi="Times New Roman"/>
      <w:sz w:val="24"/>
      <w:szCs w:val="21"/>
    </w:rPr>
  </w:style>
  <w:style w:type="paragraph" w:customStyle="1" w:styleId="21">
    <w:name w:val="样式 左 首行缩进:  2 字符"/>
    <w:basedOn w:val="a"/>
    <w:rsid w:val="00C30CAC"/>
    <w:pPr>
      <w:jc w:val="left"/>
    </w:pPr>
    <w:rPr>
      <w:rFonts w:cs="宋体"/>
      <w:szCs w:val="20"/>
    </w:rPr>
  </w:style>
  <w:style w:type="character" w:customStyle="1" w:styleId="20">
    <w:name w:val="标题 2 字符"/>
    <w:basedOn w:val="a0"/>
    <w:link w:val="2"/>
    <w:uiPriority w:val="9"/>
    <w:semiHidden/>
    <w:rsid w:val="00C30CAC"/>
    <w:rPr>
      <w:rFonts w:asciiTheme="majorHAnsi" w:eastAsiaTheme="majorEastAsia" w:hAnsiTheme="majorHAnsi" w:cstheme="majorBidi"/>
      <w:b/>
      <w:bCs/>
      <w:sz w:val="32"/>
      <w:szCs w:val="32"/>
    </w:rPr>
  </w:style>
  <w:style w:type="paragraph" w:styleId="ad">
    <w:name w:val="Plain Text"/>
    <w:basedOn w:val="a"/>
    <w:link w:val="ae"/>
    <w:uiPriority w:val="99"/>
    <w:semiHidden/>
    <w:unhideWhenUsed/>
    <w:rsid w:val="00C30CAC"/>
    <w:rPr>
      <w:rFonts w:asciiTheme="minorEastAsia" w:eastAsiaTheme="minorEastAsia" w:hAnsi="Courier New" w:cs="Courier New"/>
    </w:rPr>
  </w:style>
  <w:style w:type="character" w:customStyle="1" w:styleId="ae">
    <w:name w:val="纯文本 字符"/>
    <w:basedOn w:val="a0"/>
    <w:link w:val="ad"/>
    <w:uiPriority w:val="99"/>
    <w:semiHidden/>
    <w:rsid w:val="00C30CAC"/>
    <w:rPr>
      <w:rFonts w:asciiTheme="minorEastAsia" w:hAnsi="Courier New" w:cs="Courier New"/>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数字引用" Version="1987"/>
</file>

<file path=customXml/itemProps1.xml><?xml version="1.0" encoding="utf-8"?>
<ds:datastoreItem xmlns:ds="http://schemas.openxmlformats.org/officeDocument/2006/customXml" ds:itemID="{6B80BC10-5D06-4D52-9275-DB1655CC8C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358</TotalTime>
  <Pages>5</Pages>
  <Words>4742</Words>
  <Characters>27033</Characters>
  <Application>Microsoft Office Word</Application>
  <DocSecurity>0</DocSecurity>
  <Lines>225</Lines>
  <Paragraphs>63</Paragraphs>
  <ScaleCrop>false</ScaleCrop>
  <Company/>
  <LinksUpToDate>false</LinksUpToDate>
  <CharactersWithSpaces>31712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尹 纯友</cp:lastModifiedBy>
  <cp:revision>188</cp:revision>
  <dcterms:created xsi:type="dcterms:W3CDTF">2021-12-21T03:14:00Z</dcterms:created>
  <dcterms:modified xsi:type="dcterms:W3CDTF">2021-12-28T08:00:00Z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33d6bbf5-928d-3222-9042-fb9a9fa48f24</vt:lpwstr>
  </property>
  <property fmtid="{D5CDD505-2E9C-101B-9397-08002B2CF9AE}" pid="24" name="Mendeley Citation Style_1">
    <vt:lpwstr>http://www.zotero.org/styles/ieee</vt:lpwstr>
  </property>
</Properties>
</file>