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8.png" ContentType="image/png"/>
  <Override PartName="/word/media/rId20.png" ContentType="image/png"/>
  <Override PartName="/word/media/rId25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20211106</w:t>
      </w:r>
    </w:p>
    <w:bookmarkStart w:id="21" w:name="kidney-pb3-pdgfrb"/>
    <w:p>
      <w:pPr>
        <w:pStyle w:val="Heading1"/>
      </w:pPr>
      <w:r>
        <w:t xml:space="preserve">kidney PB3 Pdgfrb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4" w:name="kidney-lps"/>
    <w:p>
      <w:pPr>
        <w:pStyle w:val="Heading1"/>
      </w:pPr>
      <w:r>
        <w:t xml:space="preserve">Kidney LPS</w:t>
      </w:r>
    </w:p>
    <w:p>
      <w:pPr>
        <w:pStyle w:val="FirstParagraph"/>
      </w:pPr>
      <w:r>
        <w:drawing>
          <wp:inline>
            <wp:extent cx="5334000" cy="283920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/kidney-LPS-elif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t xml:space="preserve">time points: 0, 1, 4, 16, 27, 36, 48 hours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tail vein injection LPS 5mg/kg</w:t>
      </w:r>
    </w:p>
    <w:p>
      <w:pPr>
        <w:pStyle w:val="FirstParagraph"/>
      </w:pPr>
      <w:r>
        <w:drawing>
          <wp:inline>
            <wp:extent cx="5334000" cy="216418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/kidney-gluomerular-s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7" w:name="kidney-macrophage"/>
    <w:p>
      <w:pPr>
        <w:pStyle w:val="Heading1"/>
      </w:pPr>
      <w:r>
        <w:t xml:space="preserve">kidney macrophage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2"/>
        <w:gridCol w:w="7297"/>
      </w:tblGrid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GENENAME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Acaa2</w:t>
            </w:r>
          </w:p>
        </w:tc>
        <w:tc>
          <w:p>
            <w:pPr>
              <w:pStyle w:val="Compact"/>
              <w:jc w:val="left"/>
            </w:pPr>
            <w:r>
              <w:t xml:space="preserve">acetyl-Coenzyme A acyltransferase 2 (mitochondrial 3-oxoacyl-Coenzyme A thiolase)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Acadm</w:t>
            </w:r>
          </w:p>
        </w:tc>
        <w:tc>
          <w:p>
            <w:pPr>
              <w:pStyle w:val="Compact"/>
              <w:jc w:val="left"/>
            </w:pPr>
            <w:r>
              <w:t xml:space="preserve">acyl-Coenzyme A dehydrogenase, medium 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Aco2</w:t>
            </w:r>
          </w:p>
        </w:tc>
        <w:tc>
          <w:p>
            <w:pPr>
              <w:pStyle w:val="Compact"/>
              <w:jc w:val="left"/>
            </w:pPr>
            <w:r>
              <w:t xml:space="preserve">aconitase 2, mitochondrial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Decr1</w:t>
            </w:r>
          </w:p>
        </w:tc>
        <w:tc>
          <w:p>
            <w:pPr>
              <w:pStyle w:val="Compact"/>
              <w:jc w:val="left"/>
            </w:pPr>
            <w:r>
              <w:t xml:space="preserve">2,4-dienoyl CoA reductase 1, mitochondrial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Dld</w:t>
            </w:r>
          </w:p>
        </w:tc>
        <w:tc>
          <w:p>
            <w:pPr>
              <w:pStyle w:val="Compact"/>
              <w:jc w:val="left"/>
            </w:pPr>
            <w:r>
              <w:t xml:space="preserve">dihydrolipoamide dehydrogenase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Ech1</w:t>
            </w:r>
          </w:p>
        </w:tc>
        <w:tc>
          <w:p>
            <w:pPr>
              <w:pStyle w:val="Compact"/>
              <w:jc w:val="left"/>
            </w:pPr>
            <w:r>
              <w:t xml:space="preserve">enoyl coenzyme A hydratase 1, peroxisomal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Echs1</w:t>
            </w:r>
          </w:p>
        </w:tc>
        <w:tc>
          <w:p>
            <w:pPr>
              <w:pStyle w:val="Compact"/>
              <w:jc w:val="left"/>
            </w:pPr>
            <w:r>
              <w:t xml:space="preserve">enoyl Coenzyme A hydratase, short chain, 1, mitochondrial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Idh1</w:t>
            </w:r>
          </w:p>
        </w:tc>
        <w:tc>
          <w:p>
            <w:pPr>
              <w:pStyle w:val="Compact"/>
              <w:jc w:val="left"/>
            </w:pPr>
            <w:r>
              <w:t xml:space="preserve">isocitrate dehydrogenase 1 (NADP+), soluble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Idh3g</w:t>
            </w:r>
          </w:p>
        </w:tc>
        <w:tc>
          <w:p>
            <w:pPr>
              <w:pStyle w:val="Compact"/>
              <w:jc w:val="left"/>
            </w:pPr>
            <w:r>
              <w:t xml:space="preserve">isocitrate dehydrogenase 3 (NAD+), gamma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Mdh2</w:t>
            </w:r>
          </w:p>
        </w:tc>
        <w:tc>
          <w:p>
            <w:pPr>
              <w:pStyle w:val="Compact"/>
              <w:jc w:val="left"/>
            </w:pPr>
            <w:r>
              <w:t xml:space="preserve">malate dehydrogenase 2, NAD (mitochondrial)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Retsat</w:t>
            </w:r>
          </w:p>
        </w:tc>
        <w:tc>
          <w:p>
            <w:pPr>
              <w:pStyle w:val="Compact"/>
              <w:jc w:val="left"/>
            </w:pPr>
            <w:r>
              <w:t xml:space="preserve">retinol saturase (all trans retinol 13,14 reductase)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Sdhc</w:t>
            </w:r>
          </w:p>
        </w:tc>
        <w:tc>
          <w:p>
            <w:pPr>
              <w:pStyle w:val="Compact"/>
              <w:jc w:val="left"/>
            </w:pPr>
            <w:r>
              <w:t xml:space="preserve">succinate dehydrogenase complex, subunit C, integral membrane protein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Suclg1</w:t>
            </w:r>
          </w:p>
        </w:tc>
        <w:tc>
          <w:p>
            <w:pPr>
              <w:pStyle w:val="Compact"/>
              <w:jc w:val="left"/>
            </w:pPr>
            <w:r>
              <w:t xml:space="preserve">succinate-CoA ligase, GDP-forming, alpha subunit</w:t>
            </w:r>
          </w:p>
        </w:tc>
      </w:tr>
    </w:tbl>
    <w:p/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09"/>
        <w:gridCol w:w="1044"/>
        <w:gridCol w:w="1044"/>
        <w:gridCol w:w="1044"/>
        <w:gridCol w:w="783"/>
        <w:gridCol w:w="783"/>
        <w:gridCol w:w="783"/>
        <w:gridCol w:w="957"/>
        <w:gridCol w:w="870"/>
      </w:tblGrid>
      <w:tr>
        <w:tc>
          <w:p>
            <w:pPr>
              <w:pStyle w:val="Compact"/>
              <w:jc w:val="left"/>
            </w:pPr>
            <w:r>
              <w:t xml:space="preserve">geneID</w:t>
            </w:r>
          </w:p>
        </w:tc>
        <w:tc>
          <w:p>
            <w:pPr>
              <w:pStyle w:val="Compact"/>
              <w:jc w:val="right"/>
            </w:pPr>
            <w:r>
              <w:t xml:space="preserve">blood_mac_1</w:t>
            </w:r>
          </w:p>
        </w:tc>
        <w:tc>
          <w:p>
            <w:pPr>
              <w:pStyle w:val="Compact"/>
              <w:jc w:val="right"/>
            </w:pPr>
            <w:r>
              <w:t xml:space="preserve">blood_mac_2</w:t>
            </w:r>
          </w:p>
        </w:tc>
        <w:tc>
          <w:p>
            <w:pPr>
              <w:pStyle w:val="Compact"/>
              <w:jc w:val="right"/>
            </w:pPr>
            <w:r>
              <w:t xml:space="preserve">blood_mac_3</w:t>
            </w:r>
          </w:p>
        </w:tc>
        <w:tc>
          <w:p>
            <w:pPr>
              <w:pStyle w:val="Compact"/>
              <w:jc w:val="right"/>
            </w:pPr>
            <w:r>
              <w:t xml:space="preserve">sm_mac_1</w:t>
            </w:r>
          </w:p>
        </w:tc>
        <w:tc>
          <w:p>
            <w:pPr>
              <w:pStyle w:val="Compact"/>
              <w:jc w:val="right"/>
            </w:pPr>
            <w:r>
              <w:t xml:space="preserve">sm_mac_2</w:t>
            </w:r>
          </w:p>
        </w:tc>
        <w:tc>
          <w:p>
            <w:pPr>
              <w:pStyle w:val="Compact"/>
              <w:jc w:val="right"/>
            </w:pPr>
            <w:r>
              <w:t xml:space="preserve">sm_mac_3</w:t>
            </w:r>
          </w:p>
        </w:tc>
        <w:tc>
          <w:p>
            <w:pPr>
              <w:pStyle w:val="Compact"/>
              <w:jc w:val="right"/>
            </w:pPr>
            <w:r>
              <w:t xml:space="preserve">logFC</w:t>
            </w:r>
          </w:p>
        </w:tc>
        <w:tc>
          <w:p>
            <w:pPr>
              <w:pStyle w:val="Compact"/>
              <w:jc w:val="right"/>
            </w:pPr>
            <w:r>
              <w:t xml:space="preserve">PValue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Acaa2</w:t>
            </w:r>
          </w:p>
        </w:tc>
        <w:tc>
          <w:p>
            <w:pPr>
              <w:pStyle w:val="Compact"/>
              <w:jc w:val="right"/>
            </w:pPr>
            <w:r>
              <w:t xml:space="preserve">2707</w:t>
            </w:r>
          </w:p>
        </w:tc>
        <w:tc>
          <w:p>
            <w:pPr>
              <w:pStyle w:val="Compact"/>
              <w:jc w:val="right"/>
            </w:pPr>
            <w:r>
              <w:t xml:space="preserve">1459</w:t>
            </w:r>
          </w:p>
        </w:tc>
        <w:tc>
          <w:p>
            <w:pPr>
              <w:pStyle w:val="Compact"/>
              <w:jc w:val="right"/>
            </w:pPr>
            <w:r>
              <w:t xml:space="preserve">1853</w:t>
            </w:r>
          </w:p>
        </w:tc>
        <w:tc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p>
            <w:pPr>
              <w:pStyle w:val="Compact"/>
              <w:jc w:val="right"/>
            </w:pPr>
            <w:r>
              <w:t xml:space="preserve">822</w:t>
            </w:r>
          </w:p>
        </w:tc>
        <w:tc>
          <w:p>
            <w:pPr>
              <w:pStyle w:val="Compact"/>
              <w:jc w:val="right"/>
            </w:pPr>
            <w:r>
              <w:t xml:space="preserve">-0.8632390</w:t>
            </w:r>
          </w:p>
        </w:tc>
        <w:tc>
          <w:p>
            <w:pPr>
              <w:pStyle w:val="Compact"/>
              <w:jc w:val="right"/>
            </w:pPr>
            <w:r>
              <w:t xml:space="preserve">0.0000358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Acadm</w:t>
            </w:r>
          </w:p>
        </w:tc>
        <w:tc>
          <w:p>
            <w:pPr>
              <w:pStyle w:val="Compact"/>
              <w:jc w:val="right"/>
            </w:pPr>
            <w:r>
              <w:t xml:space="preserve">5049</w:t>
            </w:r>
          </w:p>
        </w:tc>
        <w:tc>
          <w:p>
            <w:pPr>
              <w:pStyle w:val="Compact"/>
              <w:jc w:val="right"/>
            </w:pPr>
            <w:r>
              <w:t xml:space="preserve">3388</w:t>
            </w:r>
          </w:p>
        </w:tc>
        <w:tc>
          <w:p>
            <w:pPr>
              <w:pStyle w:val="Compact"/>
              <w:jc w:val="right"/>
            </w:pPr>
            <w:r>
              <w:t xml:space="preserve">4195</w:t>
            </w:r>
          </w:p>
        </w:tc>
        <w:tc>
          <w:p>
            <w:pPr>
              <w:pStyle w:val="Compact"/>
              <w:jc w:val="right"/>
            </w:pPr>
            <w:r>
              <w:t xml:space="preserve">1520</w:t>
            </w:r>
          </w:p>
        </w:tc>
        <w:tc>
          <w:p>
            <w:pPr>
              <w:pStyle w:val="Compact"/>
              <w:jc w:val="right"/>
            </w:pPr>
            <w:r>
              <w:t xml:space="preserve">1940</w:t>
            </w:r>
          </w:p>
        </w:tc>
        <w:tc>
          <w:p>
            <w:pPr>
              <w:pStyle w:val="Compact"/>
              <w:jc w:val="right"/>
            </w:pPr>
            <w:r>
              <w:t xml:space="preserve">1753</w:t>
            </w:r>
          </w:p>
        </w:tc>
        <w:tc>
          <w:p>
            <w:pPr>
              <w:pStyle w:val="Compact"/>
              <w:jc w:val="right"/>
            </w:pPr>
            <w:r>
              <w:t xml:space="preserve">-0.8722525</w:t>
            </w:r>
          </w:p>
        </w:tc>
        <w:tc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Aco2</w:t>
            </w:r>
          </w:p>
        </w:tc>
        <w:tc>
          <w:p>
            <w:pPr>
              <w:pStyle w:val="Compact"/>
              <w:jc w:val="right"/>
            </w:pPr>
            <w:r>
              <w:t xml:space="preserve">10181</w:t>
            </w:r>
          </w:p>
        </w:tc>
        <w:tc>
          <w:p>
            <w:pPr>
              <w:pStyle w:val="Compact"/>
              <w:jc w:val="right"/>
            </w:pPr>
            <w:r>
              <w:t xml:space="preserve">7105</w:t>
            </w:r>
          </w:p>
        </w:tc>
        <w:tc>
          <w:p>
            <w:pPr>
              <w:pStyle w:val="Compact"/>
              <w:jc w:val="right"/>
            </w:pPr>
            <w:r>
              <w:t xml:space="preserve">8671</w:t>
            </w:r>
          </w:p>
        </w:tc>
        <w:tc>
          <w:p>
            <w:pPr>
              <w:pStyle w:val="Compact"/>
              <w:jc w:val="right"/>
            </w:pPr>
            <w:r>
              <w:t xml:space="preserve">3132</w:t>
            </w:r>
          </w:p>
        </w:tc>
        <w:tc>
          <w:p>
            <w:pPr>
              <w:pStyle w:val="Compact"/>
              <w:jc w:val="right"/>
            </w:pPr>
            <w:r>
              <w:t xml:space="preserve">4986</w:t>
            </w:r>
          </w:p>
        </w:tc>
        <w:tc>
          <w:p>
            <w:pPr>
              <w:pStyle w:val="Compact"/>
              <w:jc w:val="right"/>
            </w:pPr>
            <w:r>
              <w:t xml:space="preserve">3624</w:t>
            </w:r>
          </w:p>
        </w:tc>
        <w:tc>
          <w:p>
            <w:pPr>
              <w:pStyle w:val="Compact"/>
              <w:jc w:val="right"/>
            </w:pPr>
            <w:r>
              <w:t xml:space="preserve">-0.7620774</w:t>
            </w:r>
          </w:p>
        </w:tc>
        <w:tc>
          <w:p>
            <w:pPr>
              <w:pStyle w:val="Compact"/>
              <w:jc w:val="right"/>
            </w:pPr>
            <w:r>
              <w:t xml:space="preserve">0.0000005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Decr1</w:t>
            </w:r>
          </w:p>
        </w:tc>
        <w:tc>
          <w:p>
            <w:pPr>
              <w:pStyle w:val="Compact"/>
              <w:jc w:val="right"/>
            </w:pPr>
            <w:r>
              <w:t xml:space="preserve">1790</w:t>
            </w:r>
          </w:p>
        </w:tc>
        <w:tc>
          <w:p>
            <w:pPr>
              <w:pStyle w:val="Compact"/>
              <w:jc w:val="right"/>
            </w:pPr>
            <w:r>
              <w:t xml:space="preserve">1040</w:t>
            </w:r>
          </w:p>
        </w:tc>
        <w:tc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p>
            <w:pPr>
              <w:pStyle w:val="Compact"/>
              <w:jc w:val="right"/>
            </w:pPr>
            <w:r>
              <w:t xml:space="preserve">555</w:t>
            </w:r>
          </w:p>
        </w:tc>
        <w:tc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p>
            <w:pPr>
              <w:pStyle w:val="Compact"/>
              <w:jc w:val="right"/>
            </w:pPr>
            <w:r>
              <w:t xml:space="preserve">-0.9905498</w:t>
            </w:r>
          </w:p>
        </w:tc>
        <w:tc>
          <w:p>
            <w:pPr>
              <w:pStyle w:val="Compact"/>
              <w:jc w:val="right"/>
            </w:pPr>
            <w:r>
              <w:t xml:space="preserve">0.0000029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Dld</w:t>
            </w:r>
          </w:p>
        </w:tc>
        <w:tc>
          <w:p>
            <w:pPr>
              <w:pStyle w:val="Compact"/>
              <w:jc w:val="right"/>
            </w:pPr>
            <w:r>
              <w:t xml:space="preserve">3936</w:t>
            </w:r>
          </w:p>
        </w:tc>
        <w:tc>
          <w:p>
            <w:pPr>
              <w:pStyle w:val="Compact"/>
              <w:jc w:val="right"/>
            </w:pPr>
            <w:r>
              <w:t xml:space="preserve">2406</w:t>
            </w:r>
          </w:p>
        </w:tc>
        <w:tc>
          <w:p>
            <w:pPr>
              <w:pStyle w:val="Compact"/>
              <w:jc w:val="right"/>
            </w:pPr>
            <w:r>
              <w:t xml:space="preserve">3357</w:t>
            </w:r>
          </w:p>
        </w:tc>
        <w:tc>
          <w:p>
            <w:pPr>
              <w:pStyle w:val="Compact"/>
              <w:jc w:val="right"/>
            </w:pPr>
            <w:r>
              <w:t xml:space="preserve">1119</w:t>
            </w:r>
          </w:p>
        </w:tc>
        <w:tc>
          <w:p>
            <w:pPr>
              <w:pStyle w:val="Compact"/>
              <w:jc w:val="right"/>
            </w:pPr>
            <w:r>
              <w:t xml:space="preserve">1947</w:t>
            </w:r>
          </w:p>
        </w:tc>
        <w:tc>
          <w:p>
            <w:pPr>
              <w:pStyle w:val="Compact"/>
              <w:jc w:val="right"/>
            </w:pPr>
            <w:r>
              <w:t xml:space="preserve">1498</w:t>
            </w:r>
          </w:p>
        </w:tc>
        <w:tc>
          <w:p>
            <w:pPr>
              <w:pStyle w:val="Compact"/>
              <w:jc w:val="right"/>
            </w:pPr>
            <w:r>
              <w:t xml:space="preserve">-0.7035111</w:t>
            </w:r>
          </w:p>
        </w:tc>
        <w:tc>
          <w:p>
            <w:pPr>
              <w:pStyle w:val="Compact"/>
              <w:jc w:val="right"/>
            </w:pPr>
            <w:r>
              <w:t xml:space="preserve">0.0000168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Ech1</w:t>
            </w:r>
          </w:p>
        </w:tc>
        <w:tc>
          <w:p>
            <w:pPr>
              <w:pStyle w:val="Compact"/>
              <w:jc w:val="right"/>
            </w:pPr>
            <w:r>
              <w:t xml:space="preserve">3338</w:t>
            </w:r>
          </w:p>
        </w:tc>
        <w:tc>
          <w:p>
            <w:pPr>
              <w:pStyle w:val="Compact"/>
              <w:jc w:val="right"/>
            </w:pPr>
            <w:r>
              <w:t xml:space="preserve">2392</w:t>
            </w:r>
          </w:p>
        </w:tc>
        <w:tc>
          <w:p>
            <w:pPr>
              <w:pStyle w:val="Compact"/>
              <w:jc w:val="right"/>
            </w:pPr>
            <w:r>
              <w:t xml:space="preserve">2606</w:t>
            </w:r>
          </w:p>
        </w:tc>
        <w:tc>
          <w:p>
            <w:pPr>
              <w:pStyle w:val="Compact"/>
              <w:jc w:val="right"/>
            </w:pPr>
            <w:r>
              <w:t xml:space="preserve">1067</w:t>
            </w:r>
          </w:p>
        </w:tc>
        <w:tc>
          <w:p>
            <w:pPr>
              <w:pStyle w:val="Compact"/>
              <w:jc w:val="right"/>
            </w:pPr>
            <w:r>
              <w:t xml:space="preserve">1545</w:t>
            </w:r>
          </w:p>
        </w:tc>
        <w:tc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p>
            <w:pPr>
              <w:pStyle w:val="Compact"/>
              <w:jc w:val="right"/>
            </w:pPr>
            <w:r>
              <w:t xml:space="preserve">-0.7781687</w:t>
            </w:r>
          </w:p>
        </w:tc>
        <w:tc>
          <w:p>
            <w:pPr>
              <w:pStyle w:val="Compact"/>
              <w:jc w:val="right"/>
            </w:pPr>
            <w:r>
              <w:t xml:space="preserve">0.0000020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Echs1</w:t>
            </w:r>
          </w:p>
        </w:tc>
        <w:tc>
          <w:p>
            <w:pPr>
              <w:pStyle w:val="Compact"/>
              <w:jc w:val="right"/>
            </w:pPr>
            <w:r>
              <w:t xml:space="preserve">2380</w:t>
            </w:r>
          </w:p>
        </w:tc>
        <w:tc>
          <w:p>
            <w:pPr>
              <w:pStyle w:val="Compact"/>
              <w:jc w:val="right"/>
            </w:pPr>
            <w:r>
              <w:t xml:space="preserve">1636</w:t>
            </w:r>
          </w:p>
        </w:tc>
        <w:tc>
          <w:p>
            <w:pPr>
              <w:pStyle w:val="Compact"/>
              <w:jc w:val="right"/>
            </w:pPr>
            <w:r>
              <w:t xml:space="preserve">1837</w:t>
            </w:r>
          </w:p>
        </w:tc>
        <w:tc>
          <w:p>
            <w:pPr>
              <w:pStyle w:val="Compact"/>
              <w:jc w:val="right"/>
            </w:pPr>
            <w:r>
              <w:t xml:space="preserve">810</w:t>
            </w:r>
          </w:p>
        </w:tc>
        <w:tc>
          <w:p>
            <w:pPr>
              <w:pStyle w:val="Compact"/>
              <w:jc w:val="right"/>
            </w:pPr>
            <w:r>
              <w:t xml:space="preserve">1006</w:t>
            </w:r>
          </w:p>
        </w:tc>
        <w:tc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p>
            <w:pPr>
              <w:pStyle w:val="Compact"/>
              <w:jc w:val="right"/>
            </w:pPr>
            <w:r>
              <w:t xml:space="preserve">-0.7801954</w:t>
            </w:r>
          </w:p>
        </w:tc>
        <w:tc>
          <w:p>
            <w:pPr>
              <w:pStyle w:val="Compact"/>
              <w:jc w:val="right"/>
            </w:pPr>
            <w:r>
              <w:t xml:space="preserve">0.0000196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Idh1</w:t>
            </w:r>
          </w:p>
        </w:tc>
        <w:tc>
          <w:p>
            <w:pPr>
              <w:pStyle w:val="Compact"/>
              <w:jc w:val="right"/>
            </w:pPr>
            <w:r>
              <w:t xml:space="preserve">6815</w:t>
            </w:r>
          </w:p>
        </w:tc>
        <w:tc>
          <w:p>
            <w:pPr>
              <w:pStyle w:val="Compact"/>
              <w:jc w:val="right"/>
            </w:pPr>
            <w:r>
              <w:t xml:space="preserve">2900</w:t>
            </w:r>
          </w:p>
        </w:tc>
        <w:tc>
          <w:p>
            <w:pPr>
              <w:pStyle w:val="Compact"/>
              <w:jc w:val="right"/>
            </w:pPr>
            <w:r>
              <w:t xml:space="preserve">4967</w:t>
            </w:r>
          </w:p>
        </w:tc>
        <w:tc>
          <w:p>
            <w:pPr>
              <w:pStyle w:val="Compact"/>
              <w:jc w:val="right"/>
            </w:pPr>
            <w:r>
              <w:t xml:space="preserve">1469</w:t>
            </w:r>
          </w:p>
        </w:tc>
        <w:tc>
          <w:p>
            <w:pPr>
              <w:pStyle w:val="Compact"/>
              <w:jc w:val="right"/>
            </w:pPr>
            <w:r>
              <w:t xml:space="preserve">1705</w:t>
            </w:r>
          </w:p>
        </w:tc>
        <w:tc>
          <w:p>
            <w:pPr>
              <w:pStyle w:val="Compact"/>
              <w:jc w:val="right"/>
            </w:pPr>
            <w:r>
              <w:t xml:space="preserve">1448</w:t>
            </w:r>
          </w:p>
        </w:tc>
        <w:tc>
          <w:p>
            <w:pPr>
              <w:pStyle w:val="Compact"/>
              <w:jc w:val="right"/>
            </w:pPr>
            <w:r>
              <w:t xml:space="preserve">-1.2247431</w:t>
            </w:r>
          </w:p>
        </w:tc>
        <w:tc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Idh3g</w:t>
            </w:r>
          </w:p>
        </w:tc>
        <w:tc>
          <w:p>
            <w:pPr>
              <w:pStyle w:val="Compact"/>
              <w:jc w:val="right"/>
            </w:pPr>
            <w:r>
              <w:t xml:space="preserve">3435</w:t>
            </w:r>
          </w:p>
        </w:tc>
        <w:tc>
          <w:p>
            <w:pPr>
              <w:pStyle w:val="Compact"/>
              <w:jc w:val="right"/>
            </w:pPr>
            <w:r>
              <w:t xml:space="preserve">2840</w:t>
            </w:r>
          </w:p>
        </w:tc>
        <w:tc>
          <w:p>
            <w:pPr>
              <w:pStyle w:val="Compact"/>
              <w:jc w:val="right"/>
            </w:pPr>
            <w:r>
              <w:t xml:space="preserve">3323</w:t>
            </w:r>
          </w:p>
        </w:tc>
        <w:tc>
          <w:p>
            <w:pPr>
              <w:pStyle w:val="Compact"/>
              <w:jc w:val="right"/>
            </w:pPr>
            <w:r>
              <w:t xml:space="preserve">1412</w:t>
            </w:r>
          </w:p>
        </w:tc>
        <w:tc>
          <w:p>
            <w:pPr>
              <w:pStyle w:val="Compact"/>
              <w:jc w:val="right"/>
            </w:pPr>
            <w:r>
              <w:t xml:space="preserve">2317</w:t>
            </w:r>
          </w:p>
        </w:tc>
        <w:tc>
          <w:p>
            <w:pPr>
              <w:pStyle w:val="Compact"/>
              <w:jc w:val="right"/>
            </w:pPr>
            <w:r>
              <w:t xml:space="preserve">1935</w:t>
            </w:r>
          </w:p>
        </w:tc>
        <w:tc>
          <w:p>
            <w:pPr>
              <w:pStyle w:val="Compact"/>
              <w:jc w:val="right"/>
            </w:pPr>
            <w:r>
              <w:t xml:space="preserve">-0.3906869</w:t>
            </w:r>
          </w:p>
        </w:tc>
        <w:tc>
          <w:p>
            <w:pPr>
              <w:pStyle w:val="Compact"/>
              <w:jc w:val="right"/>
            </w:pPr>
            <w:r>
              <w:t xml:space="preserve">0.0081094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Mdh2</w:t>
            </w:r>
          </w:p>
        </w:tc>
        <w:tc>
          <w:p>
            <w:pPr>
              <w:pStyle w:val="Compact"/>
              <w:jc w:val="right"/>
            </w:pPr>
            <w:r>
              <w:t xml:space="preserve">5776</w:t>
            </w:r>
          </w:p>
        </w:tc>
        <w:tc>
          <w:p>
            <w:pPr>
              <w:pStyle w:val="Compact"/>
              <w:jc w:val="right"/>
            </w:pPr>
            <w:r>
              <w:t xml:space="preserve">3928</w:t>
            </w:r>
          </w:p>
        </w:tc>
        <w:tc>
          <w:p>
            <w:pPr>
              <w:pStyle w:val="Compact"/>
              <w:jc w:val="right"/>
            </w:pPr>
            <w:r>
              <w:t xml:space="preserve">4343</w:t>
            </w:r>
          </w:p>
        </w:tc>
        <w:tc>
          <w:p>
            <w:pPr>
              <w:pStyle w:val="Compact"/>
              <w:jc w:val="right"/>
            </w:pPr>
            <w:r>
              <w:t xml:space="preserve">1803</w:t>
            </w:r>
          </w:p>
        </w:tc>
        <w:tc>
          <w:p>
            <w:pPr>
              <w:pStyle w:val="Compact"/>
              <w:jc w:val="right"/>
            </w:pPr>
            <w:r>
              <w:t xml:space="preserve">2827</w:t>
            </w:r>
          </w:p>
        </w:tc>
        <w:tc>
          <w:p>
            <w:pPr>
              <w:pStyle w:val="Compact"/>
              <w:jc w:val="right"/>
            </w:pPr>
            <w:r>
              <w:t xml:space="preserve">2113</w:t>
            </w:r>
          </w:p>
        </w:tc>
        <w:tc>
          <w:p>
            <w:pPr>
              <w:pStyle w:val="Compact"/>
              <w:jc w:val="right"/>
            </w:pPr>
            <w:r>
              <w:t xml:space="preserve">-0.6750871</w:t>
            </w:r>
          </w:p>
        </w:tc>
        <w:tc>
          <w:p>
            <w:pPr>
              <w:pStyle w:val="Compact"/>
              <w:jc w:val="right"/>
            </w:pPr>
            <w:r>
              <w:t xml:space="preserve">0.0000193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Retsat</w:t>
            </w:r>
          </w:p>
        </w:tc>
        <w:tc>
          <w:p>
            <w:pPr>
              <w:pStyle w:val="Compact"/>
              <w:jc w:val="right"/>
            </w:pPr>
            <w:r>
              <w:t xml:space="preserve">2221</w:t>
            </w:r>
          </w:p>
        </w:tc>
        <w:tc>
          <w:p>
            <w:pPr>
              <w:pStyle w:val="Compact"/>
              <w:jc w:val="right"/>
            </w:pPr>
            <w:r>
              <w:t xml:space="preserve">1389</w:t>
            </w:r>
          </w:p>
        </w:tc>
        <w:tc>
          <w:p>
            <w:pPr>
              <w:pStyle w:val="Compact"/>
              <w:jc w:val="right"/>
            </w:pPr>
            <w:r>
              <w:t xml:space="preserve">1732</w:t>
            </w:r>
          </w:p>
        </w:tc>
        <w:tc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p>
            <w:pPr>
              <w:pStyle w:val="Compact"/>
              <w:jc w:val="right"/>
            </w:pPr>
            <w:r>
              <w:t xml:space="preserve">789</w:t>
            </w:r>
          </w:p>
        </w:tc>
        <w:tc>
          <w:p>
            <w:pPr>
              <w:pStyle w:val="Compact"/>
              <w:jc w:val="right"/>
            </w:pPr>
            <w:r>
              <w:t xml:space="preserve">667</w:t>
            </w:r>
          </w:p>
        </w:tc>
        <w:tc>
          <w:p>
            <w:pPr>
              <w:pStyle w:val="Compact"/>
              <w:jc w:val="right"/>
            </w:pPr>
            <w:r>
              <w:t xml:space="preserve">-0.9854523</w:t>
            </w:r>
          </w:p>
        </w:tc>
        <w:tc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Sdhc</w:t>
            </w:r>
          </w:p>
        </w:tc>
        <w:tc>
          <w:p>
            <w:pPr>
              <w:pStyle w:val="Compact"/>
              <w:jc w:val="right"/>
            </w:pPr>
            <w:r>
              <w:t xml:space="preserve">2565</w:t>
            </w:r>
          </w:p>
        </w:tc>
        <w:tc>
          <w:p>
            <w:pPr>
              <w:pStyle w:val="Compact"/>
              <w:jc w:val="right"/>
            </w:pPr>
            <w:r>
              <w:t xml:space="preserve">1796</w:t>
            </w:r>
          </w:p>
        </w:tc>
        <w:tc>
          <w:p>
            <w:pPr>
              <w:pStyle w:val="Compact"/>
              <w:jc w:val="right"/>
            </w:pPr>
            <w:r>
              <w:t xml:space="preserve">2044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right"/>
            </w:pPr>
            <w:r>
              <w:t xml:space="preserve">1141</w:t>
            </w:r>
          </w:p>
        </w:tc>
        <w:tc>
          <w:p>
            <w:pPr>
              <w:pStyle w:val="Compact"/>
              <w:jc w:val="right"/>
            </w:pPr>
            <w:r>
              <w:t xml:space="preserve">912</w:t>
            </w:r>
          </w:p>
        </w:tc>
        <w:tc>
          <w:p>
            <w:pPr>
              <w:pStyle w:val="Compact"/>
              <w:jc w:val="right"/>
            </w:pPr>
            <w:r>
              <w:t xml:space="preserve">-0.7799920</w:t>
            </w:r>
          </w:p>
        </w:tc>
        <w:tc>
          <w:p>
            <w:pPr>
              <w:pStyle w:val="Compact"/>
              <w:jc w:val="right"/>
            </w:pPr>
            <w:r>
              <w:t xml:space="preserve">0.0000011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Suclg1</w:t>
            </w:r>
          </w:p>
        </w:tc>
        <w:tc>
          <w:p>
            <w:pPr>
              <w:pStyle w:val="Compact"/>
              <w:jc w:val="right"/>
            </w:pPr>
            <w:r>
              <w:t xml:space="preserve">2837</w:t>
            </w:r>
          </w:p>
        </w:tc>
        <w:tc>
          <w:p>
            <w:pPr>
              <w:pStyle w:val="Compact"/>
              <w:jc w:val="right"/>
            </w:pPr>
            <w:r>
              <w:t xml:space="preserve">1792</w:t>
            </w:r>
          </w:p>
        </w:tc>
        <w:tc>
          <w:p>
            <w:pPr>
              <w:pStyle w:val="Compact"/>
              <w:jc w:val="right"/>
            </w:pPr>
            <w:r>
              <w:t xml:space="preserve">2038</w:t>
            </w:r>
          </w:p>
        </w:tc>
        <w:tc>
          <w:p>
            <w:pPr>
              <w:pStyle w:val="Compact"/>
              <w:jc w:val="right"/>
            </w:pPr>
            <w:r>
              <w:t xml:space="preserve">707</w:t>
            </w:r>
          </w:p>
        </w:tc>
        <w:tc>
          <w:p>
            <w:pPr>
              <w:pStyle w:val="Compact"/>
              <w:jc w:val="right"/>
            </w:pPr>
            <w:r>
              <w:t xml:space="preserve">1035</w:t>
            </w:r>
          </w:p>
        </w:tc>
        <w:tc>
          <w:p>
            <w:pPr>
              <w:pStyle w:val="Compact"/>
              <w:jc w:val="right"/>
            </w:pPr>
            <w:r>
              <w:t xml:space="preserve">745</w:t>
            </w:r>
          </w:p>
        </w:tc>
        <w:tc>
          <w:p>
            <w:pPr>
              <w:pStyle w:val="Compact"/>
              <w:jc w:val="right"/>
            </w:pPr>
            <w:r>
              <w:t xml:space="preserve">-1.0279730</w:t>
            </w:r>
          </w:p>
        </w:tc>
        <w:tc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27"/>
    <w:bookmarkStart w:id="29" w:name="tumor-nerve"/>
    <w:p>
      <w:pPr>
        <w:pStyle w:val="Heading1"/>
      </w:pPr>
      <w:r>
        <w:t xml:space="preserve">Tumor nerve</w:t>
      </w:r>
    </w:p>
    <w:p>
      <w:pPr>
        <w:pStyle w:val="FirstParagraph"/>
      </w:pPr>
      <w:r>
        <w:drawing>
          <wp:inline>
            <wp:extent cx="5334000" cy="36240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0211106/tumor-ne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t xml:space="preserve">sympathetic nerve are critical at early stage of tumor development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sympathetic nerve influence tumor progress by</w:t>
      </w:r>
      <w:r>
        <w:t xml:space="preserve"> </w:t>
      </w:r>
      <w:r>
        <w:rPr>
          <w:iCs/>
          <w:i/>
        </w:rPr>
        <w:t xml:space="preserve">Adrβ2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Adrβ3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Sympathectomy had no effect on tumorigenesis after tumor has onset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synpathetic nerve mainly innervated normal tissue surrounding the tumor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  <w:pStyle w:val="Compact"/>
      </w:pPr>
      <w:r>
        <w:t xml:space="preserve">parasympathetic nerve influence tumor metastasis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parasympathetic nerve exert is effect through</w:t>
      </w:r>
      <w:r>
        <w:t xml:space="preserve"> </w:t>
      </w:r>
      <w:r>
        <w:rPr>
          <w:iCs/>
          <w:i/>
        </w:rPr>
        <w:t xml:space="preserve">Chrm1</w:t>
      </w:r>
      <w:r>
        <w:t xml:space="preserve">, cholinergic receptor.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parasympathetic nerve mainly in the tumor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20211106</dc:title>
  <dc:creator/>
  <cp:keywords/>
  <dcterms:created xsi:type="dcterms:W3CDTF">2021-11-06T02:53:22Z</dcterms:created>
  <dcterms:modified xsi:type="dcterms:W3CDTF">2021-11-06T02:53:22Z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