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E6A80B" w14:textId="6798CC46" w:rsidR="00C30CAC" w:rsidRPr="00C30CAC" w:rsidRDefault="00C30CAC" w:rsidP="00C30CAC">
      <w:pPr>
        <w:pStyle w:val="a7"/>
        <w:rPr>
          <w:rFonts w:ascii="黑体" w:hAnsi="黑体" w:cs="Arial"/>
          <w:bCs w:val="0"/>
        </w:rPr>
      </w:pPr>
      <w:bookmarkStart w:id="0" w:name="_Hlk91072795"/>
      <w:r w:rsidRPr="00C30CAC">
        <w:rPr>
          <w:rFonts w:ascii="黑体" w:hAnsi="黑体" w:cs="Arial" w:hint="eastAsia"/>
          <w:bCs w:val="0"/>
        </w:rPr>
        <w:t>二、开题报告</w:t>
      </w:r>
    </w:p>
    <w:p w14:paraId="58C96D9C" w14:textId="5A757866" w:rsidR="00C30CAC" w:rsidRPr="00C30CAC" w:rsidRDefault="008056F3" w:rsidP="00C30CAC">
      <w:pPr>
        <w:pStyle w:val="a8"/>
        <w:rPr>
          <w:rStyle w:val="11"/>
          <w:rFonts w:ascii="仿宋" w:eastAsia="仿宋" w:hAnsi="仿宋"/>
          <w:b/>
          <w:bCs/>
        </w:rPr>
      </w:pPr>
      <w:r w:rsidRPr="008056F3">
        <w:rPr>
          <w:rStyle w:val="11"/>
          <w:rFonts w:ascii="仿宋" w:eastAsia="仿宋" w:hAnsi="仿宋" w:hint="eastAsia"/>
          <w:b/>
          <w:bCs/>
        </w:rPr>
        <w:t>巨噬细胞来源的PDGFB对于肾脏肿瘤生长的影响</w:t>
      </w:r>
    </w:p>
    <w:p w14:paraId="427EDBAE" w14:textId="6504A744" w:rsidR="00C30CAC" w:rsidRDefault="00C30CAC" w:rsidP="00C30CAC">
      <w:pPr>
        <w:pStyle w:val="a9"/>
      </w:pPr>
      <w:r w:rsidRPr="00601BC9">
        <w:rPr>
          <w:rFonts w:hint="eastAsia"/>
        </w:rPr>
        <w:t xml:space="preserve">1 </w:t>
      </w:r>
      <w:r w:rsidRPr="00601BC9">
        <w:rPr>
          <w:rFonts w:hint="eastAsia"/>
        </w:rPr>
        <w:t>研究背景（顶格、小三号仿宋</w:t>
      </w:r>
      <w:r>
        <w:rPr>
          <w:rFonts w:hint="eastAsia"/>
        </w:rPr>
        <w:t>加粗</w:t>
      </w:r>
      <w:r w:rsidRPr="00601BC9">
        <w:rPr>
          <w:rFonts w:hint="eastAsia"/>
        </w:rPr>
        <w:t>）</w:t>
      </w:r>
    </w:p>
    <w:p w14:paraId="61854969" w14:textId="77777777" w:rsidR="00124BDC" w:rsidRDefault="00527B54" w:rsidP="00A03FC3">
      <w:pPr>
        <w:pStyle w:val="a9"/>
        <w:ind w:firstLineChars="200" w:firstLine="602"/>
        <w:outlineLvl w:val="9"/>
      </w:pPr>
      <w:r>
        <w:rPr>
          <w:rFonts w:hint="eastAsia"/>
        </w:rPr>
        <w:t>肾脏是维持</w:t>
      </w:r>
      <w:r w:rsidR="00014230">
        <w:rPr>
          <w:rFonts w:hint="eastAsia"/>
        </w:rPr>
        <w:t>人</w:t>
      </w:r>
      <w:r>
        <w:rPr>
          <w:rFonts w:hint="eastAsia"/>
        </w:rPr>
        <w:t>体平衡的重要器官，</w:t>
      </w:r>
      <w:r w:rsidR="007A1DF6">
        <w:rPr>
          <w:rFonts w:hint="eastAsia"/>
        </w:rPr>
        <w:t>肾脏病变</w:t>
      </w:r>
      <w:r w:rsidR="0010166B">
        <w:rPr>
          <w:rFonts w:hint="eastAsia"/>
        </w:rPr>
        <w:t>将</w:t>
      </w:r>
      <w:r w:rsidR="007A1DF6">
        <w:rPr>
          <w:rFonts w:hint="eastAsia"/>
        </w:rPr>
        <w:t>对人的健康</w:t>
      </w:r>
      <w:r w:rsidR="0010166B">
        <w:rPr>
          <w:rFonts w:hint="eastAsia"/>
        </w:rPr>
        <w:t>产生</w:t>
      </w:r>
      <w:r w:rsidR="007A1DF6">
        <w:rPr>
          <w:rFonts w:hint="eastAsia"/>
        </w:rPr>
        <w:t>重大影响</w:t>
      </w:r>
      <w:r w:rsidR="00E317A7">
        <w:rPr>
          <w:rFonts w:hint="eastAsia"/>
        </w:rPr>
        <w:t>，</w:t>
      </w:r>
      <w:r w:rsidR="00BF2EC7">
        <w:rPr>
          <w:rFonts w:hint="eastAsia"/>
        </w:rPr>
        <w:t>尤其是肾脏肿瘤</w:t>
      </w:r>
      <w:r w:rsidR="00D7692F">
        <w:rPr>
          <w:rFonts w:hint="eastAsia"/>
        </w:rPr>
        <w:t>。</w:t>
      </w:r>
      <w:r w:rsidR="0010166B">
        <w:rPr>
          <w:rFonts w:hint="eastAsia"/>
        </w:rPr>
        <w:t xml:space="preserve"> </w:t>
      </w:r>
      <w:r w:rsidR="00FF6604">
        <w:t>2016</w:t>
      </w:r>
      <w:r w:rsidR="00FF6604">
        <w:rPr>
          <w:rFonts w:hint="eastAsia"/>
        </w:rPr>
        <w:t>年世界卫生组织将肾脏肿瘤分为了</w:t>
      </w:r>
      <w:r w:rsidR="00FF6604">
        <w:rPr>
          <w:rFonts w:hint="eastAsia"/>
        </w:rPr>
        <w:t>1</w:t>
      </w:r>
      <w:r w:rsidR="00FF6604">
        <w:t>4</w:t>
      </w:r>
      <w:r w:rsidR="00320543">
        <w:rPr>
          <w:rFonts w:hint="eastAsia"/>
        </w:rPr>
        <w:t>个小</w:t>
      </w:r>
      <w:r w:rsidR="00FF6604">
        <w:rPr>
          <w:rFonts w:hint="eastAsia"/>
        </w:rPr>
        <w:t>类</w:t>
      </w:r>
      <w:r w:rsidR="002E4C5E">
        <w:fldChar w:fldCharType="begin" w:fldLock="1"/>
      </w:r>
      <w:r w:rsidR="002E4C5E">
        <w:instrText>ADDIN CSL_CITATION {"citationItems":[{"id":"ITEM-1","itemData":{"DOI":"10.1016/j.eururo.2016.02.029","ISSN":"18737560","PMID":"26935559","abstract":"The fourth edition of the World Health Organization (WHO) classification of urogenital tumours (WHO “blue book”), published in 2016, contains significant revisions. These revisions were performed after consideration by a large international group of pathologists with special expertise in this area. A subgroup of these persons met at the WHO Consensus Conference in Zurich, Switzerland, in 2015 to finalize the revisions. This review summarizes the most significant differences between the newly published classification and the prior version for renal, penile, and testicular tumours. Newly recognized epithelial renal tumours are hereditary leiomyomatosis and renal cell carcinoma (RCC) syndrome–associated RCC, succinate dehydrogenase–deficient RCC, tubulocystic RCC, acquired cystic disease–associated RCC, and clear cell papillary RCC. The WHO/International Society of Urological Pathology renal tumour grading system was recommended, and the definition of renal papillary adenoma was modified. The new WHO classification of penile squamous cell carcinomas is based on the presence of human papillomavirus and defines histologic subtypes accordingly. Germ cell neoplasia in situ (GCNIS) of the testis is the WHO-recommended term for precursor lesions of invasive germ cell tumours, and testicular germ cell tumours are now separated into two fundamentally different groups: those derived from GCNIS and those unrelated to GCNIS. Spermatocytic seminoma has been designated as a spermatocytic tumour and placed within the group of non–GCNIS-related tumours in the 2016 WHO classification. Patient summary The 2016 World Health Organization (WHO) classification contains new renal tumour entities. The classification of penile squamous cell carcinomas is based on the presence of human papillomavirus. Germ cell neoplasia in situ of the testis is the WHO-recommended term for precursor lesions of invasive germ cell tumours.","author":[{"dropping-particle":"","family":"Moch","given":"Holger","non-dropping-particle":"","parse-names":false,"suffix":""},{"dropping-particle":"","family":"Cubilla","given":"Antonio L.","non-dropping-particle":"","parse-names":false,"suffix":""},{"dropping-particle":"","family":"Humphrey","given":"Peter A.","non-dropping-particle":"","parse-names":false,"suffix":""},{"dropping-particle":"","family":"Reuter","given":"Victor E.","non-dropping-particle":"","parse-names":false,"suffix":""},{"dropping-particle":"","family":"Ulbright","given":"Thomas M.","non-dropping-particle":"","parse-names":false,"suffix":""}],"container-title":"European Urology","id":"ITEM-1","issue":"1","issued":{"date-parts":[["2016"]]},"page":"93-105","publisher":"European Association of Urology","title":"The 2016 WHO Classification of Tumours of the Urinary System and Male Genital Organs—Part A: Renal, Penile, and Testicular Tumours","type":"article-journal","volume":"70"},"uris":["http://www.mendeley.com/documents/?uuid=29fa19cd-92bb-4798-9371-5f0076d4d5c8"]}],"mendeley":{"formattedCitation":"[1]","plainTextFormattedCitation":"[1]","previouslyFormattedCitation":"[1]"},"properties":{"noteIndex":0},"schema":"https://github.com/citation-style-language/schema/raw/master/csl-citation.json"}</w:instrText>
      </w:r>
      <w:r w:rsidR="002E4C5E">
        <w:fldChar w:fldCharType="separate"/>
      </w:r>
      <w:r w:rsidR="002E4C5E" w:rsidRPr="002E4C5E">
        <w:rPr>
          <w:b w:val="0"/>
          <w:noProof/>
        </w:rPr>
        <w:t>[1]</w:t>
      </w:r>
      <w:r w:rsidR="002E4C5E">
        <w:fldChar w:fldCharType="end"/>
      </w:r>
      <w:r w:rsidR="00FF6604">
        <w:rPr>
          <w:rFonts w:hint="eastAsia"/>
        </w:rPr>
        <w:t>，但是发病率大于</w:t>
      </w:r>
      <w:r w:rsidR="00FF6604">
        <w:rPr>
          <w:rFonts w:hint="eastAsia"/>
        </w:rPr>
        <w:t>1</w:t>
      </w:r>
      <w:r w:rsidR="00FF6604">
        <w:t>%</w:t>
      </w:r>
      <w:r w:rsidR="00FF6604">
        <w:rPr>
          <w:rFonts w:hint="eastAsia"/>
        </w:rPr>
        <w:t>的只有</w:t>
      </w:r>
      <w:r w:rsidR="00FF6604">
        <w:rPr>
          <w:rFonts w:hint="eastAsia"/>
        </w:rPr>
        <w:t>4</w:t>
      </w:r>
      <w:r w:rsidR="003D3059">
        <w:rPr>
          <w:rFonts w:hint="eastAsia"/>
        </w:rPr>
        <w:t>类，他们分别为</w:t>
      </w:r>
      <w:r w:rsidR="00274FB1">
        <w:rPr>
          <w:rFonts w:hint="eastAsia"/>
        </w:rPr>
        <w:t>：</w:t>
      </w:r>
      <w:r w:rsidR="00DE2D0F">
        <w:rPr>
          <w:rFonts w:hint="eastAsia"/>
        </w:rPr>
        <w:t>C</w:t>
      </w:r>
      <w:r w:rsidR="00DE2D0F">
        <w:t>CRCC</w:t>
      </w:r>
      <w:r w:rsidR="00DE2D0F">
        <w:rPr>
          <w:rFonts w:hint="eastAsia"/>
        </w:rPr>
        <w:t>（</w:t>
      </w:r>
      <w:r w:rsidR="00DE2D0F">
        <w:rPr>
          <w:rFonts w:hint="eastAsia"/>
        </w:rPr>
        <w:t>Clear</w:t>
      </w:r>
      <w:r w:rsidR="00DE2D0F">
        <w:t xml:space="preserve"> </w:t>
      </w:r>
      <w:r w:rsidR="00DE2D0F">
        <w:rPr>
          <w:rFonts w:hint="eastAsia"/>
        </w:rPr>
        <w:t>Cell</w:t>
      </w:r>
      <w:r w:rsidR="00DE2D0F">
        <w:t xml:space="preserve"> </w:t>
      </w:r>
      <w:r w:rsidR="00DE2D0F">
        <w:rPr>
          <w:rFonts w:hint="eastAsia"/>
        </w:rPr>
        <w:t>Car</w:t>
      </w:r>
      <w:r w:rsidR="00DE2D0F">
        <w:t>cinoma, 70</w:t>
      </w:r>
      <w:r w:rsidR="00921D0C">
        <w:t>%</w:t>
      </w:r>
      <w:r w:rsidR="00DE2D0F">
        <w:t>-80%</w:t>
      </w:r>
      <w:r w:rsidR="00DE2D0F">
        <w:rPr>
          <w:rFonts w:hint="eastAsia"/>
        </w:rPr>
        <w:t>）</w:t>
      </w:r>
      <w:r w:rsidR="00921D0C">
        <w:rPr>
          <w:rFonts w:hint="eastAsia"/>
        </w:rPr>
        <w:t>,</w:t>
      </w:r>
      <w:r w:rsidR="00921D0C">
        <w:t xml:space="preserve"> PRCC</w:t>
      </w:r>
      <w:r w:rsidR="00921D0C">
        <w:rPr>
          <w:rFonts w:hint="eastAsia"/>
        </w:rPr>
        <w:t>（</w:t>
      </w:r>
      <w:r w:rsidR="00921D0C">
        <w:rPr>
          <w:rFonts w:hint="eastAsia"/>
        </w:rPr>
        <w:t>Papillary</w:t>
      </w:r>
      <w:r w:rsidR="00921D0C">
        <w:t xml:space="preserve"> </w:t>
      </w:r>
      <w:r w:rsidR="00921D0C">
        <w:rPr>
          <w:rFonts w:hint="eastAsia"/>
        </w:rPr>
        <w:t>Carcinoma</w:t>
      </w:r>
      <w:r w:rsidR="00921D0C">
        <w:rPr>
          <w:rFonts w:hint="eastAsia"/>
        </w:rPr>
        <w:t>，</w:t>
      </w:r>
      <w:r w:rsidR="00921D0C">
        <w:rPr>
          <w:rFonts w:hint="eastAsia"/>
        </w:rPr>
        <w:t>1</w:t>
      </w:r>
      <w:r w:rsidR="00921D0C">
        <w:t>0%-15%</w:t>
      </w:r>
      <w:r w:rsidR="00921D0C">
        <w:rPr>
          <w:rFonts w:hint="eastAsia"/>
        </w:rPr>
        <w:t>）</w:t>
      </w:r>
      <w:r w:rsidR="00F30288">
        <w:rPr>
          <w:rFonts w:hint="eastAsia"/>
        </w:rPr>
        <w:t>，</w:t>
      </w:r>
      <w:r w:rsidR="00F30288">
        <w:rPr>
          <w:rFonts w:hint="eastAsia"/>
        </w:rPr>
        <w:t>ChRCC</w:t>
      </w:r>
      <w:r w:rsidR="00F30288">
        <w:rPr>
          <w:rFonts w:hint="eastAsia"/>
        </w:rPr>
        <w:t>（</w:t>
      </w:r>
      <w:r w:rsidR="00F30288">
        <w:rPr>
          <w:rFonts w:hint="eastAsia"/>
        </w:rPr>
        <w:t>Chromophobe</w:t>
      </w:r>
      <w:r w:rsidR="00F30288">
        <w:t xml:space="preserve"> Carcinoma, </w:t>
      </w:r>
      <w:r w:rsidR="00864B0B">
        <w:rPr>
          <w:rFonts w:hint="eastAsia"/>
        </w:rPr>
        <w:t>大约</w:t>
      </w:r>
      <w:r w:rsidR="00F30288">
        <w:t>5%</w:t>
      </w:r>
      <w:r w:rsidR="00F30288">
        <w:rPr>
          <w:rFonts w:hint="eastAsia"/>
        </w:rPr>
        <w:t>）</w:t>
      </w:r>
      <w:r w:rsidR="00F30288">
        <w:rPr>
          <w:rFonts w:hint="eastAsia"/>
        </w:rPr>
        <w:t>,</w:t>
      </w:r>
      <w:r w:rsidR="00864B0B">
        <w:t xml:space="preserve"> </w:t>
      </w:r>
      <w:r w:rsidR="00864B0B">
        <w:rPr>
          <w:rFonts w:hint="eastAsia"/>
        </w:rPr>
        <w:t>Collecting</w:t>
      </w:r>
      <w:r w:rsidR="00864B0B">
        <w:t xml:space="preserve"> Duct Carcinoma </w:t>
      </w:r>
      <w:r w:rsidR="00864B0B">
        <w:rPr>
          <w:rFonts w:hint="eastAsia"/>
        </w:rPr>
        <w:t>（大约</w:t>
      </w:r>
      <w:r w:rsidR="00864B0B">
        <w:rPr>
          <w:rFonts w:hint="eastAsia"/>
        </w:rPr>
        <w:t>1</w:t>
      </w:r>
      <w:r w:rsidR="00864B0B">
        <w:t>%</w:t>
      </w:r>
      <w:r w:rsidR="00864B0B">
        <w:rPr>
          <w:rFonts w:hint="eastAsia"/>
        </w:rPr>
        <w:t>）。</w:t>
      </w:r>
    </w:p>
    <w:p w14:paraId="2323FCE0" w14:textId="2B797E5B" w:rsidR="00124BDC" w:rsidRDefault="00AC1FCE" w:rsidP="00A03FC3">
      <w:pPr>
        <w:pStyle w:val="a9"/>
        <w:ind w:firstLineChars="200" w:firstLine="602"/>
        <w:outlineLvl w:val="9"/>
      </w:pPr>
      <w:r>
        <w:rPr>
          <w:rFonts w:hint="eastAsia"/>
        </w:rPr>
        <w:t>巨噬细胞是固有免疫系统的一种白细胞</w:t>
      </w:r>
      <w:r w:rsidR="00C41B0C">
        <w:rPr>
          <w:rFonts w:hint="eastAsia"/>
        </w:rPr>
        <w:t>，其主要功能就是作为组织的卫兵维持组织稳态</w:t>
      </w:r>
      <w:r w:rsidR="00877522">
        <w:rPr>
          <w:rFonts w:hint="eastAsia"/>
        </w:rPr>
        <w:t>，吞噬细胞</w:t>
      </w:r>
      <w:r w:rsidR="00760ABA">
        <w:rPr>
          <w:rFonts w:hint="eastAsia"/>
        </w:rPr>
        <w:t>碎片及</w:t>
      </w:r>
      <w:r w:rsidR="00877522">
        <w:rPr>
          <w:rFonts w:hint="eastAsia"/>
        </w:rPr>
        <w:t>入侵的</w:t>
      </w:r>
      <w:r w:rsidR="00D4195E">
        <w:rPr>
          <w:rFonts w:hint="eastAsia"/>
        </w:rPr>
        <w:t>微</w:t>
      </w:r>
      <w:r w:rsidR="00877522">
        <w:rPr>
          <w:rFonts w:hint="eastAsia"/>
        </w:rPr>
        <w:t>生物等。</w:t>
      </w:r>
      <w:r w:rsidR="00760ABA">
        <w:rPr>
          <w:rFonts w:hint="eastAsia"/>
        </w:rPr>
        <w:t>在机体的不同地方都发现有巨噬细胞的存在，</w:t>
      </w:r>
      <w:r w:rsidR="00C438B1">
        <w:rPr>
          <w:rFonts w:hint="eastAsia"/>
        </w:rPr>
        <w:t>不同地方的巨噬细胞有着相应的组织特意的功能，因此也有着不同的名字。</w:t>
      </w:r>
      <w:r w:rsidR="000A33C8">
        <w:rPr>
          <w:rFonts w:hint="eastAsia"/>
        </w:rPr>
        <w:t>比如肝脏巨噬细胞叫做</w:t>
      </w:r>
      <w:r w:rsidR="000A33C8">
        <w:rPr>
          <w:rFonts w:hint="eastAsia"/>
        </w:rPr>
        <w:t>K</w:t>
      </w:r>
      <w:r w:rsidR="000A33C8">
        <w:t>uf</w:t>
      </w:r>
      <w:r w:rsidR="00595FFA">
        <w:t xml:space="preserve">fer </w:t>
      </w:r>
      <w:r w:rsidR="00595FFA">
        <w:rPr>
          <w:rFonts w:hint="eastAsia"/>
        </w:rPr>
        <w:t>C</w:t>
      </w:r>
      <w:r w:rsidR="000A33C8">
        <w:t>ells</w:t>
      </w:r>
      <w:r w:rsidR="000A33C8">
        <w:rPr>
          <w:rFonts w:hint="eastAsia"/>
        </w:rPr>
        <w:t>，血液和骨髓中的巨噬细胞叫做</w:t>
      </w:r>
      <w:r w:rsidR="000A33C8">
        <w:rPr>
          <w:rFonts w:hint="eastAsia"/>
        </w:rPr>
        <w:t>m</w:t>
      </w:r>
      <w:r w:rsidR="000A33C8">
        <w:t>onocytes</w:t>
      </w:r>
      <w:r w:rsidR="000A33C8">
        <w:rPr>
          <w:rFonts w:hint="eastAsia"/>
        </w:rPr>
        <w:t>，中枢神经系统的巨噬细胞叫做</w:t>
      </w:r>
      <w:r w:rsidR="000A33C8">
        <w:rPr>
          <w:rFonts w:hint="eastAsia"/>
        </w:rPr>
        <w:t xml:space="preserve"> microglia</w:t>
      </w:r>
      <w:r w:rsidR="00EB063D">
        <w:rPr>
          <w:rFonts w:hint="eastAsia"/>
        </w:rPr>
        <w:t xml:space="preserve"> </w:t>
      </w:r>
      <w:r w:rsidR="00EB063D">
        <w:rPr>
          <w:rFonts w:hint="eastAsia"/>
        </w:rPr>
        <w:t>等。</w:t>
      </w:r>
      <w:r w:rsidR="0061712B">
        <w:rPr>
          <w:rFonts w:hint="eastAsia"/>
        </w:rPr>
        <w:t>除了吞噬和在免疫反应中释放炎症因子招募其他免疫细胞功能外，</w:t>
      </w:r>
      <w:r w:rsidR="00525464">
        <w:rPr>
          <w:rFonts w:hint="eastAsia"/>
        </w:rPr>
        <w:t>巨噬</w:t>
      </w:r>
      <w:r w:rsidR="0061712B">
        <w:rPr>
          <w:rFonts w:hint="eastAsia"/>
        </w:rPr>
        <w:t>细胞还有抗原递呈的功能，</w:t>
      </w:r>
      <w:r w:rsidR="00525464">
        <w:rPr>
          <w:rFonts w:hint="eastAsia"/>
        </w:rPr>
        <w:t>因此巨噬细胞的功能异常还会影响到后天免疫系统的功能。</w:t>
      </w:r>
    </w:p>
    <w:p w14:paraId="7E91C785" w14:textId="71EC19C8" w:rsidR="004B1598" w:rsidRDefault="002E4C5E" w:rsidP="00A03FC3">
      <w:pPr>
        <w:pStyle w:val="a9"/>
        <w:ind w:firstLineChars="200" w:firstLine="602"/>
        <w:outlineLvl w:val="9"/>
        <w:rPr>
          <w:rFonts w:hint="eastAsia"/>
        </w:rPr>
      </w:pPr>
      <w:r>
        <w:rPr>
          <w:rFonts w:hint="eastAsia"/>
        </w:rPr>
        <w:lastRenderedPageBreak/>
        <w:t>肾脏肿瘤中有着大量的免疫细胞的浸润</w:t>
      </w:r>
      <w:r w:rsidR="00AC533D">
        <w:rPr>
          <w:rFonts w:hint="eastAsia"/>
        </w:rPr>
        <w:t>，其中大部分是</w:t>
      </w:r>
      <w:r>
        <w:rPr>
          <w:rFonts w:hint="eastAsia"/>
        </w:rPr>
        <w:t>巨噬细胞</w:t>
      </w:r>
      <w:r>
        <w:fldChar w:fldCharType="begin" w:fldLock="1"/>
      </w:r>
      <w:r w:rsidR="00166EBE">
        <w:instrText>ADDIN CSL_CITATION {"citationItems":[{"id":"ITEM-1","itemData":{"DOI":"10.1073/pnas.2103240118","ISSN":"10916490","PMID":"34099557","abstract":"Diverse subtypes of renal cell carcinomas (RCCs) display a wide spectrum of histomorphologies, proteogenomic alterations, immune cell infiltration patterns, and clinical behavior. Delineating the cells of origin for different RCC subtypes will provide mechanistic insights into their diverse pathobiology. Here, we employed single-cell RNA sequencing (scRNA-seq) to develop benign and malignant renal cell atlases. Using a random forest model trained on this cell atlas, we predicted the putative cell of origin for more than 10 RCC subtypes. scRNA-seq also revealed several attributes of the tumor microenvironment in the most common subtype of kidney cancer, clear cell RCC (ccRCC). We elucidated an active role for tumor epithelia in promoting immune cell infiltration, potentially explaining why ccRCC responds to immune checkpoint inhibitors, despite having a low neoantigen burden. In addition, we characterized an association between high endothelial cell types and lack of response to immunotherapy in ccRCC. Taken together, these single-cell analyses of benign kidney and RCC provide insight into the putative cell of origin for RCC subtypes and highlight the important role of the tumor microenvironment in influencing ccRCC biology and response to therapy.","author":[{"dropping-particle":"","family":"Zhang","given":"Yuping","non-dropping-particle":"","parse-names":false,"suffix":""},{"dropping-particle":"","family":"Narayanan","given":"Sathiya P.","non-dropping-particle":"","parse-names":false,"suffix":""},{"dropping-particle":"","family":"Mannan","given":"Rahul","non-dropping-particle":"","parse-names":false,"suffix":""},{"dropping-particle":"","family":"Raskind","given":"Gregory","non-dropping-particle":"","parse-names":false,"suffix":""},{"dropping-particle":"","family":"Wang","given":"Xiaoming","non-dropping-particle":"","parse-names":false,"suffix":""},{"dropping-particle":"","family":"Vats","given":"Pankaj","non-dropping-particle":"","parse-names":false,"suffix":""},{"dropping-particle":"","family":"Su","given":"Fengyun","non-dropping-particle":"","parse-names":false,"suffix":""},{"dropping-particle":"","family":"Hosseini","given":"Noshad","non-dropping-particle":"","parse-names":false,"suffix":""},{"dropping-particle":"","family":"Cao","given":"Xuhong","non-dropping-particle":"","parse-names":false,"suffix":""},{"dropping-particle":"","family":"Kumar-Sinha","given":"Chandan","non-dropping-particle":"","parse-names":false,"suffix":""},{"dropping-particle":"","family":"Ellison","given":"Stephanie J.","non-dropping-particle":"","parse-names":false,"suffix":""},{"dropping-particle":"","family":"Giordano","given":"Thomas J.","non-dropping-particle":"","parse-names":false,"suffix":""},{"dropping-particle":"","family":"Morgan","given":"Todd M.","non-dropping-particle":"","parse-names":false,"suffix":""},{"dropping-particle":"","family":"Pitchiaya","given":"Sethuramasundaram","non-dropping-particle":"","parse-names":false,"suffix":""},{"dropping-particle":"","family":"Alva","given":"Ajjai","non-dropping-particle":"","parse-names":false,"suffix":""},{"dropping-particle":"","family":"Mehra","given":"Rohit","non-dropping-particle":"","parse-names":false,"suffix":""},{"dropping-particle":"","family":"Cieslik","given":"Marcin","non-dropping-particle":"","parse-names":false,"suffix":""},{"dropping-particle":"","family":"Dhanasekaran","given":"Saravana M.","non-dropping-particle":"","parse-names":false,"suffix":""},{"dropping-particle":"","family":"Chinnaiyan","given":"Arul M.","non-dropping-particle":"","parse-names":false,"suffix":""}],"container-title":"Proceedings of the National Academy of Sciences of the United States of America","id":"ITEM-1","issue":"24","issued":{"date-parts":[["2021"]]},"title":"Single-cell analyses of renal cell cancers reveal insights into tumor microenvironment, cell of origin, and therapy response","type":"article-journal","volume":"118"},"uris":["http://www.mendeley.com/documents/?uuid=3fc1a00e-32f4-48a3-a62d-691cb34e9c1e"]}],"mendeley":{"formattedCitation":"[2]","plainTextFormattedCitation":"[2]","previouslyFormattedCitation":"[2]"},"properties":{"noteIndex":0},"schema":"https://github.com/citation-style-language/schema/raw/master/csl-citation.json"}</w:instrText>
      </w:r>
      <w:r>
        <w:fldChar w:fldCharType="separate"/>
      </w:r>
      <w:r w:rsidRPr="002E4C5E">
        <w:rPr>
          <w:b w:val="0"/>
          <w:noProof/>
        </w:rPr>
        <w:t>[2]</w:t>
      </w:r>
      <w:r>
        <w:fldChar w:fldCharType="end"/>
      </w:r>
      <w:r>
        <w:rPr>
          <w:rFonts w:hint="eastAsia"/>
        </w:rPr>
        <w:t>，说明巨噬细胞在</w:t>
      </w:r>
      <w:r w:rsidR="009F3686">
        <w:rPr>
          <w:rFonts w:hint="eastAsia"/>
        </w:rPr>
        <w:t>肿瘤</w:t>
      </w:r>
      <w:r>
        <w:rPr>
          <w:rFonts w:hint="eastAsia"/>
        </w:rPr>
        <w:t>的发生发展过程中起到了重要的作用。</w:t>
      </w:r>
      <w:r w:rsidR="00DE087D">
        <w:rPr>
          <w:rFonts w:hint="eastAsia"/>
        </w:rPr>
        <w:t>早期的研究显示巨噬细胞在肿瘤中功能的多样性，有的研究显示更多巨噬细胞的浸润对应着好的</w:t>
      </w:r>
      <w:r w:rsidR="00166EBE">
        <w:rPr>
          <w:rFonts w:hint="eastAsia"/>
        </w:rPr>
        <w:t>治疗效果</w:t>
      </w:r>
      <w:r w:rsidR="00166EBE">
        <w:fldChar w:fldCharType="begin" w:fldLock="1"/>
      </w:r>
      <w:r w:rsidR="00166EBE">
        <w:instrText>ADDIN CSL_CITATION {"citationItems":[{"id":"ITEM-1","itemData":{"DOI":"10.1038/sj.bjc.6604256","ISSN":"00070920","PMID":"18283317","abstract":"The purpose of this study was to investigate the prognostic value of tumour-associated macrophages with a focus on micro-anatomical localisation and determine whether molecular changes of the epidermal growth factor receptor (EGFR) are related to macrophage infiltration in resected non-small cell lung cancer (NSCLC). One hundred and forty-four patients were included in this study. Immunohistochemistry was used to identify CD68+ macrophages in the tumour islet and surrounding stroma. Epidermal growth factor receptor mutations were studied by direct sequencing. The EGFR gene copy number and protein expression were analysed by fluorescence in situ hybridisation and immunohistochemistry. Patients with a high tumour islet macrophage density survived longer than did the patient with a low tumour islet macrophage density (5-year overall survival rate was 63.9 vs 38.9%, P=0.0002). A multivariate Cox proportional hazard analysis revealed that the tumour islet macrophage count was an independent prognostic factor for survival (hazard ratio 0.471, 95% confidence interval 0.300-0.740). However, EGFR mutations, gene copy number, and protein expression were not related to the macrophage infiltration. In conclusion, tumour islet macrophage infiltration was identified as a strong favourable independent prognostic marker for survival but not correlated with the molecular changes of the EGFR in patients with resected NSCLC. © 2008 Cancer Research UK.","author":[{"dropping-particle":"","family":"Kim","given":"D. W.","non-dropping-particle":"","parse-names":false,"suffix":""},{"dropping-particle":"","family":"Min","given":"H. S.","non-dropping-particle":"","parse-names":false,"suffix":""},{"dropping-particle":"","family":"Lee","given":"K. H.","non-dropping-particle":"","parse-names":false,"suffix":""},{"dropping-particle":"","family":"Kim","given":"Y. J.","non-dropping-particle":"","parse-names":false,"suffix":""},{"dropping-particle":"","family":"Oh","given":"D. Y.","non-dropping-particle":"","parse-names":false,"suffix":""},{"dropping-particle":"","family":"Jeon","given":"Y. K.","non-dropping-particle":"","parse-names":false,"suffix":""},{"dropping-particle":"","family":"Lee","given":"S. H.","non-dropping-particle":"","parse-names":false,"suffix":""},{"dropping-particle":"","family":"Im","given":"S. A.","non-dropping-particle":"","parse-names":false,"suffix":""},{"dropping-particle":"","family":"Chung","given":"D. H.","non-dropping-particle":"","parse-names":false,"suffix":""},{"dropping-particle":"","family":"Kim","given":"Y. T.","non-dropping-particle":"","parse-names":false,"suffix":""},{"dropping-particle":"","family":"Kim","given":"T. Y.","non-dropping-particle":"","parse-names":false,"suffix":""},{"dropping-particle":"","family":"Bang","given":"Y. J.","non-dropping-particle":"","parse-names":false,"suffix":""},{"dropping-particle":"","family":"Sung","given":"S. W.","non-dropping-particle":"","parse-names":false,"suffix":""},{"dropping-particle":"","family":"Kim","given":"J. H.","non-dropping-particle":"","parse-names":false,"suffix":""},{"dropping-particle":"","family":"Heo","given":"D. S.","non-dropping-particle":"","parse-names":false,"suffix":""}],"container-title":"British Journal of Cancer","id":"ITEM-1","issue":"6","issued":{"date-parts":[["2008"]]},"page":"1118-1124","title":"High tumour islet macrophage infiltration correlates with improved patient survival but not with EGFR mutations, gene copy number or protein expression in resected non-small cell lung cancer","type":"article-journal","volume":"98"},"uris":["http://www.mendeley.com/documents/?uuid=43eed925-1543-4e1f-acef-dc812699bad6"]}],"mendeley":{"formattedCitation":"[3]","plainTextFormattedCitation":"[3]","previouslyFormattedCitation":"[3]"},"properties":{"noteIndex":0},"schema":"https://github.com/citation-style-language/schema/raw/master/csl-citation.json"}</w:instrText>
      </w:r>
      <w:r w:rsidR="00166EBE">
        <w:fldChar w:fldCharType="separate"/>
      </w:r>
      <w:r w:rsidR="00166EBE" w:rsidRPr="00166EBE">
        <w:rPr>
          <w:b w:val="0"/>
          <w:noProof/>
        </w:rPr>
        <w:t>[3]</w:t>
      </w:r>
      <w:r w:rsidR="00166EBE">
        <w:fldChar w:fldCharType="end"/>
      </w:r>
      <w:r w:rsidR="00166EBE">
        <w:rPr>
          <w:rFonts w:hint="eastAsia"/>
        </w:rPr>
        <w:t>，而有的认为更多的巨噬细胞的额浸润对应着更差的治疗效果</w:t>
      </w:r>
      <w:r w:rsidR="00166EBE">
        <w:fldChar w:fldCharType="begin" w:fldLock="1"/>
      </w:r>
      <w:r w:rsidR="000E64E0">
        <w:instrText>ADDIN CSL_CITATION {"citationItems":[{"id":"ITEM-1","itemData":{"DOI":"10.1002/path.1027","ISSN":"00223417","PMID":"11857487","abstract":"The role of macrophages in tumour growth and development is complex and multifaceted. Whilst there is limited evidence that tumour-associated macrophages (TAMs) can be directly tumouricidal and stimulate the anti-tumour activity of T cells, there is now contrasting evidence that tumour cells are able to block or evade the activity of TAMs at the tumour site. In some cases, tumour-derived molecules even direct TAM activities to promote tumour survival and growth. Indeed, evidence has emerged for a symbiotic relationship between tumour cells and TAMs, in which tumour cells attract TAMs and sustain their survival, with TAMs then responding to micro-environmental factors in tumours such as hypoxia (low oxygen tension) by producing important mitogens as well as various growth factors and enzymes that stimulate tumour angiogenesis. This review presents evidence for the number and/or distribution of TAMs being linked to prognosis in different types of human malignancy. It also outlines the range of pro- and anti-tumour functions performed by TAMs, and the novel therapies recently devised using TAMs to stimulate host immune responses or deliver therapeutic gene constructs to solid tumours. Copyright © 2002 John Wiley &amp; Sons, Ltd.","author":[{"dropping-particle":"","family":"Bingle","given":"L.","non-dropping-particle":"","parse-names":false,"suffix":""},{"dropping-particle":"","family":"Brown","given":"N. J.","non-dropping-particle":"","parse-names":false,"suffix":""},{"dropping-particle":"","family":"Lewis","given":"C. E.","non-dropping-particle":"","parse-names":false,"suffix":""}],"container-title":"Journal of Pathology","id":"ITEM-1","issue":"3","issued":{"date-parts":[["2002"]]},"page":"254-265","title":"The role of tumour-associated macrophages in tumour progression: Implications for new anticancer therapies","type":"article-journal","volume":"196"},"uris":["http://www.mendeley.com/documents/?uuid=7b4fefd5-b6f4-4ca3-a878-8348dfe0f441"]}],"mendeley":{"formattedCitation":"[4]","plainTextFormattedCitation":"[4]","previouslyFormattedCitation":"[4]"},"properties":{"noteIndex":0},"schema":"https://github.com/citation-style-language/schema/raw/master/csl-citation.json"}</w:instrText>
      </w:r>
      <w:r w:rsidR="00166EBE">
        <w:fldChar w:fldCharType="separate"/>
      </w:r>
      <w:r w:rsidR="00166EBE" w:rsidRPr="00166EBE">
        <w:rPr>
          <w:b w:val="0"/>
          <w:noProof/>
        </w:rPr>
        <w:t>[4]</w:t>
      </w:r>
      <w:r w:rsidR="00166EBE">
        <w:fldChar w:fldCharType="end"/>
      </w:r>
      <w:r w:rsidR="00DE087D">
        <w:rPr>
          <w:rFonts w:hint="eastAsia"/>
        </w:rPr>
        <w:t>。</w:t>
      </w:r>
      <w:r w:rsidR="00166EBE">
        <w:rPr>
          <w:rFonts w:hint="eastAsia"/>
        </w:rPr>
        <w:t>随着研究的深入目前普遍的看法认为在肿瘤形成的早期巨噬细胞有抑制肿瘤形成的功能，然后到了肿瘤形成后，受肿瘤微环境的影响，巨噬细胞分</w:t>
      </w:r>
      <w:r w:rsidR="00C74940">
        <w:rPr>
          <w:rFonts w:hint="eastAsia"/>
        </w:rPr>
        <w:t>化成</w:t>
      </w:r>
      <w:r w:rsidR="00166EBE">
        <w:rPr>
          <w:rFonts w:hint="eastAsia"/>
        </w:rPr>
        <w:t>促进肿瘤生长的形态。</w:t>
      </w:r>
      <w:r w:rsidR="00D2436B">
        <w:rPr>
          <w:rFonts w:hint="eastAsia"/>
        </w:rPr>
        <w:t>从最近兴起的单细胞测序数据也可以发现，相比于正常组织中的巨噬细胞，肿瘤组织中的巨噬细胞的相对数量及多样性都有着</w:t>
      </w:r>
      <w:r w:rsidR="000E64E0">
        <w:rPr>
          <w:rFonts w:hint="eastAsia"/>
        </w:rPr>
        <w:t>非常大</w:t>
      </w:r>
      <w:r w:rsidR="00D2436B">
        <w:rPr>
          <w:rFonts w:hint="eastAsia"/>
        </w:rPr>
        <w:t>的变化</w:t>
      </w:r>
      <w:r w:rsidR="000E64E0">
        <w:fldChar w:fldCharType="begin" w:fldLock="1"/>
      </w:r>
      <w:r w:rsidR="000E64E0">
        <w:instrText>ADDIN CSL_CITATION {"citationItems":[{"id":"ITEM-1","itemData":{"DOI":"10.1126/science.aar2131","ISSN":"10959203","abstract":"Our understanding of kidney disease pathogenesis is limited by an incomplete molecular characterization of the cell types responsible for the organ's multiple homeostatic functions. To help fill this knowledge gap, we characterized 57,979 cells from healthy mouse kidneys by using unbiased single-cell RNA sequencing. On the basis of gene expression patterns, we infer that inherited kidney diseases that arise from distinct genetic mutations but share the same phenotypic manifestation originate from the same differentiated cell type. We also found that the collecting duct in kidneys of adult mice generates a spectrum of cell types through a newly identified transitional cell. Computational cell trajectory analysis and in vivo lineage tracing revealed that intercalated cells and principal cells undergo transitions mediated by the Notch signaling pathway. In mouse and human kidney disease, these transitions were shifted toward a principal cell fate and were associated with metabolic acidosis.","author":[{"dropping-particle":"","family":"Park","given":"Jihwan","non-dropping-particle":"","parse-names":false,"suffix":""},{"dropping-particle":"","family":"Shrestha","given":"Rojesh","non-dropping-particle":"","parse-names":false,"suffix":""},{"dropping-particle":"","family":"Qiu","given":"Chengxiang","non-dropping-particle":"","parse-names":false,"suffix":""},{"dropping-particle":"","family":"Kondo","given":"Ayano","non-dropping-particle":"","parse-names":false,"suffix":""},{"dropping-particle":"","family":"Huang","given":"Shizheng","non-dropping-particle":"","parse-names":false,"suffix":""},{"dropping-particle":"","family":"Werth","given":"Max","non-dropping-particle":"","parse-names":false,"suffix":""},{"dropping-particle":"","family":"Li","given":"Mingyao","non-dropping-particle":"","parse-names":false,"suffix":""},{"dropping-particle":"","family":"Barasch","given":"Jonathan","non-dropping-particle":"","parse-names":false,"suffix":""},{"dropping-particle":"","family":"Suszták","given":"Katalin","non-dropping-particle":"","parse-names":false,"suffix":""}],"container-title":"Science","id":"ITEM-1","issue":"6390","issued":{"date-parts":[["20</w:instrText>
      </w:r>
      <w:r w:rsidR="000E64E0">
        <w:rPr>
          <w:rFonts w:hint="eastAsia"/>
        </w:rPr>
        <w:instrText>18"]]},"note":"</w:instrText>
      </w:r>
      <w:r w:rsidR="000E64E0">
        <w:rPr>
          <w:rFonts w:hint="eastAsia"/>
        </w:rPr>
        <w:instrText>沈老师给的文章，查找</w:instrText>
      </w:r>
      <w:r w:rsidR="000E64E0">
        <w:rPr>
          <w:rFonts w:hint="eastAsia"/>
        </w:rPr>
        <w:instrText>kidney epthelial cell high expressed ligand gene\n\nfor processing data from SRP125999 and GSE107585\n\nnorm1\nSRR6337197 \nSRR6337198 \nSRR6337200 \nSRR6337199\nSRR6337204\nSRR6337203\nSRR6337202\nSRR6337201\n\nnorm2\nSRR6337205\</w:instrText>
      </w:r>
      <w:r w:rsidR="000E64E0">
        <w:instrText>nSRR6337206\nSRR6337207\nSRR6337208\nSRR6337209\nSRR6337210\nSRR6337211\nSRR6337212\n\nnorm3\nSRR6337213\nSRR6337214\nSRR6337215\nSRR6337216\nSRR6337217\nSRR6337218\nSRR6337219\nSRR6337220\n\nnorm4\nSRR6337221\nSRR6337222\nSRR6337223\nSRR6337224\nSRR6337225\nSRR6337226\nSRR6337227\nSRR6337228\n\nKsp-cre-GFP\nSRR6337229\n\nscl-cre-GFP\nSRR6337230\n\nPod-cre-GFP\nSRR6337231","page":"758-763","title":"Single-cell transcriptomics of the mouse kidney reveals potential cellular targets of kidney disease","type":"article-journal","volume":"360"},"uris":["http://www.mendeley.com/documents/?uuid=9aa90d53-b849-4972-acbe-cf34e34d39e5"]}],"mendeley":{"formattedCitation":"[5]","plainTextFormattedCitation":"[5]","previouslyFormattedCitation":"[5]"},"properties":{"noteIndex":0},"schema":"https://github.com/citation-style-language/schema/raw/master/csl-citation.json"}</w:instrText>
      </w:r>
      <w:r w:rsidR="000E64E0">
        <w:fldChar w:fldCharType="separate"/>
      </w:r>
      <w:r w:rsidR="000E64E0" w:rsidRPr="000E64E0">
        <w:rPr>
          <w:b w:val="0"/>
          <w:noProof/>
        </w:rPr>
        <w:t>[5]</w:t>
      </w:r>
      <w:r w:rsidR="000E64E0">
        <w:fldChar w:fldCharType="end"/>
      </w:r>
      <w:r w:rsidR="000E64E0">
        <w:fldChar w:fldCharType="begin" w:fldLock="1"/>
      </w:r>
      <w:r w:rsidR="000E64E0">
        <w:instrText>ADDIN CSL_CITATION {"citationItems":[{"id":"ITEM-1","itemData":{"DOI":"10.1016/j.ccell.2021.03.007","ISSN":"15356108","abstract":"Graphical abstract Highlights d Single-cell RNA-seq reveals the architecture of the ccRCC immune microenvironment d Multiregional immune phenotypes integrated with bulk RNA-seq and tumor pathology d TCR usage varies by phenotype and defines T cell differentiation trajectories d Signatures of tissue-resident T cells and TAMs predict clinical outcome","author":[{"dropping-particle":"","family":"Krishna","given":"Chirag","non-dropping-particle":"","parse-names":false,"suffix":""},{"dropping-particle":"","family":"DiNatale","given":"Renzo G.","non-dropping-particle":"","parse-names":false,"suffix":""},{"dropping-particle":"","family":"Kuo","given":"Fengshen","non-dropping-particle":"","parse-names":false,"suffix":""},{"dropping-particle":"","family":"Srivastava","given":"Raghvendra M.","non-dropping-particle":"","parse-names":false,"suffix":""},{"dropping-particle":"","family":"Vuong","given":"Lynda","non-dropping-particle":"","parse-names":false,"suffix":""},{"dropping-particle":"","family":"Chowell","given":"Diego","non-dropping-particle":"","parse-names":false,"suffix":""},{"dropping-particle":"","family":"Gupta","given":"Sounak","non-dropping-particle":"","parse-names":false,"suffix":""},{"dropping-particle":"","family":"Vanderbilt","given":"Chad","non-dropping-particle":"","parse-names":false,"suffix":""},{"dropping-particle":"","family":"Purohit","given":"Tanaya A.","non-dropping-particle":"","parse-names":false,"suffix":""},{"dropping-particle":"","family":"Liu","given":"Ming","non-dropping-particle":"","parse-names":false,"suffix":""},{"dropping-particle":"","family":"Kansler","given":"Emily","non-dropping-particle":"","parse-names":false,"suffix":""},{"dropping-particle":"","family":"Nixon","given":"Briana G.","non-dropping-particle":"","parse-names":false,"suffix":""},{"dropping-particle":"","family":"Chen","given":"Ying-Bei","non-dropping-particle":"","parse-names":false,"suffix":""},{"dropping-particle":"","family":"Makarov","given":"Vladimir","non-dropping-particle":"","parse-names":false,"suffix":""},{"dropping-particle":"","family":"Blum","given":"Kyle A.","non-dropping-particle":"","parse-names":false,"suffix":""},{"dropping-particle":"","family":"Attalla","given":"Kyrollis","non-dropping-particle":"","parse-names":false,"suffix":""},{"dropping-particle":"","family":"Weng","given":"Stanley","non-dropping-particle":"","parse-names":false,"suffix":""},{"dropping-particle":"","family":"Salmans","given":"Michael L.","non-dropping-particle":"","parse-names":false,"suffix":""},{"dropping-particle":"","family":"Golkaram","given":"Mahdi","non-dropping-particle":"","parse-names":false,"suffix":""},{"dropping-particle":"","family":"Liu","given":"Li","non-dropping-particle":"","parse-names":false,"suffix":""},{"dropping-particle":"","family":"Zhang","given":"Shile","non-dropping-particle":"","parse-names":false,"suffix":""},{"dropping-particle":"","family":"Vijayaraghavan","given":"Raakhee","non-dropping-particle":"","parse-names":false,"suffix":""},{"dropping-particle":"","family":"Pawlowski","given":"Traci","non-dropping-particle":"","parse-names":false,"suffix":""},{"dropping-particle":"","family":"Reuter","given":"Victor","non-dropping-particle":"","parse-names":false,"suffix":""},{"dropping-particle":"","family":"Carlo","given":"Maria I.","non-dropping-particle":"","parse-names":false,"suffix":""},{"dropping-particle":"","family":"Voss","given":"Martin H.","non-dropping-particle":"","parse-names":false,"suffix":""},{"dropping-particle":"","family":"Coleman","given":"Jonathan","non-dropping-particle":"","parse-names":false,"suffix":""},{"dropping-particle":"","family":"Russo","given":"Paul","non-dropping-particle":"","parse-names":false,"suffix":""},{"dropping-particle":"","family":"Motzer","given":"Robert J.","non-dropping-particle":"","parse-names":false,"suffix":""},{"dropping-particle":"","family":"Li","given":"Ming O.","non-dropping-particle":"","parse-names":false,"suffix":""},{"dropping-particle":"","family":"Leslie","given":"Christina S.","non-dropping-particle":"","parse-names":false,"suffix":""},{"dropping-particle":"","family":"Chan","given":"Timothy A.","non-dropping-particle":"","parse-names":false,"suffix":""},{"dropping-particle":"","family":"Hakimi","given":"A. Ari","non-dropping-particle":"","parse-names":false,"suffix":""}],"container-title":"Cancer Cell","id":"ITEM-1","issued":{"date-parts":[["2021"]]},"page":"1-16","publisher":"Elsevier Inc.","title":"Single-cell sequencing links multiregional immune landscapes and tissue-resident T cells in ccRCC to tumor topology and therapy efficacy","type":"article-journal"},"uris":["http://www.mendeley.com/documents/?uuid=877408f0-868a-4f5b-9b34-08b95e7ad9e3"]}],"mendeley":{"formattedCitation":"[6]","plainTextFormattedCitation":"[6]","previouslyFormattedCitation":"[6]"},"properties":{"noteIndex":0},"schema":"https://github.com/citation-style-language/schema/raw/master/csl-citation.json"}</w:instrText>
      </w:r>
      <w:r w:rsidR="000E64E0">
        <w:fldChar w:fldCharType="separate"/>
      </w:r>
      <w:r w:rsidR="000E64E0" w:rsidRPr="000E64E0">
        <w:rPr>
          <w:b w:val="0"/>
          <w:noProof/>
        </w:rPr>
        <w:t>[6]</w:t>
      </w:r>
      <w:r w:rsidR="000E64E0">
        <w:fldChar w:fldCharType="end"/>
      </w:r>
      <w:r w:rsidR="000E64E0">
        <w:fldChar w:fldCharType="begin" w:fldLock="1"/>
      </w:r>
      <w:r w:rsidR="000E64E0">
        <w:instrText>ADDIN CSL_CITATION {"citationItems":[{"id":"ITEM-1","itemData":{"DOI":"10.1126/science.aat1699","ISSN":"10959203","PMID":"30093597","abstract":"Messenger RNA encodes cellular function and phenotype. In the context of human cancer, it defines the identities of malignant cells and the diversity of tumor tissue. We studied 72,501 single-cell transcriptomes of human renal tumors and normal tissue from fetal, pediatric, and adult kidneys.We matched childhood Wilms tumor with specific fetal cell types, thus providing evidence for the hypothesis that Wilms tumor cells are aberrant fetal cells. In adult renal cell carcinoma, we identified a canonical cancer transcriptome that matched a little-known subtype of proximal convoluted tubular cell. Analyses of the tumor composition defined cancer-associated normal cells and delineated a complex vascular endothelial growth factor (VEGF) signaling circuit. Our findings reveal the precise cellular identities and compositions of human kidney tumors.","author":[{"dropping-particle":"","family":"Young","given":"Matthew D.","non-dropping-particle":"","parse-names":false,"suffix":""},{"dropping-particle":"","family":"Mitchell","given":"Thomas J.","non-dropping-particle":"","parse-names":false,"suffix":""},{"dropping-particle":"","family":"Vieira Braga","given":"Felipe A.","non-dropping-particle":"","parse-names":false,"suffix":""},{"dropping-particle":"","family":"Tran","given":"Maxine G.B.","non-dropping-particle":"","parse-names":false,"suffix":""},{"dropping-particle":"","family":"Stewart","given":"Benjamin J.","non-dropping-particle":"","parse-names":false,"suffix":""},{"dropping-particle":"","family":"Ferdinand","given":"John R.","non-dropping-particle":"","parse-names":false,"suffix":""},{"dropping-particle":"","family":"Collord","given":"Grace","non-dropping-particle":"","parse-names":false,"suffix":""},{"dropping-particle":"","family":"Botting","given":"Rachel A.","non-dropping-particle":"","parse-names":false,"suffix":""},{"dropping-particle":"","family":"Popescu","given":"Dorin Mirel","non-dropping-particle":"","parse-names":false,"suffix":""},{"dropping-particle":"","family":"Loudon","given":"Kevin W.","non-dropping-particle":"","parse-names":false,"suffix":""},{"dropping-particle":"","family":"Vento-Tormo","given":"Roser","non-dropping-particle":"","parse-names":false,"suffix":""},{"dropping-particle":"","family":"Stephenson","given":"Emily","non-dropping-particle":"","parse-names":false,"suffix":""},{"dropping-particle":"","family":"Cagan","given":"Alex","non-dropping-particle":"","parse-names":false,"suffix":""},{"dropping-particle":"","family":"Farndon","given":"Sarah J.","non-dropping-particle":"","parse-names":false,"suffix":""},{"dropping-particle":"","family":"Velasco-Herrera","given":"Martin Del Castillo","non-dropping-particle":"","parse-names":false,"suffix":""},{"dropping-particle":"","family":"Guzzo","given":"Charlotte","non-dropping-particle":"","parse-names":false,"suffix":""},{"dropping-particle":"","family":"Richoz","given":"Nathan","non-dropping-particle":"","parse-names":false,"suffix":""},{"dropping-particle":"","family":"Mamanova","given":"Lira","non-dropping-particle":"","parse-names":false,"suffix":""},{"dropping-particle":"","family":"Aho","given":"Tevita","non-dropping-particle":"","parse-names":false,"suffix":""},{"dropping-particle":"","family":"Armitage","given":"James N.","non-dropping-particle":"","parse-names":false,"suffix":""},{"dropping-particle":"","family":"Riddick","given":"Antony C.P.","non-dropping-particle":"","parse-names":false,"suffix":""},{"dropping-particle":"","family":"Mushtaq","given":"Imran","non-dropping-particle":"","parse-names":false,"suffix":""},{"dropping-particle":"","family":"Farrell","given":"Stephen","non-dropping-particle":"","parse-names":false,"suffix":""},{"dropping-particle":"","family":"Rampling","given":"Dyanne","non-dropping-particle":"","parse-names":false,"suffix":""},{"dropping-particle":"","family":"Nicholson","given":"James","non-dropping-particle":"","parse-names":false,"suffix":""},{"dropping-particle":"","family":"Filby","given":"Andrew","non-dropping-particle":"","parse-names":false,"suffix":""},{"dropping-particle":"","family":"Burge","given":"Johanna","non-dropping-particle":"","parse-names":false,"suffix":""},{"dropping-particle":"","family":"Lisgo","given":"Steven","non-dropping-particle":"","parse-names":false,"suffix":""},{"dropping-particle":"","family":"Maxwell","given":"Patrick H.","non-dropping-particle":"","parse-names":false,"suffix":""},{"dropping-particle":"","family":"Lindsay","given":"Susan","non-dropping-particle":"","parse-names":false,"suffix":""},{"dropping-particle":"","family":"Warren","given":"Anne Y.","non-dropping-particle":"","parse-names":false,"suffix":""},{"dropping-particle":"","family":"Stewart","given":"Grant D.","non-dropping-particle":"","parse-names":false,"suffix":""},{"dropping-particle":"","family":"Sebire","given":"Neil","non-dropping-particle":"","parse-names":false,"suffix":""},{"dropping-particle":"","family":"Coleman","given":"Nicholas","non-dropping-particle":"","parse-names":false,"suffix":""},{"dropping-particle":"","family":"Haniffa","given":"Muzlifah","non-dropping-particle":"","parse-names":false,"suffix":""},{"dropping-particle":"","family":"Teichmann","given":"Sarah A.","non-dropping-particle":"","parse-names":false,"suffix":""},{"dropping-particle":"","family":"Clatworthy","given":"Menna","non-dropping-particle":"","parse-names":false,"suffix":""},{"dropping-particle":"","family":"Behjati","given":"Sam","non-dropping-particle":"","parse-names":false,"suffix":""}],"container-title":"Science","id":"ITEM-1","issue":"6402","issued":{"date-parts":[["2018"]]},"page":"594-599","title":"Single-cell transcriptomes from human kidneys reveal the cellular identity of renal tumors","type":"article-journal","volume":"361"},"uris":["http://www.mendeley.com/documents/?uuid=30b07e37-712c-4ade-bd16-a449396628ce"]}],"mendeley":{"formattedCitation":"[7]","plainTextFormattedCitation":"[7]"},"properties":{"noteIndex":0},"schema":"https://github.com/citation-style-language/schema/raw/master/csl-citation.json"}</w:instrText>
      </w:r>
      <w:r w:rsidR="000E64E0">
        <w:fldChar w:fldCharType="separate"/>
      </w:r>
      <w:r w:rsidR="000E64E0" w:rsidRPr="000E64E0">
        <w:rPr>
          <w:b w:val="0"/>
          <w:noProof/>
        </w:rPr>
        <w:t>[7]</w:t>
      </w:r>
      <w:r w:rsidR="000E64E0">
        <w:fldChar w:fldCharType="end"/>
      </w:r>
      <w:r w:rsidR="00D2436B">
        <w:rPr>
          <w:rFonts w:hint="eastAsia"/>
        </w:rPr>
        <w:t>。</w:t>
      </w:r>
      <w:r w:rsidR="009D2C63">
        <w:rPr>
          <w:rFonts w:hint="eastAsia"/>
        </w:rPr>
        <w:t>因此研究巨噬细胞对肿瘤进展的影响对于肾脏肿瘤的治疗和预防</w:t>
      </w:r>
      <w:r w:rsidR="004524F1">
        <w:rPr>
          <w:rFonts w:hint="eastAsia"/>
        </w:rPr>
        <w:t>都</w:t>
      </w:r>
      <w:r w:rsidR="009D2C63">
        <w:rPr>
          <w:rFonts w:hint="eastAsia"/>
        </w:rPr>
        <w:t>具有非常重要的意义</w:t>
      </w:r>
      <w:r w:rsidR="00BF4DCA">
        <w:rPr>
          <w:rFonts w:hint="eastAsia"/>
        </w:rPr>
        <w:t>。</w:t>
      </w:r>
    </w:p>
    <w:p w14:paraId="18E19C3B" w14:textId="0AA7DC1A" w:rsidR="00A03FC3" w:rsidRDefault="00A44306" w:rsidP="00A44306">
      <w:pPr>
        <w:pStyle w:val="aa"/>
      </w:pPr>
      <w:r w:rsidRPr="00A44306">
        <w:rPr>
          <w:rFonts w:hint="eastAsia"/>
          <w:b w:val="0"/>
          <w:bCs w:val="0"/>
        </w:rPr>
        <w:t>1.</w:t>
      </w:r>
      <w:r>
        <w:rPr>
          <w:rFonts w:hint="eastAsia"/>
        </w:rPr>
        <w:t xml:space="preserve">1 </w:t>
      </w:r>
      <w:r w:rsidR="00C30CAC" w:rsidRPr="00601BC9">
        <w:rPr>
          <w:rFonts w:hint="eastAsia"/>
        </w:rPr>
        <w:t>背景介绍（节的标题、四号仿宋</w:t>
      </w:r>
      <w:r w:rsidR="00C30CAC">
        <w:rPr>
          <w:rFonts w:hint="eastAsia"/>
        </w:rPr>
        <w:t>加粗</w:t>
      </w:r>
      <w:r w:rsidR="00C30CAC" w:rsidRPr="00601BC9">
        <w:rPr>
          <w:rFonts w:hint="eastAsia"/>
        </w:rPr>
        <w:t>）</w:t>
      </w:r>
    </w:p>
    <w:p w14:paraId="0A79281D" w14:textId="3478C9C7" w:rsidR="004B1598" w:rsidRPr="00601BC9" w:rsidRDefault="004B1598" w:rsidP="00A44306">
      <w:pPr>
        <w:pStyle w:val="aa"/>
        <w:rPr>
          <w:rFonts w:hint="eastAsia"/>
        </w:rPr>
      </w:pPr>
      <w:r>
        <w:rPr>
          <w:rFonts w:hint="eastAsia"/>
        </w:rPr>
        <w:lastRenderedPageBreak/>
        <w:t>脊椎动物的肾脏是蚕豆形状成对出现的器官，它的主要功能就是过滤掉体内代谢废物，这些功能是以肾小球为单位完成的。每个成年人大约有</w:t>
      </w:r>
      <w:r>
        <w:rPr>
          <w:rFonts w:hint="eastAsia"/>
        </w:rPr>
        <w:t>1</w:t>
      </w:r>
      <w:r>
        <w:t>00</w:t>
      </w:r>
      <w:r>
        <w:rPr>
          <w:rFonts w:hint="eastAsia"/>
        </w:rPr>
        <w:t>万个肾单位，每个成年小鼠大约有</w:t>
      </w:r>
      <w:r>
        <w:rPr>
          <w:rFonts w:hint="eastAsia"/>
        </w:rPr>
        <w:t>1</w:t>
      </w:r>
      <w:r>
        <w:t>2500</w:t>
      </w:r>
      <w:r>
        <w:rPr>
          <w:rFonts w:hint="eastAsia"/>
        </w:rPr>
        <w:t>个肾单位。除了过滤掉体内代谢废物，肾小球同时也参与维持体液的渗透压，酸碱平衡，以及一些电解质的浓度。另外肾脏还会分泌红细胞生成素，肾素和钙三醇。在缺氧的情况下肾脏释放的红细胞生成素会促进骨髓产生红细胞。肾素是一种酶可以调节血管紧张素和醛固酮的水平，进而调节血压。钙三醇可以促进肠道吸收钙和肾小管重吸收磷酸。</w:t>
      </w:r>
    </w:p>
    <w:p w14:paraId="7F486BCF" w14:textId="77777777" w:rsidR="00C30CAC" w:rsidRPr="00E46DDC" w:rsidRDefault="00C30CAC" w:rsidP="00C30CAC">
      <w:pPr>
        <w:pStyle w:val="ab"/>
      </w:pPr>
      <w:r w:rsidRPr="00E46DDC">
        <w:t>1.1.1</w:t>
      </w:r>
      <w:r w:rsidRPr="00E46DDC">
        <w:rPr>
          <w:rFonts w:hint="eastAsia"/>
        </w:rPr>
        <w:t xml:space="preserve"> </w:t>
      </w:r>
      <w:r w:rsidRPr="00E46DDC">
        <w:rPr>
          <w:rFonts w:hint="eastAsia"/>
        </w:rPr>
        <w:t>三级标题（顶格、小四号仿宋</w:t>
      </w:r>
      <w:r>
        <w:rPr>
          <w:rFonts w:hint="eastAsia"/>
        </w:rPr>
        <w:t>加粗</w:t>
      </w:r>
      <w:r w:rsidRPr="00E46DDC">
        <w:rPr>
          <w:rFonts w:hint="eastAsia"/>
        </w:rPr>
        <w:t>）</w:t>
      </w:r>
    </w:p>
    <w:p w14:paraId="185CDB43" w14:textId="77777777" w:rsidR="00C30CAC" w:rsidRPr="00C23297" w:rsidRDefault="00C30CAC" w:rsidP="00C30CAC">
      <w:pPr>
        <w:pStyle w:val="21"/>
        <w:rPr>
          <w:rFonts w:hint="eastAsia"/>
        </w:rPr>
      </w:pPr>
      <w:r w:rsidRPr="00601BC9">
        <w:t>正文</w:t>
      </w:r>
    </w:p>
    <w:p w14:paraId="3D5464F1" w14:textId="77777777" w:rsidR="00C30CAC" w:rsidRPr="004E62C8" w:rsidRDefault="00C30CAC" w:rsidP="00C30CAC">
      <w:pPr>
        <w:pStyle w:val="aa"/>
      </w:pPr>
      <w:r w:rsidRPr="00E82CFC">
        <w:t>1.2</w:t>
      </w:r>
      <w:r>
        <w:rPr>
          <w:rFonts w:hint="eastAsia"/>
        </w:rPr>
        <w:t xml:space="preserve"> </w:t>
      </w:r>
      <w:r>
        <w:rPr>
          <w:rFonts w:hint="eastAsia"/>
        </w:rPr>
        <w:t>研究</w:t>
      </w:r>
      <w:bookmarkStart w:id="1" w:name="_GoBack"/>
      <w:bookmarkEnd w:id="1"/>
      <w:r w:rsidRPr="000F671D">
        <w:rPr>
          <w:rFonts w:hint="eastAsia"/>
        </w:rPr>
        <w:t>目的</w:t>
      </w:r>
    </w:p>
    <w:p w14:paraId="69B155F4" w14:textId="77777777" w:rsidR="00C30CAC" w:rsidRPr="000F671D" w:rsidRDefault="00C30CAC" w:rsidP="00C30CAC">
      <w:pPr>
        <w:pStyle w:val="a9"/>
      </w:pPr>
      <w:r w:rsidRPr="000F671D">
        <w:rPr>
          <w:rFonts w:hint="eastAsia"/>
        </w:rPr>
        <w:t>2</w:t>
      </w:r>
      <w:r>
        <w:rPr>
          <w:rFonts w:hint="eastAsia"/>
        </w:rPr>
        <w:t>研究</w:t>
      </w:r>
      <w:r w:rsidRPr="000F671D">
        <w:rPr>
          <w:rFonts w:hint="eastAsia"/>
        </w:rPr>
        <w:t>内容和技术路线</w:t>
      </w:r>
    </w:p>
    <w:p w14:paraId="533B5AC4" w14:textId="77777777" w:rsidR="00C30CAC" w:rsidRPr="000F671D" w:rsidRDefault="00C30CAC" w:rsidP="00C30CAC">
      <w:pPr>
        <w:pStyle w:val="aa"/>
      </w:pPr>
      <w:r w:rsidRPr="00E82CFC">
        <w:t>2.1</w:t>
      </w:r>
      <w:r>
        <w:rPr>
          <w:rFonts w:hint="eastAsia"/>
        </w:rPr>
        <w:t xml:space="preserve"> </w:t>
      </w:r>
      <w:r w:rsidRPr="000F671D">
        <w:rPr>
          <w:rFonts w:hint="eastAsia"/>
        </w:rPr>
        <w:t>研究内容</w:t>
      </w:r>
    </w:p>
    <w:p w14:paraId="2715E4FA" w14:textId="77777777" w:rsidR="00C30CAC" w:rsidRPr="0069168A" w:rsidRDefault="00C30CAC" w:rsidP="00C30CAC">
      <w:pPr>
        <w:pStyle w:val="aa"/>
      </w:pPr>
      <w:r w:rsidRPr="00E82CFC">
        <w:t>2</w:t>
      </w:r>
      <w:r w:rsidRPr="0069168A">
        <w:t xml:space="preserve">.2 </w:t>
      </w:r>
      <w:r w:rsidRPr="0069168A">
        <w:t>技术路线</w:t>
      </w:r>
    </w:p>
    <w:p w14:paraId="0DFE0126" w14:textId="77777777" w:rsidR="00C30CAC" w:rsidRDefault="00C30CAC" w:rsidP="00C30CAC">
      <w:pPr>
        <w:pStyle w:val="aa"/>
      </w:pPr>
      <w:r w:rsidRPr="0069168A">
        <w:t xml:space="preserve">2.3 </w:t>
      </w:r>
      <w:r w:rsidRPr="0069168A">
        <w:t>可行性分析</w:t>
      </w:r>
    </w:p>
    <w:p w14:paraId="647EB65D" w14:textId="77777777" w:rsidR="00C30CAC" w:rsidRPr="0069168A" w:rsidRDefault="00C30CAC" w:rsidP="00C30CAC">
      <w:pPr>
        <w:pStyle w:val="ac"/>
      </w:pPr>
    </w:p>
    <w:p w14:paraId="6C270A63" w14:textId="77777777" w:rsidR="00C30CAC" w:rsidRPr="000F671D" w:rsidRDefault="00C30CAC" w:rsidP="00C30CAC">
      <w:pPr>
        <w:pStyle w:val="a9"/>
      </w:pPr>
      <w:r w:rsidRPr="0069168A">
        <w:lastRenderedPageBreak/>
        <w:t xml:space="preserve">3 </w:t>
      </w:r>
      <w:r w:rsidRPr="0069168A">
        <w:t>计</w:t>
      </w:r>
      <w:r w:rsidRPr="000F671D">
        <w:rPr>
          <w:rFonts w:hint="eastAsia"/>
        </w:rPr>
        <w:t>划进度安排及预期目标</w:t>
      </w:r>
    </w:p>
    <w:p w14:paraId="30C67ACA" w14:textId="77777777" w:rsidR="00C30CAC" w:rsidRPr="000F671D" w:rsidRDefault="00C30CAC" w:rsidP="00C30CAC">
      <w:pPr>
        <w:pStyle w:val="aa"/>
      </w:pPr>
      <w:r w:rsidRPr="00E82CFC">
        <w:t>3.1</w:t>
      </w:r>
      <w:r>
        <w:rPr>
          <w:rFonts w:hint="eastAsia"/>
        </w:rPr>
        <w:t xml:space="preserve"> </w:t>
      </w:r>
      <w:r w:rsidRPr="000F671D">
        <w:rPr>
          <w:rFonts w:hint="eastAsia"/>
        </w:rPr>
        <w:t>进度安排</w:t>
      </w:r>
    </w:p>
    <w:p w14:paraId="496176EB" w14:textId="77777777" w:rsidR="00C30CAC" w:rsidRPr="000F671D" w:rsidRDefault="00C30CAC" w:rsidP="00C30CAC">
      <w:pPr>
        <w:pStyle w:val="aa"/>
      </w:pPr>
      <w:r w:rsidRPr="00E82CFC">
        <w:t>3.2</w:t>
      </w:r>
      <w:r>
        <w:rPr>
          <w:rFonts w:hint="eastAsia"/>
        </w:rPr>
        <w:t xml:space="preserve"> </w:t>
      </w:r>
      <w:r w:rsidRPr="000F671D">
        <w:rPr>
          <w:rFonts w:hint="eastAsia"/>
        </w:rPr>
        <w:t>预期目标</w:t>
      </w:r>
    </w:p>
    <w:p w14:paraId="0C836CA9" w14:textId="3B1BDF8D" w:rsidR="001B7215" w:rsidRDefault="00C30CAC" w:rsidP="00C30CAC">
      <w:pPr>
        <w:outlineLvl w:val="1"/>
      </w:pPr>
      <w:r w:rsidRPr="000F671D">
        <w:rPr>
          <w:rFonts w:hint="eastAsia"/>
        </w:rPr>
        <w:t>参</w:t>
      </w:r>
      <w:r>
        <w:rPr>
          <w:rFonts w:hint="eastAsia"/>
        </w:rPr>
        <w:t>考文献</w:t>
      </w:r>
      <w:r w:rsidRPr="00FD7EB5">
        <w:t>（四号仿宋</w:t>
      </w:r>
      <w:r>
        <w:t>加粗</w:t>
      </w:r>
      <w:r w:rsidRPr="00FD7EB5">
        <w:t>）</w:t>
      </w:r>
      <w:bookmarkEnd w:id="0"/>
    </w:p>
    <w:sectPr w:rsidR="001B72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F3948" w14:textId="77777777" w:rsidR="00423361" w:rsidRDefault="00423361" w:rsidP="00C30CAC">
      <w:pPr>
        <w:spacing w:line="240" w:lineRule="auto"/>
      </w:pPr>
      <w:r>
        <w:separator/>
      </w:r>
    </w:p>
  </w:endnote>
  <w:endnote w:type="continuationSeparator" w:id="0">
    <w:p w14:paraId="7323947B" w14:textId="77777777" w:rsidR="00423361" w:rsidRDefault="00423361" w:rsidP="00C30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2DBB9E" w14:textId="77777777" w:rsidR="00423361" w:rsidRDefault="00423361" w:rsidP="00C30CAC">
      <w:pPr>
        <w:spacing w:line="240" w:lineRule="auto"/>
      </w:pPr>
      <w:r>
        <w:separator/>
      </w:r>
    </w:p>
  </w:footnote>
  <w:footnote w:type="continuationSeparator" w:id="0">
    <w:p w14:paraId="58B7CFB1" w14:textId="77777777" w:rsidR="00423361" w:rsidRDefault="00423361" w:rsidP="00C30C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F23D2"/>
    <w:multiLevelType w:val="multilevel"/>
    <w:tmpl w:val="D59E8814"/>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C57"/>
    <w:rsid w:val="00001332"/>
    <w:rsid w:val="00014230"/>
    <w:rsid w:val="0002219A"/>
    <w:rsid w:val="000407EF"/>
    <w:rsid w:val="000A33C8"/>
    <w:rsid w:val="000B05B4"/>
    <w:rsid w:val="000E64E0"/>
    <w:rsid w:val="0010166B"/>
    <w:rsid w:val="001107BB"/>
    <w:rsid w:val="00124BDC"/>
    <w:rsid w:val="00125A20"/>
    <w:rsid w:val="0013343E"/>
    <w:rsid w:val="00141AF7"/>
    <w:rsid w:val="00162180"/>
    <w:rsid w:val="00166EBE"/>
    <w:rsid w:val="0017295A"/>
    <w:rsid w:val="001A5E6F"/>
    <w:rsid w:val="001B7215"/>
    <w:rsid w:val="00203382"/>
    <w:rsid w:val="002375AB"/>
    <w:rsid w:val="00274FB1"/>
    <w:rsid w:val="002E4C5E"/>
    <w:rsid w:val="00320543"/>
    <w:rsid w:val="00324F86"/>
    <w:rsid w:val="003359D0"/>
    <w:rsid w:val="00341D3E"/>
    <w:rsid w:val="0036717A"/>
    <w:rsid w:val="003D3059"/>
    <w:rsid w:val="00422249"/>
    <w:rsid w:val="00423361"/>
    <w:rsid w:val="004303C5"/>
    <w:rsid w:val="004524F1"/>
    <w:rsid w:val="004B1598"/>
    <w:rsid w:val="004D3349"/>
    <w:rsid w:val="00506C14"/>
    <w:rsid w:val="00525464"/>
    <w:rsid w:val="00527B54"/>
    <w:rsid w:val="0055522D"/>
    <w:rsid w:val="005937D9"/>
    <w:rsid w:val="00595FFA"/>
    <w:rsid w:val="00596E8C"/>
    <w:rsid w:val="005F101A"/>
    <w:rsid w:val="00615886"/>
    <w:rsid w:val="0061712B"/>
    <w:rsid w:val="00635CED"/>
    <w:rsid w:val="00652DA3"/>
    <w:rsid w:val="006A5780"/>
    <w:rsid w:val="006B568D"/>
    <w:rsid w:val="006D10E4"/>
    <w:rsid w:val="006E2577"/>
    <w:rsid w:val="00760ABA"/>
    <w:rsid w:val="00765C8B"/>
    <w:rsid w:val="0076610F"/>
    <w:rsid w:val="007913C0"/>
    <w:rsid w:val="007A1DF6"/>
    <w:rsid w:val="007C6C82"/>
    <w:rsid w:val="007E2C57"/>
    <w:rsid w:val="008056F3"/>
    <w:rsid w:val="0082731E"/>
    <w:rsid w:val="00864B0B"/>
    <w:rsid w:val="00872706"/>
    <w:rsid w:val="00873C9D"/>
    <w:rsid w:val="00877522"/>
    <w:rsid w:val="00907166"/>
    <w:rsid w:val="00921D0C"/>
    <w:rsid w:val="009510D0"/>
    <w:rsid w:val="009D2C63"/>
    <w:rsid w:val="009F2F8C"/>
    <w:rsid w:val="009F3686"/>
    <w:rsid w:val="00A03FC3"/>
    <w:rsid w:val="00A44306"/>
    <w:rsid w:val="00A73D7F"/>
    <w:rsid w:val="00A926B4"/>
    <w:rsid w:val="00AC1FCE"/>
    <w:rsid w:val="00AC533D"/>
    <w:rsid w:val="00B4525F"/>
    <w:rsid w:val="00B762E7"/>
    <w:rsid w:val="00BA6CEA"/>
    <w:rsid w:val="00BE698F"/>
    <w:rsid w:val="00BF2EC7"/>
    <w:rsid w:val="00BF4DCA"/>
    <w:rsid w:val="00C23297"/>
    <w:rsid w:val="00C269FF"/>
    <w:rsid w:val="00C30CAC"/>
    <w:rsid w:val="00C41B0C"/>
    <w:rsid w:val="00C438B1"/>
    <w:rsid w:val="00C51F47"/>
    <w:rsid w:val="00C74940"/>
    <w:rsid w:val="00CA07DA"/>
    <w:rsid w:val="00D02F76"/>
    <w:rsid w:val="00D2436B"/>
    <w:rsid w:val="00D4195E"/>
    <w:rsid w:val="00D41B2A"/>
    <w:rsid w:val="00D7692F"/>
    <w:rsid w:val="00DD17DA"/>
    <w:rsid w:val="00DE087D"/>
    <w:rsid w:val="00DE2D0F"/>
    <w:rsid w:val="00DE6D6C"/>
    <w:rsid w:val="00E317A7"/>
    <w:rsid w:val="00E80974"/>
    <w:rsid w:val="00E81E42"/>
    <w:rsid w:val="00E90277"/>
    <w:rsid w:val="00EB063D"/>
    <w:rsid w:val="00EB0C57"/>
    <w:rsid w:val="00EC6856"/>
    <w:rsid w:val="00ED2FE8"/>
    <w:rsid w:val="00F30288"/>
    <w:rsid w:val="00F87897"/>
    <w:rsid w:val="00FA4DED"/>
    <w:rsid w:val="00FB2406"/>
    <w:rsid w:val="00FB2D3B"/>
    <w:rsid w:val="00FE7327"/>
    <w:rsid w:val="00FF6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8C31DC"/>
  <w15:chartTrackingRefBased/>
  <w15:docId w15:val="{6C66B499-81B5-4FD6-8430-4DCFFFA3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30CAC"/>
    <w:pPr>
      <w:widowControl w:val="0"/>
      <w:spacing w:line="360" w:lineRule="auto"/>
      <w:jc w:val="both"/>
    </w:pPr>
    <w:rPr>
      <w:rFonts w:ascii="Times New Roman" w:eastAsia="宋体" w:hAnsi="Times New Roman" w:cs="Times New Roman"/>
      <w:szCs w:val="24"/>
    </w:rPr>
  </w:style>
  <w:style w:type="paragraph" w:styleId="1">
    <w:name w:val="heading 1"/>
    <w:basedOn w:val="a"/>
    <w:next w:val="a"/>
    <w:link w:val="11"/>
    <w:uiPriority w:val="9"/>
    <w:qFormat/>
    <w:rsid w:val="00C30CAC"/>
    <w:pPr>
      <w:keepNext/>
      <w:keepLines/>
      <w:spacing w:before="340" w:after="330" w:line="578" w:lineRule="auto"/>
      <w:jc w:val="center"/>
      <w:outlineLvl w:val="0"/>
    </w:pPr>
    <w:rPr>
      <w:rFonts w:ascii="Calibri" w:eastAsia="微软雅黑" w:hAnsi="Calibri"/>
      <w:b/>
      <w:bCs/>
      <w:kern w:val="44"/>
      <w:sz w:val="32"/>
      <w:szCs w:val="44"/>
      <w:lang w:val="x-none" w:eastAsia="x-none"/>
    </w:rPr>
  </w:style>
  <w:style w:type="paragraph" w:styleId="2">
    <w:name w:val="heading 2"/>
    <w:basedOn w:val="a"/>
    <w:next w:val="a"/>
    <w:link w:val="20"/>
    <w:uiPriority w:val="9"/>
    <w:semiHidden/>
    <w:unhideWhenUsed/>
    <w:qFormat/>
    <w:rsid w:val="00C30CA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0CA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30CAC"/>
    <w:rPr>
      <w:sz w:val="18"/>
      <w:szCs w:val="18"/>
    </w:rPr>
  </w:style>
  <w:style w:type="paragraph" w:styleId="a5">
    <w:name w:val="footer"/>
    <w:basedOn w:val="a"/>
    <w:link w:val="a6"/>
    <w:uiPriority w:val="99"/>
    <w:unhideWhenUsed/>
    <w:rsid w:val="00C30CAC"/>
    <w:pPr>
      <w:tabs>
        <w:tab w:val="center" w:pos="4153"/>
        <w:tab w:val="right" w:pos="8306"/>
      </w:tabs>
      <w:snapToGrid w:val="0"/>
      <w:jc w:val="left"/>
    </w:pPr>
    <w:rPr>
      <w:sz w:val="18"/>
      <w:szCs w:val="18"/>
    </w:rPr>
  </w:style>
  <w:style w:type="character" w:customStyle="1" w:styleId="a6">
    <w:name w:val="页脚 字符"/>
    <w:basedOn w:val="a0"/>
    <w:link w:val="a5"/>
    <w:uiPriority w:val="99"/>
    <w:rsid w:val="00C30CAC"/>
    <w:rPr>
      <w:sz w:val="18"/>
      <w:szCs w:val="18"/>
    </w:rPr>
  </w:style>
  <w:style w:type="character" w:customStyle="1" w:styleId="10">
    <w:name w:val="标题 1 字符"/>
    <w:basedOn w:val="a0"/>
    <w:uiPriority w:val="9"/>
    <w:rsid w:val="00C30CAC"/>
    <w:rPr>
      <w:rFonts w:ascii="Times New Roman" w:eastAsia="宋体" w:hAnsi="Times New Roman" w:cs="Times New Roman"/>
      <w:b/>
      <w:bCs/>
      <w:kern w:val="44"/>
      <w:sz w:val="44"/>
      <w:szCs w:val="44"/>
    </w:rPr>
  </w:style>
  <w:style w:type="character" w:customStyle="1" w:styleId="11">
    <w:name w:val="标题 1 字符1"/>
    <w:link w:val="1"/>
    <w:uiPriority w:val="9"/>
    <w:rsid w:val="00C30CAC"/>
    <w:rPr>
      <w:rFonts w:ascii="Calibri" w:eastAsia="微软雅黑" w:hAnsi="Calibri" w:cs="Times New Roman"/>
      <w:b/>
      <w:bCs/>
      <w:kern w:val="44"/>
      <w:sz w:val="32"/>
      <w:szCs w:val="44"/>
      <w:lang w:val="x-none" w:eastAsia="x-none"/>
    </w:rPr>
  </w:style>
  <w:style w:type="paragraph" w:customStyle="1" w:styleId="a7">
    <w:name w:val="标题一"/>
    <w:basedOn w:val="2"/>
    <w:qFormat/>
    <w:rsid w:val="00C30CAC"/>
    <w:pPr>
      <w:spacing w:line="360" w:lineRule="auto"/>
      <w:jc w:val="center"/>
    </w:pPr>
    <w:rPr>
      <w:rFonts w:ascii="Times New Roman" w:eastAsia="黑体" w:hAnsi="Times New Roman" w:cs="Times New Roman"/>
    </w:rPr>
  </w:style>
  <w:style w:type="paragraph" w:customStyle="1" w:styleId="a8">
    <w:name w:val="标题二"/>
    <w:basedOn w:val="a7"/>
    <w:qFormat/>
    <w:rsid w:val="00C30CAC"/>
    <w:rPr>
      <w:rFonts w:eastAsia="仿宋"/>
    </w:rPr>
  </w:style>
  <w:style w:type="paragraph" w:customStyle="1" w:styleId="a9">
    <w:name w:val="标题三"/>
    <w:basedOn w:val="a8"/>
    <w:qFormat/>
    <w:rsid w:val="00C30CAC"/>
    <w:pPr>
      <w:jc w:val="left"/>
    </w:pPr>
    <w:rPr>
      <w:sz w:val="30"/>
    </w:rPr>
  </w:style>
  <w:style w:type="paragraph" w:customStyle="1" w:styleId="aa">
    <w:name w:val="标题四"/>
    <w:basedOn w:val="a9"/>
    <w:qFormat/>
    <w:rsid w:val="00C30CAC"/>
    <w:rPr>
      <w:sz w:val="28"/>
    </w:rPr>
  </w:style>
  <w:style w:type="paragraph" w:customStyle="1" w:styleId="ab">
    <w:name w:val="标题五"/>
    <w:basedOn w:val="aa"/>
    <w:qFormat/>
    <w:rsid w:val="00C30CAC"/>
    <w:rPr>
      <w:sz w:val="24"/>
    </w:rPr>
  </w:style>
  <w:style w:type="paragraph" w:customStyle="1" w:styleId="ac">
    <w:name w:val="正文用"/>
    <w:basedOn w:val="ad"/>
    <w:qFormat/>
    <w:rsid w:val="00C30CAC"/>
    <w:rPr>
      <w:rFonts w:ascii="Times New Roman" w:eastAsia="仿宋" w:hAnsi="Times New Roman"/>
      <w:sz w:val="24"/>
      <w:szCs w:val="21"/>
    </w:rPr>
  </w:style>
  <w:style w:type="paragraph" w:customStyle="1" w:styleId="21">
    <w:name w:val="样式 左 首行缩进:  2 字符"/>
    <w:basedOn w:val="a"/>
    <w:rsid w:val="00C30CAC"/>
    <w:pPr>
      <w:jc w:val="left"/>
    </w:pPr>
    <w:rPr>
      <w:rFonts w:cs="宋体"/>
      <w:szCs w:val="20"/>
    </w:rPr>
  </w:style>
  <w:style w:type="character" w:customStyle="1" w:styleId="20">
    <w:name w:val="标题 2 字符"/>
    <w:basedOn w:val="a0"/>
    <w:link w:val="2"/>
    <w:uiPriority w:val="9"/>
    <w:semiHidden/>
    <w:rsid w:val="00C30CAC"/>
    <w:rPr>
      <w:rFonts w:asciiTheme="majorHAnsi" w:eastAsiaTheme="majorEastAsia" w:hAnsiTheme="majorHAnsi" w:cstheme="majorBidi"/>
      <w:b/>
      <w:bCs/>
      <w:sz w:val="32"/>
      <w:szCs w:val="32"/>
    </w:rPr>
  </w:style>
  <w:style w:type="paragraph" w:styleId="ad">
    <w:name w:val="Plain Text"/>
    <w:basedOn w:val="a"/>
    <w:link w:val="ae"/>
    <w:uiPriority w:val="99"/>
    <w:semiHidden/>
    <w:unhideWhenUsed/>
    <w:rsid w:val="00C30CAC"/>
    <w:rPr>
      <w:rFonts w:asciiTheme="minorEastAsia" w:eastAsiaTheme="minorEastAsia" w:hAnsi="Courier New" w:cs="Courier New"/>
    </w:rPr>
  </w:style>
  <w:style w:type="character" w:customStyle="1" w:styleId="ae">
    <w:name w:val="纯文本 字符"/>
    <w:basedOn w:val="a0"/>
    <w:link w:val="ad"/>
    <w:uiPriority w:val="99"/>
    <w:semiHidden/>
    <w:rsid w:val="00C30CAC"/>
    <w:rPr>
      <w:rFonts w:asciiTheme="minorEastAsia" w:hAnsi="Courier New" w:cs="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39D3FD1D-B776-4CE0-88CB-050F216B3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4</Pages>
  <Words>4480</Words>
  <Characters>25542</Characters>
  <Application>Microsoft Office Word</Application>
  <DocSecurity>0</DocSecurity>
  <Lines>212</Lines>
  <Paragraphs>59</Paragraphs>
  <ScaleCrop>false</ScaleCrop>
  <Company/>
  <LinksUpToDate>false</LinksUpToDate>
  <CharactersWithSpaces>29963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尹 纯友</cp:lastModifiedBy>
  <cp:revision>117</cp:revision>
  <dcterms:created xsi:type="dcterms:W3CDTF">2021-12-21T03:14:00Z</dcterms:created>
  <dcterms:modified xsi:type="dcterms:W3CDTF">2021-12-27T06:30:00Z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33d6bbf5-928d-3222-9042-fb9a9fa48f24</vt:lpwstr>
  </property>
  <property fmtid="{D5CDD505-2E9C-101B-9397-08002B2CF9AE}" pid="24" name="Mendeley Citation Style_1">
    <vt:lpwstr>http://www.zotero.org/styles/ieee</vt:lpwstr>
  </property>
</Properties>
</file>