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新能源汽车保险与理赔边界</w:t>
      </w:r>
    </w:p>
    <w:p>
      <w:pPr>
        <w:pStyle w:val="Subtitle"/>
      </w:pPr>
      <w:r>
        <w:rPr>
          <w:rFonts w:ascii="等线" w:hAnsi="等线" w:eastAsia="等线"/>
          <w:color w:val="59656C"/>
        </w:rPr>
        <w:t>基于中国保险行业协会新能源汽车商业保险示范条款（试行）的知识整理</w:t>
      </w:r>
    </w:p>
    <w:p>
      <w:r>
        <w:t>资料检索日期：2026-07-26</w:t>
      </w:r>
    </w:p>
    <w:p>
      <w:pPr>
        <w:spacing w:before="360" w:after="240"/>
        <w:ind w:left="360" w:right="360"/>
      </w:pPr>
      <w:r>
        <w:rPr>
          <w:b/>
          <w:color w:val="123D4A"/>
        </w:rPr>
        <w:t>阅读重点：专属条款把车辆在行驶、停放、充电和作业过程中的风险纳入统一语境，但承保范围仍取决于实际保单、主险与附加险组合、责任免除和事故证据。</w:t>
      </w:r>
    </w:p>
    <w:p>
      <w:pPr>
        <w:pStyle w:val="Heading1"/>
      </w:pPr>
      <w:r>
        <w:t>1. 专属条款解决了什么</w:t>
      </w:r>
    </w:p>
    <w:p>
      <w:r>
        <w:t>新能源汽车的风险结构不仅包含车身和交通事故，还涉及电池及储能系统、电机及驱动系统、控制系统、充电过程和自用充电桩。中国保险行业协会 2021 年发布的示范条款，为这些风险提供了专门的合同表达。</w:t>
      </w:r>
    </w:p>
    <w:p>
      <w:r>
        <w:t>示范条款包含新能源汽车商业保险示范条款和驾乘人员意外伤害保险示范条款。商业保险部分仍以车损险、第三者责任险和车上人员责任险为三项独立主险，附加险不能脱离主险单独投保。</w:t>
      </w:r>
    </w:p>
    <w:p>
      <w:pPr>
        <w:pStyle w:val="Heading1"/>
      </w:pPr>
      <w:r>
        <w:t>2. 三项主险怎样分工</w:t>
      </w:r>
    </w:p>
    <w:tbl>
      <w:tblPr>
        <w:tblW w:type="dxa" w:w="9360"/>
        <w:jc w:val="left"/>
        <w:tblLayout w:type="fixed"/>
        <w:tblLook w:firstColumn="1" w:firstRow="1" w:lastColumn="0" w:lastRow="0" w:noHBand="0" w:noVBand="1" w:val="04A0"/>
        <w:tblInd w:w="120" w:type="dxa"/>
      </w:tblPr>
      <w:tblGrid>
        <w:gridCol w:w="2500"/>
        <w:gridCol w:w="3300"/>
        <w:gridCol w:w="3560"/>
      </w:tblGrid>
      <w:tr>
        <w:tc>
          <w:tcPr>
            <w:tcW w:type="dxa" w:w="2500"/>
            <w:shd w:fill="176B78"/>
          </w:tcPr>
          <w:p>
            <w:r>
              <w:rPr>
                <w:b/>
                <w:color w:val="FFFFFF"/>
              </w:rPr>
              <w:t>主险</w:t>
            </w:r>
          </w:p>
        </w:tc>
        <w:tc>
          <w:tcPr>
            <w:tcW w:type="dxa" w:w="3300"/>
            <w:shd w:fill="176B78"/>
          </w:tcPr>
          <w:p>
            <w:r>
              <w:rPr>
                <w:b/>
                <w:color w:val="FFFFFF"/>
              </w:rPr>
              <w:t>责任对象</w:t>
            </w:r>
          </w:p>
        </w:tc>
        <w:tc>
          <w:tcPr>
            <w:tcW w:type="dxa" w:w="3560"/>
            <w:shd w:fill="176B78"/>
          </w:tcPr>
          <w:p>
            <w:r>
              <w:rPr>
                <w:b/>
                <w:color w:val="FFFFFF"/>
              </w:rPr>
              <w:t>核心范围</w:t>
            </w:r>
          </w:p>
        </w:tc>
      </w:tr>
      <w:tr>
        <w:tc>
          <w:tcPr>
            <w:tcW w:type="dxa" w:w="2500"/>
            <w:vAlign w:val="center"/>
          </w:tcPr>
          <w:p>
            <w:r>
              <w:t>新能源汽车损失保险</w:t>
            </w:r>
          </w:p>
        </w:tc>
        <w:tc>
          <w:tcPr>
            <w:tcW w:type="dxa" w:w="3300"/>
            <w:vAlign w:val="center"/>
          </w:tcPr>
          <w:p>
            <w:r>
              <w:t>保障被保险车辆自身在约定事故中的直接损失</w:t>
            </w:r>
          </w:p>
        </w:tc>
        <w:tc>
          <w:tcPr>
            <w:tcW w:type="dxa" w:w="3560"/>
            <w:vAlign w:val="center"/>
          </w:tcPr>
          <w:p>
            <w:r>
              <w:t>车身、电池及储能系统、电机及驱动系统、其他控制系统和其他出厂设备</w:t>
            </w:r>
          </w:p>
        </w:tc>
      </w:tr>
      <w:tr>
        <w:tc>
          <w:tcPr>
            <w:tcW w:type="dxa" w:w="2500"/>
            <w:vAlign w:val="center"/>
          </w:tcPr>
          <w:p>
            <w:r>
              <w:t>第三者责任保险</w:t>
            </w:r>
          </w:p>
        </w:tc>
        <w:tc>
          <w:tcPr>
            <w:tcW w:type="dxa" w:w="3300"/>
            <w:vAlign w:val="center"/>
          </w:tcPr>
          <w:p>
            <w:r>
              <w:t>承担依法应由被保险人或获准驾驶人承担的第三者损害赔偿责任</w:t>
            </w:r>
          </w:p>
        </w:tc>
        <w:tc>
          <w:tcPr>
            <w:tcW w:type="dxa" w:w="3560"/>
            <w:vAlign w:val="center"/>
          </w:tcPr>
          <w:p>
            <w:r>
              <w:t>超过交强险各分项限额的第三者人身伤亡和财产直接损毁</w:t>
            </w:r>
          </w:p>
        </w:tc>
      </w:tr>
      <w:tr>
        <w:tc>
          <w:tcPr>
            <w:tcW w:type="dxa" w:w="2500"/>
            <w:vAlign w:val="center"/>
          </w:tcPr>
          <w:p>
            <w:r>
              <w:t>车上人员责任保险</w:t>
            </w:r>
          </w:p>
        </w:tc>
        <w:tc>
          <w:tcPr>
            <w:tcW w:type="dxa" w:w="3300"/>
            <w:vAlign w:val="center"/>
          </w:tcPr>
          <w:p>
            <w:r>
              <w:t>承担依法应由被保险人或获准驾驶人承担的车上人员损害赔偿责任</w:t>
            </w:r>
          </w:p>
        </w:tc>
        <w:tc>
          <w:tcPr>
            <w:tcW w:type="dxa" w:w="3560"/>
            <w:vAlign w:val="center"/>
          </w:tcPr>
          <w:p>
            <w:r>
              <w:t>事故瞬间位于车体内、车体上或正在上下车的人员</w:t>
            </w:r>
          </w:p>
        </w:tc>
      </w:tr>
    </w:tbl>
    <w:p>
      <w:pPr>
        <w:pStyle w:val="Caption"/>
      </w:pPr>
      <w:r>
        <w:t>来源：示范条款第一条、第二条、第六条、第二十条和第三十一条。</w:t>
      </w:r>
    </w:p>
    <w:p>
      <w:pPr>
        <w:pStyle w:val="Heading1"/>
      </w:pPr>
      <w:r>
        <w:t>3. “使用车辆”覆盖哪些状态</w:t>
      </w:r>
    </w:p>
    <w:p>
      <w:r>
        <w:t>示范条款将车辆的使用过程表述为行驶、停放、充电及作业。也就是说，判断事故是否发生在使用过程中，不能只看车辆当时有没有移动。静止充电时的起火或第三者损害，也可能进入保险责任分析。</w:t>
      </w:r>
    </w:p>
    <w:p>
      <w:pPr>
        <w:pStyle w:val="Heading2"/>
      </w:pPr>
      <w:r>
        <w:t>需要同时核对的边界</w:t>
      </w:r>
    </w:p>
    <w:p>
      <w:pPr>
        <w:pStyle w:val="ListBullet"/>
      </w:pPr>
      <w:r>
        <w:t>事故是否属于自然灾害或意外事故，是否造成直接损失；</w:t>
      </w:r>
    </w:p>
    <w:p>
      <w:pPr>
        <w:pStyle w:val="ListBullet"/>
      </w:pPr>
      <w:r>
        <w:t>损失对象是车辆自身、第三者、车上人员，还是独立的充电设备；</w:t>
      </w:r>
    </w:p>
    <w:p>
      <w:pPr>
        <w:pStyle w:val="ListBullet"/>
      </w:pPr>
      <w:r>
        <w:t>保单是否投保对应主险及必要附加险；</w:t>
      </w:r>
    </w:p>
    <w:p>
      <w:pPr>
        <w:pStyle w:val="ListBullet"/>
      </w:pPr>
      <w:r>
        <w:t>是否存在酒驾、逃逸、故意制造事故、危险程度显著增加未通知等责任免除情形；</w:t>
      </w:r>
    </w:p>
    <w:p>
      <w:pPr>
        <w:pStyle w:val="ListBullet"/>
      </w:pPr>
      <w:r>
        <w:t>损失是否属于自然磨损、电池衰减、故障、本身质量缺陷或间接损失。</w:t>
      </w:r>
    </w:p>
    <w:p>
      <w:pPr>
        <w:pStyle w:val="Heading1"/>
      </w:pPr>
      <w:r>
        <w:t>4. 三电系统与电池衰减不是同一类风险</w:t>
      </w:r>
    </w:p>
    <w:p>
      <w:r>
        <w:t>车辆损失保险明确把电池及储能系统、电机及驱动系统和其他控制系统列入受保障设备。但列入设备范围并不意味着所有三电问题都赔偿。条款同时把自然磨损、电池衰减、故障和本身质量缺陷列为不负责赔偿的损失。</w:t>
      </w:r>
    </w:p>
    <w:p>
      <w:r>
        <w:t>因此，关键分界在于损失原因：意外事故造成的直接损坏，与长期使用导致的容量下降或产品自身缺陷，属于不同的责任分析路径。质量缺陷可能进入厂家质保、产品责任或召回处理；保险理赔则以保单约定的保险事故为起点。</w:t>
      </w:r>
    </w:p>
    <w:p>
      <w:pPr>
        <w:pStyle w:val="Heading1"/>
      </w:pPr>
      <w:r>
        <w:t>5. 充电场景要看主险和附加险组合</w:t>
      </w:r>
    </w:p>
    <w:tbl>
      <w:tblPr>
        <w:tblW w:type="dxa" w:w="9360"/>
        <w:jc w:val="left"/>
        <w:tblLayout w:type="fixed"/>
        <w:tblLook w:firstColumn="1" w:firstRow="1" w:lastColumn="0" w:lastRow="0" w:noHBand="0" w:noVBand="1" w:val="04A0"/>
        <w:tblInd w:w="120" w:type="dxa"/>
      </w:tblPr>
      <w:tblGrid>
        <w:gridCol w:w="2700"/>
        <w:gridCol w:w="3300"/>
        <w:gridCol w:w="3360"/>
      </w:tblGrid>
      <w:tr>
        <w:tc>
          <w:tcPr>
            <w:tcW w:type="dxa" w:w="2700"/>
            <w:shd w:fill="8A4D32"/>
          </w:tcPr>
          <w:p>
            <w:r>
              <w:rPr>
                <w:b/>
                <w:color w:val="FFFFFF"/>
              </w:rPr>
              <w:t>场景</w:t>
            </w:r>
          </w:p>
        </w:tc>
        <w:tc>
          <w:tcPr>
            <w:tcW w:type="dxa" w:w="3300"/>
            <w:shd w:fill="8A4D32"/>
          </w:tcPr>
          <w:p>
            <w:r>
              <w:rPr>
                <w:b/>
                <w:color w:val="FFFFFF"/>
              </w:rPr>
              <w:t>可能对应的保障</w:t>
            </w:r>
          </w:p>
        </w:tc>
        <w:tc>
          <w:tcPr>
            <w:tcW w:type="dxa" w:w="3360"/>
            <w:shd w:fill="8A4D32"/>
          </w:tcPr>
          <w:p>
            <w:r>
              <w:rPr>
                <w:b/>
                <w:color w:val="FFFFFF"/>
              </w:rPr>
              <w:t>核对重点</w:t>
            </w:r>
          </w:p>
        </w:tc>
      </w:tr>
      <w:tr>
        <w:tc>
          <w:tcPr>
            <w:tcW w:type="dxa" w:w="2700"/>
            <w:vAlign w:val="center"/>
          </w:tcPr>
          <w:p>
            <w:r>
              <w:t>车辆在充电期间发生意外事故</w:t>
            </w:r>
          </w:p>
        </w:tc>
        <w:tc>
          <w:tcPr>
            <w:tcW w:type="dxa" w:w="3300"/>
            <w:vAlign w:val="center"/>
          </w:tcPr>
          <w:p>
            <w:r>
              <w:t>车辆损失保险可分析车辆直接损失；第三者责任险可分析第三者损害</w:t>
            </w:r>
          </w:p>
        </w:tc>
        <w:tc>
          <w:tcPr>
            <w:tcW w:type="dxa" w:w="3360"/>
            <w:vAlign w:val="center"/>
          </w:tcPr>
          <w:p>
            <w:r>
              <w:t>仍需排除责任免除，并确认事故原因和直接损失</w:t>
            </w:r>
          </w:p>
        </w:tc>
      </w:tr>
      <w:tr>
        <w:tc>
          <w:tcPr>
            <w:tcW w:type="dxa" w:w="2700"/>
            <w:vAlign w:val="center"/>
          </w:tcPr>
          <w:p>
            <w:r>
              <w:t>外部电网故障导致车辆损失</w:t>
            </w:r>
          </w:p>
        </w:tc>
        <w:tc>
          <w:tcPr>
            <w:tcW w:type="dxa" w:w="3300"/>
            <w:vAlign w:val="center"/>
          </w:tcPr>
          <w:p>
            <w:r>
              <w:t>主险将其列为除外；可关注附加外部电网故障损失险</w:t>
            </w:r>
          </w:p>
        </w:tc>
        <w:tc>
          <w:tcPr>
            <w:tcW w:type="dxa" w:w="3360"/>
            <w:vAlign w:val="center"/>
          </w:tcPr>
          <w:p>
            <w:r>
              <w:t>必须以实际保单是否附加为准</w:t>
            </w:r>
          </w:p>
        </w:tc>
      </w:tr>
      <w:tr>
        <w:tc>
          <w:tcPr>
            <w:tcW w:type="dxa" w:w="2700"/>
            <w:vAlign w:val="center"/>
          </w:tcPr>
          <w:p>
            <w:r>
              <w:t>自用充电桩自身损坏</w:t>
            </w:r>
          </w:p>
        </w:tc>
        <w:tc>
          <w:tcPr>
            <w:tcW w:type="dxa" w:w="3300"/>
            <w:vAlign w:val="center"/>
          </w:tcPr>
          <w:p>
            <w:r>
              <w:t>可关注附加自用充电桩损失保险</w:t>
            </w:r>
          </w:p>
        </w:tc>
        <w:tc>
          <w:tcPr>
            <w:tcW w:type="dxa" w:w="3360"/>
            <w:vAlign w:val="center"/>
          </w:tcPr>
          <w:p>
            <w:r>
              <w:t>通常要求保单载明地址且设备符合技术与安装条件</w:t>
            </w:r>
          </w:p>
        </w:tc>
      </w:tr>
      <w:tr>
        <w:tc>
          <w:tcPr>
            <w:tcW w:type="dxa" w:w="2700"/>
            <w:vAlign w:val="center"/>
          </w:tcPr>
          <w:p>
            <w:r>
              <w:t>自用充电桩造成第三者损害</w:t>
            </w:r>
          </w:p>
        </w:tc>
        <w:tc>
          <w:tcPr>
            <w:tcW w:type="dxa" w:w="3300"/>
            <w:vAlign w:val="center"/>
          </w:tcPr>
          <w:p>
            <w:r>
              <w:t>可关注附加自用充电桩责任保险</w:t>
            </w:r>
          </w:p>
        </w:tc>
        <w:tc>
          <w:tcPr>
            <w:tcW w:type="dxa" w:w="3360"/>
            <w:vAlign w:val="center"/>
          </w:tcPr>
          <w:p>
            <w:r>
              <w:t>责任限额由投保人与保险人协商并以保单为准</w:t>
            </w:r>
          </w:p>
        </w:tc>
      </w:tr>
    </w:tbl>
    <w:p>
      <w:pPr>
        <w:pStyle w:val="Caption"/>
      </w:pPr>
      <w:r>
        <w:t>来源：新能源汽车损失保险责任免除及附加外部电网故障损失险、自用充电桩损失险、自用充电桩责任险。</w:t>
      </w:r>
    </w:p>
    <w:p>
      <w:pPr>
        <w:pStyle w:val="Heading1"/>
      </w:pPr>
      <w:r>
        <w:t>6. 常见不赔边界</w:t>
      </w:r>
    </w:p>
    <w:p>
      <w:pPr/>
      <w:r>
        <w:rPr>
          <w:b/>
          <w:color w:val="8A4D32"/>
        </w:rPr>
        <w:t>非保险事故：</w:t>
      </w:r>
      <w:r>
        <w:t>自然磨损、电池衰减、故障、本身质量缺陷</w:t>
      </w:r>
    </w:p>
    <w:p>
      <w:pPr/>
      <w:r>
        <w:rPr>
          <w:b/>
          <w:color w:val="8A4D32"/>
        </w:rPr>
        <w:t>证据受损：</w:t>
      </w:r>
      <w:r>
        <w:t>故意破坏或伪造现场、毁灭证据；重大过失导致事故性质和损失程度无法确定</w:t>
      </w:r>
    </w:p>
    <w:p>
      <w:pPr/>
      <w:r>
        <w:rPr>
          <w:b/>
          <w:color w:val="8A4D32"/>
        </w:rPr>
        <w:t>驾驶或车辆状态：</w:t>
      </w:r>
      <w:r>
        <w:t>逃逸、酒驾、无证驾驶；车辆被注销、扣留或处于营业性维修改装等约定状态</w:t>
      </w:r>
    </w:p>
    <w:p>
      <w:pPr/>
      <w:r>
        <w:rPr>
          <w:b/>
          <w:color w:val="8A4D32"/>
        </w:rPr>
        <w:t>危险增加未告知：</w:t>
      </w:r>
      <w:r>
        <w:t>转让、改装、加装或改变使用性质造成危险程度显著增加，且未及时通知保险人</w:t>
      </w:r>
    </w:p>
    <w:p>
      <w:pPr/>
      <w:r>
        <w:rPr>
          <w:b/>
          <w:color w:val="8A4D32"/>
        </w:rPr>
        <w:t>间接损失：</w:t>
      </w:r>
      <w:r>
        <w:t>停业、停驶、数据丢失、市场贬值等不属于约定直接损失的项目</w:t>
      </w:r>
    </w:p>
    <w:p>
      <w:pPr>
        <w:pStyle w:val="Heading1"/>
      </w:pPr>
      <w:r>
        <w:t>7. 理赔时怎样保留证据</w:t>
      </w:r>
    </w:p>
    <w:p>
      <w:pPr>
        <w:pStyle w:val="ListNumber"/>
      </w:pPr>
      <w:r>
        <w:t>1. 先保障人身安全并报警、报险；涉及充电设施或电网异常时，同步联系运营方、物业或供电服务主体。</w:t>
      </w:r>
    </w:p>
    <w:p>
      <w:pPr>
        <w:pStyle w:val="ListNumber"/>
      </w:pPr>
      <w:r>
        <w:t>2. 拍摄车辆、充电桩、周边环境、仪表提示和受损位置，保留充电订单、时间、电量、桩号和异常提示。</w:t>
      </w:r>
    </w:p>
    <w:p>
      <w:pPr>
        <w:pStyle w:val="ListNumber"/>
      </w:pPr>
      <w:r>
        <w:t>3. 不要擅自拆解高压部件或清除故障数据；如需拖移或断电，听从消防、救援和保险查勘人员安排。</w:t>
      </w:r>
    </w:p>
    <w:p>
      <w:pPr>
        <w:pStyle w:val="ListNumber"/>
      </w:pPr>
      <w:r>
        <w:t>4. 修理前与保险人共同检验，协商维修机构、项目、方式和费用；无法协商时可共同委托有资质第三方评估。</w:t>
      </w:r>
    </w:p>
    <w:p>
      <w:pPr>
        <w:pStyle w:val="ListNumber"/>
      </w:pPr>
      <w:r>
        <w:t>5. 保存事故认定、消防或技术鉴定、维修清单、发票、施救记录、第三方损失凭证及沟通记录。</w:t>
      </w:r>
    </w:p>
    <w:p>
      <w:pPr>
        <w:pStyle w:val="Heading1"/>
      </w:pPr>
      <w:r>
        <w:t>8. 投保前的核对清单</w:t>
      </w:r>
    </w:p>
    <w:p>
      <w:pPr>
        <w:pStyle w:val="ListBullet"/>
      </w:pPr>
      <w:r>
        <w:t>三项主险分别投保了哪些，责任限额和绝对免赔如何约定；</w:t>
      </w:r>
    </w:p>
    <w:p>
      <w:pPr>
        <w:pStyle w:val="ListBullet"/>
      </w:pPr>
      <w:r>
        <w:t>车辆用途、运营属性、改装或加装情况是否如实告知；</w:t>
      </w:r>
    </w:p>
    <w:p>
      <w:pPr>
        <w:pStyle w:val="ListBullet"/>
      </w:pPr>
      <w:r>
        <w:t>外部电网故障、自用充电桩损失和充电桩责任附加险是否需要；</w:t>
      </w:r>
    </w:p>
    <w:p>
      <w:pPr>
        <w:pStyle w:val="ListBullet"/>
      </w:pPr>
      <w:r>
        <w:t>电池、电机、电控事故损失与自然衰减、质量缺陷的合同边界；</w:t>
      </w:r>
    </w:p>
    <w:p>
      <w:pPr>
        <w:pStyle w:val="ListBullet"/>
      </w:pPr>
      <w:r>
        <w:t>指定维修、残值处理、施救费用和代位求偿需要哪些材料。</w:t>
      </w:r>
    </w:p>
    <w:p>
      <w:pPr>
        <w:pStyle w:val="Heading1"/>
      </w:pPr>
      <w:r>
        <w:t>9. 参考来源</w:t>
      </w:r>
    </w:p>
    <w:p>
      <w:pPr>
        <w:spacing w:after="80"/>
      </w:pPr>
      <w:r>
        <w:rPr>
          <w:b/>
        </w:rPr>
        <w:t>中国保险行业协会，关于发布新能源汽车商业保险专属条款（试行）的通知，2021-12-14</w:t>
        <w:br/>
      </w:r>
      <w:r>
        <w:t>https://www.iachina.cn/art/2021/12/14/art_24_105694.html</w:t>
      </w:r>
    </w:p>
    <w:p>
      <w:pPr>
        <w:spacing w:after="80"/>
      </w:pPr>
      <w:r>
        <w:rPr>
          <w:b/>
        </w:rPr>
        <w:t>中国保险行业协会，新能源汽车商业保险示范条款（试行）附件</w:t>
        <w:br/>
      </w:r>
      <w:r>
        <w:t>https://www.iachina.cn/module/download/downfile.jsp?classid=0&amp;filename=f6a1a3a68ca14a13b47823be754930aa.docx</w:t>
      </w:r>
    </w:p>
    <w:p>
      <w:pPr>
        <w:spacing w:after="80"/>
      </w:pPr>
      <w:r>
        <w:rPr>
          <w:b/>
        </w:rPr>
        <w:t>上海市地方金融管理局转载，新能源汽车保险专属条款发布信息，2021-12-15</w:t>
        <w:br/>
      </w:r>
      <w:r>
        <w:t>https://jrj.sh.gov.cn/ZXYW178/20211215/d3adc993e02f4746845a2e8cbee67862.html</w:t>
      </w:r>
    </w:p>
    <w:p>
      <w:r>
        <w:t>检索日期：2026-07-26。本文件是知识整理，不构成保险合同解释或个案理赔承诺；实际责任以有效保单、条款及依法作出的事故认定为准。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第 </w:t>
      <w:fldChar w:fldCharType="begin"/>
      <w:instrText xml:space="preserve">PAGE</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6970"/>
        <w:sz w:val="17"/>
      </w:rPr>
      <w:t>新能源汽车保险与理赔边界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等线" w:hAnsi="等线" w:eastAsia="等线"/>
      <w:b/>
      <w:bCs/>
      <w:color w:val="176B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等线" w:hAnsi="等线" w:eastAsia="等线"/>
      <w:b/>
      <w:bCs/>
      <w:color w:val="176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等线" w:hAnsi="等线" w:eastAsia="等线"/>
      <w:b/>
      <w:bCs/>
      <w:color w:val="8A4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等线" w:hAnsi="等线" w:eastAsia="等线"/>
      <w:b w:val="0"/>
      <w:color w:val="123D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