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1D2C49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  <w:szCs w:val="18"/>
        </w:rPr>
      </w:pPr>
      <w:r>
        <w:rPr>
          <w:rFonts w:ascii="宋体" w:hAnsi="宋体" w:eastAsia="宋体" w:cs="宋体"/>
          <w:b/>
          <w:i w:val="0"/>
          <w:spacing w:val="0"/>
          <w:sz w:val="24"/>
          <w:szCs w:val="18"/>
        </w:rPr>
        <w:t>必做实验（4个，按优先级）</w:t>
      </w:r>
    </w:p>
    <w:tbl>
      <w:tblPr>
        <w:tblStyle w:val="2"/>
        <w:tblW w:w="10520" w:type="dxa"/>
        <w:jc w:val="center"/>
        <w:tblBorders>
          <w:top w:val="none" w:color="auto" w:sz="8" w:space="0"/>
          <w:left w:val="none" w:color="auto" w:sz="8" w:space="0"/>
          <w:bottom w:val="none" w:color="auto" w:sz="8" w:space="0"/>
          <w:right w:val="none" w:color="auto" w:sz="8" w:space="0"/>
          <w:insideH w:val="none" w:color="auto" w:sz="8" w:space="0"/>
          <w:insideV w:val="none" w:color="auto" w:sz="8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41"/>
        <w:gridCol w:w="1354"/>
        <w:gridCol w:w="662"/>
        <w:gridCol w:w="7663"/>
      </w:tblGrid>
      <w:tr w14:paraId="22EC7887">
        <w:tblPrEx>
          <w:tblBorders>
            <w:top w:val="none" w:color="auto" w:sz="8" w:space="0"/>
            <w:left w:val="none" w:color="auto" w:sz="8" w:space="0"/>
            <w:bottom w:val="none" w:color="auto" w:sz="8" w:space="0"/>
            <w:right w:val="none" w:color="auto" w:sz="8" w:space="0"/>
            <w:insideH w:val="none" w:color="auto" w:sz="8" w:space="0"/>
            <w:insideV w:val="non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3FA365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b/>
                <w:sz w:val="20"/>
                <w:szCs w:val="18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0"/>
                <w:szCs w:val="18"/>
              </w:rPr>
              <w:t>优先级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2AF7F9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b/>
                <w:sz w:val="20"/>
                <w:szCs w:val="18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0"/>
                <w:szCs w:val="18"/>
              </w:rPr>
              <w:t>实验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C1283A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b/>
                <w:sz w:val="20"/>
                <w:szCs w:val="18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0"/>
                <w:szCs w:val="18"/>
              </w:rPr>
              <w:t>论文章节</w:t>
            </w:r>
          </w:p>
        </w:tc>
        <w:tc>
          <w:tcPr>
            <w:tcW w:w="7663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2C2B18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b/>
                <w:sz w:val="20"/>
                <w:szCs w:val="18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0"/>
                <w:szCs w:val="18"/>
              </w:rPr>
              <w:t>核心价值</w:t>
            </w:r>
          </w:p>
        </w:tc>
      </w:tr>
      <w:tr w14:paraId="59991FA9">
        <w:tblPrEx>
          <w:tblBorders>
            <w:top w:val="none" w:color="auto" w:sz="8" w:space="0"/>
            <w:left w:val="none" w:color="auto" w:sz="8" w:space="0"/>
            <w:bottom w:val="none" w:color="auto" w:sz="8" w:space="0"/>
            <w:right w:val="none" w:color="auto" w:sz="8" w:space="0"/>
            <w:insideH w:val="none" w:color="auto" w:sz="8" w:space="0"/>
            <w:insideV w:val="non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DB9EBD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sz w:val="20"/>
                <w:szCs w:val="18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0"/>
                <w:szCs w:val="18"/>
              </w:rPr>
              <w:t>P1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8DEE80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sz w:val="20"/>
                <w:szCs w:val="18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0"/>
                <w:szCs w:val="18"/>
              </w:rPr>
              <w:t>exp3 AI演化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B6D740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sz w:val="20"/>
                <w:szCs w:val="18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0"/>
                <w:szCs w:val="18"/>
              </w:rPr>
              <w:t>机制分析</w:t>
            </w:r>
          </w:p>
        </w:tc>
        <w:tc>
          <w:tcPr>
            <w:tcW w:w="7663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600B01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sz w:val="20"/>
                <w:szCs w:val="18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0"/>
                <w:szCs w:val="18"/>
              </w:rPr>
              <w:t>基线发现"高采用+低满意"，AI能力固定是根本原因。exp3直接回答：AI若能学习，正反馈环是否加速临界相变？</w:t>
            </w:r>
          </w:p>
        </w:tc>
      </w:tr>
      <w:tr w14:paraId="70D4BFDE">
        <w:tblPrEx>
          <w:tblBorders>
            <w:top w:val="none" w:color="auto" w:sz="8" w:space="0"/>
            <w:left w:val="none" w:color="auto" w:sz="8" w:space="0"/>
            <w:bottom w:val="none" w:color="auto" w:sz="8" w:space="0"/>
            <w:right w:val="none" w:color="auto" w:sz="8" w:space="0"/>
            <w:insideH w:val="none" w:color="auto" w:sz="8" w:space="0"/>
            <w:insideV w:val="non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41B425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sz w:val="20"/>
                <w:szCs w:val="18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0"/>
                <w:szCs w:val="18"/>
              </w:rPr>
              <w:t>P2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768FC6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sz w:val="20"/>
                <w:szCs w:val="18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0"/>
                <w:szCs w:val="18"/>
              </w:rPr>
              <w:t>exp10 系统性风险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A60EBE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sz w:val="20"/>
                <w:szCs w:val="18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0"/>
                <w:szCs w:val="18"/>
              </w:rPr>
              <w:t>后果分析</w:t>
            </w:r>
          </w:p>
        </w:tc>
        <w:tc>
          <w:tcPr>
            <w:tcW w:w="766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52F6DA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sz w:val="20"/>
                <w:szCs w:val="18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0"/>
                <w:szCs w:val="18"/>
              </w:rPr>
              <w:t>基线的核心发现是J→J_c。exp10将"逼近临界"转化为现实风险：L4均质化系统在AI失效时的级联脆弱性</w:t>
            </w:r>
          </w:p>
        </w:tc>
      </w:tr>
      <w:tr w14:paraId="3CD3AF2F">
        <w:tblPrEx>
          <w:tblBorders>
            <w:top w:val="none" w:color="auto" w:sz="8" w:space="0"/>
            <w:left w:val="none" w:color="auto" w:sz="8" w:space="0"/>
            <w:bottom w:val="none" w:color="auto" w:sz="8" w:space="0"/>
            <w:right w:val="none" w:color="auto" w:sz="8" w:space="0"/>
            <w:insideH w:val="none" w:color="auto" w:sz="8" w:space="0"/>
            <w:insideV w:val="non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91DD04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sz w:val="20"/>
                <w:szCs w:val="18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0"/>
                <w:szCs w:val="18"/>
              </w:rPr>
              <w:t>P3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AD7805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sz w:val="20"/>
                <w:szCs w:val="18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0"/>
                <w:szCs w:val="18"/>
              </w:rPr>
              <w:t>exp4 信息干预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C239A9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sz w:val="20"/>
                <w:szCs w:val="18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0"/>
                <w:szCs w:val="18"/>
              </w:rPr>
              <w:t>政策建议</w:t>
            </w:r>
          </w:p>
        </w:tc>
        <w:tc>
          <w:tcPr>
            <w:tcW w:w="766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F8D823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sz w:val="20"/>
                <w:szCs w:val="18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0"/>
                <w:szCs w:val="18"/>
              </w:rPr>
              <w:t>基线展示自然演化路径，exp4测试政策能否改变它。三种政策（平衡/促进AI/保护消费者）产生差异化结论</w:t>
            </w:r>
          </w:p>
        </w:tc>
      </w:tr>
      <w:tr w14:paraId="25A3DAD8">
        <w:tblPrEx>
          <w:tblBorders>
            <w:top w:val="none" w:color="auto" w:sz="8" w:space="0"/>
            <w:left w:val="none" w:color="auto" w:sz="8" w:space="0"/>
            <w:bottom w:val="none" w:color="auto" w:sz="8" w:space="0"/>
            <w:right w:val="none" w:color="auto" w:sz="8" w:space="0"/>
            <w:insideH w:val="none" w:color="auto" w:sz="8" w:space="0"/>
            <w:insideV w:val="non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841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2785FF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sz w:val="20"/>
                <w:szCs w:val="18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0"/>
                <w:szCs w:val="18"/>
              </w:rPr>
              <w:t>P4</w:t>
            </w:r>
          </w:p>
        </w:tc>
        <w:tc>
          <w:tcPr>
            <w:tcW w:w="1354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A01F72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sz w:val="20"/>
                <w:szCs w:val="18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0"/>
                <w:szCs w:val="18"/>
              </w:rPr>
              <w:t>exp9 过滤气泡</w:t>
            </w:r>
          </w:p>
        </w:tc>
        <w:tc>
          <w:tcPr>
            <w:tcW w:w="662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7EEC04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sz w:val="20"/>
                <w:szCs w:val="18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0"/>
                <w:szCs w:val="18"/>
              </w:rPr>
              <w:t>后果分析</w:t>
            </w:r>
          </w:p>
        </w:tc>
        <w:tc>
          <w:tcPr>
            <w:tcW w:w="7663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EA9622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sz w:val="20"/>
                <w:szCs w:val="18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0"/>
                <w:szCs w:val="18"/>
              </w:rPr>
              <w:t>解释L4主导的微观强化机制：高依赖→高个性化→信息茧房→更高依赖。与exp10并列构成"后果"章节</w:t>
            </w:r>
          </w:p>
        </w:tc>
      </w:tr>
    </w:tbl>
    <w:p w14:paraId="6BFFF771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  <w:szCs w:val="18"/>
        </w:rPr>
      </w:pPr>
      <w:r>
        <w:rPr>
          <w:rFonts w:ascii="宋体" w:hAnsi="宋体" w:eastAsia="宋体" w:cs="宋体"/>
          <w:b/>
          <w:i w:val="0"/>
          <w:spacing w:val="0"/>
          <w:sz w:val="24"/>
          <w:szCs w:val="18"/>
        </w:rPr>
        <w:t>条件性推荐</w:t>
      </w:r>
    </w:p>
    <w:p w14:paraId="3E3AAE38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0"/>
          <w:szCs w:val="18"/>
        </w:rPr>
      </w:pPr>
      <w:r>
        <w:rPr>
          <w:rFonts w:ascii="宋体" w:hAnsi="宋体" w:eastAsia="宋体" w:cs="宋体"/>
          <w:b/>
          <w:i w:val="0"/>
          <w:spacing w:val="0"/>
          <w:sz w:val="20"/>
          <w:szCs w:val="18"/>
        </w:rPr>
        <w:t>exp2 消费者记忆</w:t>
      </w:r>
      <w:r>
        <w:rPr>
          <w:rFonts w:ascii="宋体" w:hAnsi="宋体" w:eastAsia="宋体" w:cs="宋体"/>
          <w:b w:val="0"/>
          <w:i w:val="0"/>
          <w:spacing w:val="0"/>
          <w:sz w:val="20"/>
          <w:szCs w:val="18"/>
        </w:rPr>
        <w:t>：若exp3结果显示满意度改善缓慢，引入exp2作为补充解释（消费者端记忆惰性 vs AI端学习速度的对比）</w:t>
      </w:r>
    </w:p>
    <w:p w14:paraId="45C0DC13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0"/>
          <w:szCs w:val="18"/>
        </w:rPr>
      </w:pPr>
      <w:r>
        <w:rPr>
          <w:rFonts w:ascii="宋体" w:hAnsi="宋体" w:eastAsia="宋体" w:cs="宋体"/>
          <w:b/>
          <w:i w:val="0"/>
          <w:spacing w:val="0"/>
          <w:sz w:val="20"/>
          <w:szCs w:val="18"/>
        </w:rPr>
        <w:t>exp5 网络结构</w:t>
      </w:r>
      <w:r>
        <w:rPr>
          <w:rFonts w:ascii="宋体" w:hAnsi="宋体" w:eastAsia="宋体" w:cs="宋体"/>
          <w:b w:val="0"/>
          <w:i w:val="0"/>
          <w:spacing w:val="0"/>
          <w:sz w:val="20"/>
          <w:szCs w:val="18"/>
        </w:rPr>
        <w:t>：若期刊要求鲁棒性检验，压缩为仅小世界 vs 无标度两组放入附录</w:t>
      </w:r>
    </w:p>
    <w:p w14:paraId="348B887E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  <w:szCs w:val="18"/>
        </w:rPr>
      </w:pPr>
      <w:r>
        <w:rPr>
          <w:rFonts w:ascii="宋体" w:hAnsi="宋体" w:eastAsia="宋体" w:cs="宋体"/>
          <w:b/>
          <w:i w:val="0"/>
          <w:spacing w:val="0"/>
          <w:sz w:val="24"/>
          <w:szCs w:val="18"/>
        </w:rPr>
        <w:t>建议剔除（3个）</w:t>
      </w:r>
    </w:p>
    <w:p w14:paraId="55E44581">
      <w:pPr>
        <w:pageBreakBefore w:val="0"/>
        <w:numPr>
          <w:ilvl w:val="0"/>
          <w:numId w:val="2"/>
        </w:numPr>
        <w:wordWrap/>
        <w:spacing w:before="160" w:after="0"/>
        <w:ind w:left="440" w:right="0" w:hanging="440"/>
        <w:jc w:val="left"/>
        <w:textAlignment w:val="auto"/>
        <w:rPr>
          <w:sz w:val="20"/>
          <w:szCs w:val="18"/>
        </w:rPr>
      </w:pPr>
      <w:r>
        <w:rPr>
          <w:rFonts w:ascii="宋体" w:hAnsi="宋体" w:eastAsia="宋体" w:cs="宋体"/>
          <w:b/>
          <w:i w:val="0"/>
          <w:spacing w:val="0"/>
          <w:sz w:val="20"/>
          <w:szCs w:val="18"/>
        </w:rPr>
        <w:t>exp6 代际动态</w:t>
      </w:r>
      <w:r>
        <w:rPr>
          <w:rFonts w:ascii="宋体" w:hAnsi="宋体" w:eastAsia="宋体" w:cs="宋体"/>
          <w:b w:val="0"/>
          <w:i w:val="0"/>
          <w:spacing w:val="0"/>
          <w:sz w:val="20"/>
          <w:szCs w:val="18"/>
        </w:rPr>
        <w:t>：引入社会学叙事框架，与物理学Ising视角概念不兼容，需要大量额外铺垫</w:t>
      </w:r>
    </w:p>
    <w:p w14:paraId="5DCC52FC">
      <w:pPr>
        <w:pageBreakBefore w:val="0"/>
        <w:numPr>
          <w:ilvl w:val="0"/>
          <w:numId w:val="2"/>
        </w:numPr>
        <w:wordWrap/>
        <w:spacing w:before="160" w:after="0"/>
        <w:ind w:left="440" w:right="0" w:hanging="440"/>
        <w:jc w:val="left"/>
        <w:textAlignment w:val="auto"/>
        <w:rPr>
          <w:sz w:val="20"/>
          <w:szCs w:val="18"/>
        </w:rPr>
      </w:pPr>
      <w:r>
        <w:rPr>
          <w:rFonts w:ascii="宋体" w:hAnsi="宋体" w:eastAsia="宋体" w:cs="宋体"/>
          <w:b/>
          <w:i w:val="0"/>
          <w:spacing w:val="0"/>
          <w:sz w:val="20"/>
          <w:szCs w:val="18"/>
        </w:rPr>
        <w:t>exp7 AI竞争</w:t>
      </w:r>
      <w:r>
        <w:rPr>
          <w:rFonts w:ascii="宋体" w:hAnsi="宋体" w:eastAsia="宋体" w:cs="宋体"/>
          <w:b w:val="0"/>
          <w:i w:val="0"/>
          <w:spacing w:val="0"/>
          <w:sz w:val="20"/>
          <w:szCs w:val="18"/>
        </w:rPr>
        <w:t>：将问题从"依赖扩散"转变为"市场竞争动态"，改变了基线的基本假设，实际上是另一篇论文</w:t>
      </w:r>
    </w:p>
    <w:p w14:paraId="45B70677">
      <w:pPr>
        <w:pageBreakBefore w:val="0"/>
        <w:numPr>
          <w:ilvl w:val="0"/>
          <w:numId w:val="2"/>
        </w:numPr>
        <w:wordWrap/>
        <w:spacing w:before="160" w:after="0"/>
        <w:ind w:left="440" w:right="0" w:hanging="440"/>
        <w:jc w:val="left"/>
        <w:textAlignment w:val="auto"/>
        <w:rPr>
          <w:sz w:val="20"/>
          <w:szCs w:val="18"/>
        </w:rPr>
      </w:pPr>
      <w:r>
        <w:rPr>
          <w:rFonts w:ascii="宋体" w:hAnsi="宋体" w:eastAsia="宋体" w:cs="宋体"/>
          <w:b/>
          <w:i w:val="0"/>
          <w:spacing w:val="0"/>
          <w:sz w:val="20"/>
          <w:szCs w:val="18"/>
        </w:rPr>
        <w:t>exp8 情境敏感性</w:t>
      </w:r>
      <w:r>
        <w:rPr>
          <w:rFonts w:ascii="宋体" w:hAnsi="宋体" w:eastAsia="宋体" w:cs="宋体"/>
          <w:b w:val="0"/>
          <w:i w:val="0"/>
          <w:spacing w:val="0"/>
          <w:sz w:val="20"/>
          <w:szCs w:val="18"/>
        </w:rPr>
        <w:t>：研究问题是"哪种情境下依赖更高"而非"如何扩散"，且会迫使基线结论重新解读为"平均情境"，削弱基线代表性</w:t>
      </w:r>
    </w:p>
    <w:p w14:paraId="5341F0C4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  <w:szCs w:val="18"/>
        </w:rPr>
      </w:pPr>
      <w:r>
        <w:rPr>
          <w:rFonts w:ascii="宋体" w:hAnsi="宋体" w:eastAsia="宋体" w:cs="宋体"/>
          <w:b/>
          <w:i w:val="0"/>
          <w:spacing w:val="0"/>
          <w:sz w:val="24"/>
          <w:szCs w:val="18"/>
        </w:rPr>
        <w:t>推荐的论文结构</w:t>
      </w:r>
    </w:p>
    <w:p w14:paraId="360C2AE2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  <w:szCs w:val="18"/>
        </w:rPr>
      </w:pPr>
      <w:r>
        <w:rPr>
          <w:rFonts w:ascii="宋体" w:hAnsi="宋体" w:eastAsia="宋体" w:cs="宋体"/>
          <w:b/>
          <w:i w:val="0"/>
          <w:spacing w:val="0"/>
          <w:sz w:val="24"/>
          <w:szCs w:val="18"/>
        </w:rPr>
        <w:t>叙事逻辑分析</w:t>
      </w:r>
    </w:p>
    <w:p w14:paraId="57C1C15E">
      <w:pPr>
        <w:pageBreakBefore w:val="0"/>
        <w:wordWrap/>
        <w:spacing w:before="160" w:after="0"/>
        <w:ind w:left="0" w:right="0"/>
        <w:jc w:val="left"/>
        <w:textAlignment w:val="auto"/>
        <w:rPr>
          <w:sz w:val="20"/>
          <w:szCs w:val="18"/>
        </w:rPr>
      </w:pPr>
      <w:r>
        <w:rPr>
          <w:rFonts w:ascii="宋体" w:hAnsi="宋体" w:eastAsia="宋体" w:cs="宋体"/>
          <w:b w:val="0"/>
          <w:i w:val="0"/>
          <w:spacing w:val="0"/>
          <w:sz w:val="20"/>
          <w:szCs w:val="18"/>
        </w:rPr>
        <w:t>这条叙事线的逻辑是：</w:t>
      </w:r>
      <w:r>
        <w:rPr>
          <w:rFonts w:ascii="宋体" w:hAnsi="宋体" w:eastAsia="宋体" w:cs="宋体"/>
          <w:b/>
          <w:i w:val="0"/>
          <w:spacing w:val="0"/>
          <w:sz w:val="20"/>
          <w:szCs w:val="18"/>
        </w:rPr>
        <w:t>系统为何走向L4（机制）→ L4主导带来什么后果（后果）→ 如何干预（政策）</w:t>
      </w:r>
      <w:r>
        <w:rPr>
          <w:rFonts w:ascii="宋体" w:hAnsi="宋体" w:eastAsia="宋体" w:cs="宋体"/>
          <w:b w:val="0"/>
          <w:i w:val="0"/>
          <w:spacing w:val="0"/>
          <w:sz w:val="20"/>
          <w:szCs w:val="18"/>
        </w:rPr>
        <w:t>，构成完整的学术论述闭环。</w:t>
      </w:r>
    </w:p>
    <w:p w14:paraId="44B8B8AF">
      <w:pPr>
        <w:pageBreakBefore w:val="0"/>
        <w:wordWrap/>
        <w:spacing w:before="160" w:after="0"/>
        <w:ind w:left="0" w:right="0"/>
        <w:jc w:val="left"/>
        <w:textAlignment w:val="auto"/>
        <w:rPr>
          <w:sz w:val="21"/>
          <w:szCs w:val="18"/>
        </w:rPr>
      </w:pPr>
      <w:r>
        <w:rPr>
          <w:rFonts w:ascii="宋体" w:hAnsi="宋体" w:eastAsia="宋体" w:cs="宋体"/>
          <w:b/>
          <w:i w:val="0"/>
          <w:spacing w:val="0"/>
          <w:sz w:val="21"/>
          <w:szCs w:val="18"/>
        </w:rPr>
        <w:t>优势特点</w:t>
      </w:r>
    </w:p>
    <w:p w14:paraId="3024244D">
      <w:pPr>
        <w:pageBreakBefore w:val="0"/>
        <w:numPr>
          <w:ilvl w:val="0"/>
          <w:numId w:val="3"/>
        </w:numPr>
        <w:wordWrap/>
        <w:spacing w:before="160" w:after="0"/>
        <w:ind w:left="440" w:right="0" w:hanging="440"/>
        <w:jc w:val="left"/>
        <w:textAlignment w:val="auto"/>
        <w:rPr>
          <w:sz w:val="20"/>
          <w:szCs w:val="18"/>
        </w:rPr>
      </w:pPr>
      <w:r>
        <w:rPr>
          <w:rFonts w:ascii="宋体" w:hAnsi="宋体" w:eastAsia="宋体" w:cs="宋体"/>
          <w:b/>
          <w:i w:val="0"/>
          <w:spacing w:val="0"/>
          <w:sz w:val="20"/>
          <w:szCs w:val="18"/>
        </w:rPr>
        <w:t>逻辑连贯性</w:t>
      </w:r>
      <w:r>
        <w:rPr>
          <w:rFonts w:ascii="宋体" w:hAnsi="宋体" w:eastAsia="宋体" w:cs="宋体"/>
          <w:b w:val="0"/>
          <w:i w:val="0"/>
          <w:spacing w:val="0"/>
          <w:sz w:val="20"/>
          <w:szCs w:val="18"/>
        </w:rPr>
        <w:t>：从机制分析到后果评估，再到政策干预，形成完整的学术论证链条</w:t>
      </w:r>
    </w:p>
    <w:p w14:paraId="754CFB0C">
      <w:pPr>
        <w:pageBreakBefore w:val="0"/>
        <w:numPr>
          <w:ilvl w:val="0"/>
          <w:numId w:val="3"/>
        </w:numPr>
        <w:wordWrap/>
        <w:spacing w:before="160" w:after="0"/>
        <w:ind w:left="440" w:right="0" w:hanging="440"/>
        <w:jc w:val="left"/>
        <w:textAlignment w:val="auto"/>
        <w:rPr>
          <w:sz w:val="20"/>
          <w:szCs w:val="18"/>
        </w:rPr>
      </w:pPr>
      <w:r>
        <w:rPr>
          <w:rFonts w:ascii="宋体" w:hAnsi="宋体" w:eastAsia="宋体" w:cs="宋体"/>
          <w:b/>
          <w:i w:val="0"/>
          <w:spacing w:val="0"/>
          <w:sz w:val="20"/>
          <w:szCs w:val="18"/>
        </w:rPr>
        <w:t>重点突出</w:t>
      </w:r>
      <w:r>
        <w:rPr>
          <w:rFonts w:ascii="宋体" w:hAnsi="宋体" w:eastAsia="宋体" w:cs="宋体"/>
          <w:b w:val="0"/>
          <w:i w:val="0"/>
          <w:spacing w:val="0"/>
          <w:sz w:val="20"/>
          <w:szCs w:val="18"/>
        </w:rPr>
        <w:t>：核心实验优先级明确，必做实验与可选实验区分清晰</w:t>
      </w:r>
    </w:p>
    <w:p w14:paraId="789D4EFD">
      <w:pPr>
        <w:pageBreakBefore w:val="0"/>
        <w:numPr>
          <w:ilvl w:val="0"/>
          <w:numId w:val="3"/>
        </w:numPr>
        <w:wordWrap/>
        <w:spacing w:before="160" w:after="0"/>
        <w:ind w:left="440" w:right="0" w:hanging="440"/>
        <w:jc w:val="left"/>
        <w:textAlignment w:val="auto"/>
        <w:rPr>
          <w:sz w:val="20"/>
          <w:szCs w:val="18"/>
        </w:rPr>
      </w:pPr>
      <w:r>
        <w:rPr>
          <w:rFonts w:ascii="宋体" w:hAnsi="宋体" w:eastAsia="宋体" w:cs="宋体"/>
          <w:b/>
          <w:i w:val="0"/>
          <w:spacing w:val="0"/>
          <w:sz w:val="20"/>
          <w:szCs w:val="18"/>
        </w:rPr>
        <w:t>结构合理</w:t>
      </w:r>
      <w:r>
        <w:rPr>
          <w:rFonts w:ascii="宋体" w:hAnsi="宋体" w:eastAsia="宋体" w:cs="宋体"/>
          <w:b w:val="0"/>
          <w:i w:val="0"/>
          <w:spacing w:val="0"/>
          <w:sz w:val="20"/>
          <w:szCs w:val="18"/>
        </w:rPr>
        <w:t>：论文结构安排符合学术论文的常规逻辑顺序</w:t>
      </w:r>
    </w:p>
    <w:p w14:paraId="2C51E158">
      <w:pPr>
        <w:pageBreakBefore w:val="0"/>
        <w:numPr>
          <w:ilvl w:val="0"/>
          <w:numId w:val="3"/>
        </w:numPr>
        <w:wordWrap/>
        <w:spacing w:before="160" w:after="0"/>
        <w:ind w:left="440" w:right="0" w:hanging="440"/>
        <w:jc w:val="left"/>
        <w:textAlignment w:val="auto"/>
        <w:rPr>
          <w:sz w:val="16"/>
          <w:szCs w:val="18"/>
        </w:rPr>
      </w:pPr>
      <w:r>
        <w:rPr>
          <w:rFonts w:ascii="宋体" w:hAnsi="宋体" w:eastAsia="宋体" w:cs="宋体"/>
          <w:b/>
          <w:i w:val="0"/>
          <w:spacing w:val="0"/>
          <w:sz w:val="20"/>
          <w:szCs w:val="18"/>
        </w:rPr>
        <w:t>取舍有据</w:t>
      </w:r>
      <w:r>
        <w:rPr>
          <w:rFonts w:ascii="宋体" w:hAnsi="宋体" w:eastAsia="宋体" w:cs="宋体"/>
          <w:b w:val="0"/>
          <w:i w:val="0"/>
          <w:spacing w:val="0"/>
          <w:sz w:val="20"/>
          <w:szCs w:val="18"/>
        </w:rPr>
        <w:t>：对建议剔除的实验给出了充分的理由说明</w:t>
      </w:r>
      <w:bookmarkStart w:id="0" w:name="_GoBack"/>
      <w:bookmarkEnd w:id="0"/>
    </w:p>
    <w:sectPr>
      <w:headerReference r:id="rId3" w:type="default"/>
      <w:footerReference r:id="rId4" w:type="default"/>
      <w:pgSz w:w="11900" w:h="15840"/>
      <w:pgMar w:top="720" w:right="720" w:bottom="720" w:left="72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Arial Unicode MS"/>
    <w:panose1 w:val="020B0604020202020204"/>
    <w:charset w:val="86"/>
    <w:family w:val="auto"/>
    <w:pitch w:val="default"/>
    <w:sig w:usb0="F7FFAEFF" w:usb1="F9DFFFFF" w:usb2="0000007F" w:usb3="00000000" w:csb0="203F01FF" w:csb1="D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59902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A8B60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2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decimal"/>
      <w:lvlText w:val="%1.%2."/>
      <w:lvlJc w:val="left"/>
      <w:pPr>
        <w:ind w:left="1100" w:hanging="660"/>
      </w:pPr>
    </w:lvl>
    <w:lvl w:ilvl="2" w:tentative="0">
      <w:start w:val="1"/>
      <w:numFmt w:val="decimal"/>
      <w:lvlRestart w:val="1"/>
      <w:lvlText w:val="%1.%2.%3."/>
      <w:lvlJc w:val="left"/>
      <w:pPr>
        <w:ind w:left="1760" w:hanging="880"/>
      </w:pPr>
    </w:lvl>
    <w:lvl w:ilvl="3" w:tentative="0">
      <w:start w:val="1"/>
      <w:numFmt w:val="decimal"/>
      <w:lvlRestart w:val="1"/>
      <w:lvlText w:val="%1.%2.%3.%4."/>
      <w:lvlJc w:val="left"/>
      <w:pPr>
        <w:ind w:left="2420" w:hanging="1100"/>
      </w:pPr>
    </w:lvl>
    <w:lvl w:ilvl="4" w:tentative="0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 w:tentative="0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 w:tentative="0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 w:tentative="0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 w:tentative="0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documentProtection w:enforcement="0"/>
  <w:compat>
    <w:ulTrailSpace/>
    <w:useFELayout/>
    <w:compatSetting w:name="compatibilityMode" w:uri="http://schemas.microsoft.com/office/word" w:val="15"/>
  </w:compat>
  <w:rsids>
    <w:rsidRoot w:val="00000000"/>
    <w:rsid w:val="1CE21A9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739</Words>
  <Characters>813</Characters>
  <TotalTime>0</TotalTime>
  <ScaleCrop>false</ScaleCrop>
  <LinksUpToDate>false</LinksUpToDate>
  <CharactersWithSpaces>828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2026-04-12T07:44:00Z</dcterms:created>
  <dc:creator>Apache POI</dc:creator>
  <cp:lastModifiedBy>殷梦娇</cp:lastModifiedBy>
  <dcterms:modified xsi:type="dcterms:W3CDTF">2026-04-12T07:45:53Z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ContentPropagator":"001191440101MA9Y9T4H7A00000","Label":"1","ReservedCode1":"ZY5S4AWPLVth8vGAUbZjR/oiw4ZQPmuXwc/KZqufxfQ=","ProduceID":"doc_sgs:cc080223-f0a5-4277-97ae-4d626f7de64b","ReservedCode2":"ZY5S4AWPLVth8vGAUbZjR/oiw4ZQPmuXwc/KZqufxfQ=","PropagateID":"doc_sgs:cc080223-f0a5-4277-97ae-4d626f7de64b","ContentProducer":"001191440101MA9Y9T4H7A00000"}</vt:lpwstr>
  </property>
  <property fmtid="{D5CDD505-2E9C-101B-9397-08002B2CF9AE}" pid="3" name="KSOTemplateDocerSaveRecord">
    <vt:lpwstr>eyJoZGlkIjoiNWYxNDRlZjhjMDk2OTIxZjFlZDc1MGZkMzhmNGFlMWYiLCJ1c2VySWQiOiIyMTk3NTAyIn0=</vt:lpwstr>
  </property>
  <property fmtid="{D5CDD505-2E9C-101B-9397-08002B2CF9AE}" pid="4" name="KSOProductBuildVer">
    <vt:lpwstr>2052-12.1.0.25225</vt:lpwstr>
  </property>
  <property fmtid="{D5CDD505-2E9C-101B-9397-08002B2CF9AE}" pid="5" name="ICV">
    <vt:lpwstr>B70615E91D5E4B8480B341F7D574DF70_12</vt:lpwstr>
  </property>
</Properties>
</file>