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000000"/>
          <w:sz w:val="44"/>
        </w:rPr>
        <w:t>麦家小馆 2026年6月阶段经营分析报告</w:t>
      </w:r>
    </w:p>
    <w:p>
      <w:pPr>
        <w:spacing w:after="200"/>
      </w:pPr>
      <w:r>
        <w:rPr>
          <w:rFonts w:ascii="Arial" w:hAnsi="Arial" w:eastAsia="Microsoft YaHei"/>
          <w:color w:val="5F5F5F"/>
          <w:sz w:val="21"/>
        </w:rPr>
        <w:t>分析范围：2026/06/01-2026/06/14；拆分口径：第一周 06/01-06/07，第二周 06/08-06/14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75"/>
            <w:shd w:fill="F4F7FB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5F5F5F"/>
                <w:sz w:val="19"/>
              </w:rPr>
              <w:t>营业收入</w:t>
              <w:br/>
            </w:r>
            <w:r>
              <w:rPr>
                <w:rFonts w:ascii="Arial" w:hAnsi="Arial" w:eastAsia="Microsoft YaHei"/>
                <w:b/>
                <w:color w:val="1F4E79"/>
                <w:sz w:val="26"/>
              </w:rPr>
              <w:t>868,395.83 元</w:t>
            </w:r>
          </w:p>
        </w:tc>
        <w:tc>
          <w:tcPr>
            <w:tcW w:type="dxa" w:w="2275"/>
            <w:shd w:fill="F4F7FB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5F5F5F"/>
                <w:sz w:val="19"/>
              </w:rPr>
              <w:t>营业额</w:t>
              <w:br/>
            </w:r>
            <w:r>
              <w:rPr>
                <w:rFonts w:ascii="Arial" w:hAnsi="Arial" w:eastAsia="Microsoft YaHei"/>
                <w:b/>
                <w:color w:val="1F4E79"/>
                <w:sz w:val="26"/>
              </w:rPr>
              <w:t>983,016.26 元</w:t>
            </w:r>
          </w:p>
        </w:tc>
        <w:tc>
          <w:tcPr>
            <w:tcW w:type="dxa" w:w="2275"/>
            <w:shd w:fill="F4F7FB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5F5F5F"/>
                <w:sz w:val="19"/>
              </w:rPr>
              <w:t>订单量</w:t>
              <w:br/>
            </w:r>
            <w:r>
              <w:rPr>
                <w:rFonts w:ascii="Arial" w:hAnsi="Arial" w:eastAsia="Microsoft YaHei"/>
                <w:b/>
                <w:color w:val="1F4E79"/>
                <w:sz w:val="26"/>
              </w:rPr>
              <w:t>11,795 单</w:t>
            </w:r>
          </w:p>
        </w:tc>
        <w:tc>
          <w:tcPr>
            <w:tcW w:type="dxa" w:w="2275"/>
            <w:shd w:fill="F4F7FB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5F5F5F"/>
                <w:sz w:val="19"/>
              </w:rPr>
              <w:t>折后单均</w:t>
              <w:br/>
            </w:r>
            <w:r>
              <w:rPr>
                <w:rFonts w:ascii="Arial" w:hAnsi="Arial" w:eastAsia="Microsoft YaHei"/>
                <w:b/>
                <w:color w:val="1F4E79"/>
                <w:sz w:val="26"/>
              </w:rPr>
              <w:t>73.62 元</w:t>
            </w:r>
          </w:p>
        </w:tc>
      </w:tr>
    </w:tbl>
    <w:p>
      <w:pPr>
        <w:spacing w:after="120"/>
      </w:pPr>
    </w:p>
    <w:p>
      <w:pPr>
        <w:pStyle w:val="Heading1"/>
      </w:pPr>
      <w:r>
        <w:t>一、总体判断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6月前两周整体营业收入 868,395.83 元，营业额 983,016.26 元，优惠金额 114,620.43 元，优惠占比 11.66%，订单量 11,795 单。折后单均 73.62 元，折后人均 55.82 元，单店日均营业收入 20,676.09 元。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第二周比第一周明显走强：营业收入增加 33,626.21 元，环比 +8.06%；营业额增加 39,663.54 元，环比 +8.41%。订单量仅增加 81 单，环比 +1.38%，说明增长主要来自客单和人均提升，而不是单量扩张。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需要重点关注优惠压力：第二周优惠金额增加 6,037.33 元，环比 +11.12%，快于收入增速；优惠占比从 11.51%升至 11.80%。增长质量整体较好，但折扣效率需要持续盯紧。</w:t>
      </w:r>
    </w:p>
    <w:p>
      <w:pPr>
        <w:pStyle w:val="Heading1"/>
      </w:pPr>
      <w:r>
        <w:t>二、周度核心指标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指标</w:t>
            </w:r>
          </w:p>
        </w:tc>
        <w:tc>
          <w:tcPr>
            <w:tcW w:type="dxa" w:w="194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第一周</w:t>
            </w:r>
          </w:p>
        </w:tc>
        <w:tc>
          <w:tcPr>
            <w:tcW w:type="dxa" w:w="194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第二周</w:t>
            </w:r>
          </w:p>
        </w:tc>
        <w:tc>
          <w:tcPr>
            <w:tcW w:type="dxa" w:w="295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环比变化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营业收入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417,384.81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451,011.02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+33,626.21 / +8.06%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营业额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471,676.36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511,339.90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+39,663.54 / +8.41%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优惠金额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54,291.55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60,328.88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+6,037.33 / +11.12%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优惠占比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11.51%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11.80%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+0.29pct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订单量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5,857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5,938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+81 / +1.38%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折后单均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71.26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75.95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+4.69 / +6.58%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折后人均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53.72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57.91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+4.19 / +7.80%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单店日均营业收入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19,875.47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21,476.72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+1,601.25 / +8.06%</w:t>
            </w:r>
          </w:p>
        </w:tc>
      </w:tr>
    </w:tbl>
    <w:p>
      <w:pPr>
        <w:spacing w:after="60"/>
      </w:pPr>
    </w:p>
    <w:p>
      <w:pPr>
        <w:pStyle w:val="Heading1"/>
      </w:pPr>
      <w:r>
        <w:t>三、门店表现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第二周增长主要来自苏州街店和通州保利店，常营店收入略有回落。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5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门店</w:t>
            </w:r>
          </w:p>
        </w:tc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第一周收入</w:t>
            </w:r>
          </w:p>
        </w:tc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第二周收入</w:t>
            </w:r>
          </w:p>
        </w:tc>
        <w:tc>
          <w:tcPr>
            <w:tcW w:type="dxa" w:w="223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环比变化</w:t>
            </w:r>
          </w:p>
        </w:tc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第二周订单</w:t>
            </w:r>
          </w:p>
        </w:tc>
        <w:tc>
          <w:tcPr>
            <w:tcW w:type="dxa" w:w="151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第二周折后单均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苏州街店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146,774.43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165,655.83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+18,881.40 / +12.86%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1,974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83.92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常营店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147,833.22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146,414.59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-1,418.63 / -0.96%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2,238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65.42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通州保利店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122,777.16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138,940.60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+16,163.44 / +13.16%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1,726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80.50</w:t>
            </w:r>
          </w:p>
        </w:tc>
      </w:tr>
    </w:tbl>
    <w:p>
      <w:pPr>
        <w:spacing w:after="60"/>
      </w:pPr>
    </w:p>
    <w:p>
      <w:pPr>
        <w:pStyle w:val="ListBullet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苏州街店与通州保利店是第二周增长引擎，且都体现为客单提升。</w:t>
      </w:r>
    </w:p>
    <w:p>
      <w:pPr>
        <w:pStyle w:val="ListBullet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常营店订单最高但单均最低，第二周优惠占比升至 13.61%，收入反而微降，应优先复盘低客单和折扣结构。</w:t>
      </w:r>
    </w:p>
    <w:p>
      <w:pPr>
        <w:pStyle w:val="Heading1"/>
      </w:pPr>
      <w:r>
        <w:t>四、渠道结构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堂食仍是绝对主力。前两周店内销售营业收入 741,157.94 元，占总收入 85.35%；外卖平台合计 127,237.89 元，占 14.65%。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渠道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第一周收入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第二周收入</w:t>
            </w:r>
          </w:p>
        </w:tc>
        <w:tc>
          <w:tcPr>
            <w:tcW w:type="dxa" w:w="223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环比变化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E1E1E"/>
                <w:sz w:val="18"/>
              </w:rPr>
              <w:t>第二周优惠占比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店内销售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355,077.37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386,080.57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+31,003.20 / +8.73%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5.43%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美团外卖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44,583.81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47,515.89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+2,932.08 / +6.58%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38.33%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淘宝闪购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13,941.66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13,327.45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-614.21 / -4.41%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33.52%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京东秒送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3,781.97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4,087.11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+305.14 / +8.07%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color w:val="1E1E1E"/>
                <w:sz w:val="18"/>
              </w:rPr>
              <w:t>31.73%</w:t>
            </w:r>
          </w:p>
        </w:tc>
      </w:tr>
    </w:tbl>
    <w:p>
      <w:pPr>
        <w:spacing w:after="60"/>
      </w:pP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外卖端贡献收入 14.65%，但外卖相关优惠金额 75,120.77 元，占总优惠 65.54%，是利润压力的核心来源。</w:t>
      </w:r>
    </w:p>
    <w:p>
      <w:pPr>
        <w:pStyle w:val="Heading1"/>
      </w:pPr>
      <w:r>
        <w:t>五、品类与菜品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前两周部门收入前三为烤串 264,876.88 元、小吃 147,542.04 元、刀削面 108,217.93 元，三类合计占总营业收入 59.97%；加上凉菜后，前四类占 70.50%。经营结构高度集中，烤串是基本盘。畅销菜从第一周“招牌刀削面”转向第二周“高品质大串羔羊肉”，精酿提升也支撑了客单增长。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第二周主要增量来自烤串、凉菜、精酿啤酒类和小吃；回落项集中在刀削面与手擀面。</w:t>
      </w:r>
    </w:p>
    <w:p>
      <w:pPr>
        <w:pStyle w:val="Heading1"/>
      </w:pPr>
      <w:r>
        <w:t>六、会员与敏感操作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会员营业额占比从第一周 28.98%提升到第二周 30.31%，前两周整体 29.68%。会员占比提升是稳定复购的正向信号，后续可继续围绕晚市、烤串、精酿组合做会员触达。</w:t>
      </w:r>
    </w:p>
    <w:p>
      <w:pPr>
        <w:spacing w:before="0" w:after="120" w:line="269" w:lineRule="auto"/>
      </w:pPr>
      <w:r>
        <w:rPr>
          <w:rFonts w:ascii="Arial" w:hAnsi="Arial" w:eastAsia="Microsoft YaHei"/>
          <w:b w:val="0"/>
          <w:color w:val="1E1E1E"/>
          <w:sz w:val="21"/>
        </w:rPr>
        <w:t>敏感操作方面，第二周退菜 398 菜，比第一周增加 28 菜，环比 +7.57%；撤单 48 单，比第一周减少 6 单，环比 -11.11%。前两周退菜合计 768 菜，撤单合计 102 单。</w:t>
      </w:r>
    </w:p>
    <w:p>
      <w:pPr>
        <w:pStyle w:val="Heading1"/>
      </w:pPr>
      <w:r>
        <w:t>七、下阶段动作建议</w:t>
      </w:r>
    </w:p>
    <w:p>
      <w:pPr>
        <w:pStyle w:val="ListNumber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复制高客单打法：复盘苏州街店、通州保利店第二周高客单来源，拆到时段、品类、组合和员工推荐动作，再移植到常营店。</w:t>
      </w:r>
    </w:p>
    <w:p>
      <w:pPr>
        <w:pStyle w:val="ListNumber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常营店专项整改：优先查低客单订单、套餐结构、折扣使用和退菜高发菜品，目标是先把折后单均拉回到 70 元以上。</w:t>
      </w:r>
    </w:p>
    <w:p>
      <w:pPr>
        <w:pStyle w:val="ListNumber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外卖控补贴：按平台拆满减、配送补贴、服务费和菜品毛利，先压缩 30% 以上优惠率中的低效部分。</w:t>
      </w:r>
    </w:p>
    <w:p>
      <w:pPr>
        <w:pStyle w:val="ListNumber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放大精酿与烤串组合：精酿啤酒第二周增长突出，可作为晚市客单提升抓手，但要同步控制第二周 24.27% 的精酿优惠占比。</w:t>
      </w:r>
    </w:p>
    <w:p>
      <w:pPr>
        <w:pStyle w:val="ListNumber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退菜复盘到班次和菜品：常营店退菜偏高，建议按菜品、班次、员工、原因分类，先处理前 5 个高频问题。</w:t>
      </w:r>
    </w:p>
    <w:p>
      <w:pPr>
        <w:pStyle w:val="Heading1"/>
      </w:pPr>
      <w:r>
        <w:t>八、数据文件与口径</w:t>
      </w:r>
    </w:p>
    <w:p>
      <w:pPr>
        <w:pStyle w:val="ListBullet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总表：永杰厚道_营业概览_20260601-20260614.xlsx</w:t>
      </w:r>
    </w:p>
    <w:p>
      <w:pPr>
        <w:pStyle w:val="ListBullet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第一周：永杰厚道_营业概览_20260601-20260607.xlsx</w:t>
      </w:r>
    </w:p>
    <w:p>
      <w:pPr>
        <w:pStyle w:val="ListBullet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第二周：永杰厚道_营业概览_20260608-20260614.xlsx</w:t>
      </w:r>
    </w:p>
    <w:p>
      <w:pPr>
        <w:pStyle w:val="ListBullet"/>
        <w:spacing w:after="80" w:line="269" w:lineRule="auto"/>
      </w:pPr>
      <w:r>
        <w:rPr>
          <w:rFonts w:ascii="Arial" w:hAnsi="Arial" w:eastAsia="Microsoft YaHei"/>
          <w:color w:val="1E1E1E"/>
          <w:sz w:val="21"/>
        </w:rPr>
        <w:t>说明：当前目录未发现 2026/06/15-2026/06/30 数据，本报告按 6 月阶段经营分析处理；补齐下半月数据后可升级为完整月报。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81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5F5F"/>
        <w:sz w:val="17"/>
      </w:rPr>
      <w:t>数据来源：美团管家营业概览导出；当前数据范围 2026/06/01-2026/06/14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5F5F"/>
        <w:sz w:val="18"/>
      </w:rPr>
      <w:t>麦家小馆 | 2026年6月阶段经营分析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