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50" w:rsidRDefault="008A4250" w:rsidP="008A4250">
      <w:pPr>
        <w:spacing w:line="240" w:lineRule="auto"/>
        <w:jc w:val="left"/>
        <w:rPr>
          <w:rFonts w:ascii="Aharoni" w:hAnsi="Aharoni" w:cs="Aharoni" w:hint="cs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3. Analisi del contesto</w:t>
      </w:r>
    </w:p>
    <w:p w:rsidR="001A7C64" w:rsidRDefault="001A7C64">
      <w:pPr>
        <w:rPr>
          <w:rFonts w:ascii="Tw Cen MT" w:hAnsi="Tw Cen MT" w:cs="Aharoni"/>
          <w:sz w:val="28"/>
          <w:szCs w:val="28"/>
        </w:rPr>
      </w:pPr>
    </w:p>
    <w:p w:rsidR="008A4250" w:rsidRDefault="008A4250" w:rsidP="008A4250">
      <w:pPr>
        <w:rPr>
          <w:rFonts w:ascii="Tw Cen MT" w:hAnsi="Tw Cen MT"/>
          <w:sz w:val="28"/>
        </w:rPr>
      </w:pPr>
      <w:r w:rsidRPr="008A4250">
        <w:rPr>
          <w:rFonts w:ascii="Tw Cen MT" w:hAnsi="Tw Cen MT"/>
          <w:sz w:val="28"/>
        </w:rPr>
        <w:t>Nel presente capitolo viene discusso il contesto di funzionamento del sistema, fornendo</w:t>
      </w:r>
      <w:r>
        <w:rPr>
          <w:rFonts w:ascii="Tw Cen MT" w:hAnsi="Tw Cen MT"/>
          <w:sz w:val="28"/>
        </w:rPr>
        <w:t xml:space="preserve"> prima una descrizione dei diversi attori e sistemi esterni con cui il sistema </w:t>
      </w:r>
      <w:r w:rsidR="00876ACD">
        <w:rPr>
          <w:rFonts w:ascii="Tw Cen MT" w:hAnsi="Tw Cen MT"/>
          <w:sz w:val="28"/>
        </w:rPr>
        <w:t>“</w:t>
      </w:r>
      <w:proofErr w:type="spellStart"/>
      <w:r>
        <w:rPr>
          <w:rFonts w:ascii="Tw Cen MT" w:hAnsi="Tw Cen MT"/>
          <w:sz w:val="28"/>
        </w:rPr>
        <w:t>Yinco</w:t>
      </w:r>
      <w:proofErr w:type="spellEnd"/>
      <w:r w:rsidR="00876ACD">
        <w:rPr>
          <w:rFonts w:ascii="Tw Cen MT" w:hAnsi="Tw Cen MT"/>
          <w:sz w:val="28"/>
        </w:rPr>
        <w:t>”</w:t>
      </w:r>
      <w:r>
        <w:rPr>
          <w:rFonts w:ascii="Tw Cen MT" w:hAnsi="Tw Cen MT"/>
          <w:sz w:val="28"/>
        </w:rPr>
        <w:t xml:space="preserve"> si andrà ad interfacciare e, in seguito, presentando</w:t>
      </w:r>
      <w:r w:rsidRPr="008A4250">
        <w:rPr>
          <w:rFonts w:ascii="Tw Cen MT" w:hAnsi="Tw Cen MT"/>
          <w:sz w:val="28"/>
        </w:rPr>
        <w:t xml:space="preserve"> una descrizione testuale e una rappresentazione g</w:t>
      </w:r>
      <w:r>
        <w:rPr>
          <w:rFonts w:ascii="Tw Cen MT" w:hAnsi="Tw Cen MT"/>
          <w:sz w:val="28"/>
        </w:rPr>
        <w:t>rafica</w:t>
      </w:r>
      <w:r w:rsidR="00B5397F">
        <w:rPr>
          <w:rFonts w:ascii="Tw Cen MT" w:hAnsi="Tw Cen MT"/>
          <w:sz w:val="28"/>
        </w:rPr>
        <w:t xml:space="preserve"> del sistema</w:t>
      </w:r>
      <w:r>
        <w:rPr>
          <w:rFonts w:ascii="Tw Cen MT" w:hAnsi="Tw Cen MT"/>
          <w:sz w:val="28"/>
        </w:rPr>
        <w:t xml:space="preserve"> basata sul diagramma di contesto</w:t>
      </w:r>
      <w:r w:rsidRPr="008A4250">
        <w:rPr>
          <w:rFonts w:ascii="Tw Cen MT" w:hAnsi="Tw Cen MT"/>
          <w:sz w:val="28"/>
        </w:rPr>
        <w:t>.</w:t>
      </w:r>
      <w:r>
        <w:rPr>
          <w:rFonts w:ascii="Tw Cen MT" w:hAnsi="Tw Cen MT"/>
          <w:sz w:val="28"/>
        </w:rPr>
        <w:t xml:space="preserve"> </w:t>
      </w:r>
    </w:p>
    <w:p w:rsidR="008A4250" w:rsidRDefault="008A4250" w:rsidP="008A4250">
      <w:pPr>
        <w:rPr>
          <w:rFonts w:ascii="Tw Cen MT" w:hAnsi="Tw Cen MT"/>
          <w:sz w:val="28"/>
        </w:rPr>
      </w:pPr>
    </w:p>
    <w:p w:rsidR="008A4250" w:rsidRDefault="008A4250" w:rsidP="008A4250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3.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1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D13F0">
        <w:rPr>
          <w:rFonts w:ascii="Aharoni" w:hAnsi="Aharoni" w:cs="Aharoni"/>
          <w:b/>
          <w:bCs/>
          <w:color w:val="CB4141"/>
          <w:sz w:val="52"/>
          <w:szCs w:val="52"/>
        </w:rPr>
        <w:t>Attori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e sistemi esterni</w:t>
      </w:r>
    </w:p>
    <w:p w:rsidR="008A4250" w:rsidRDefault="008A4250" w:rsidP="008A4250">
      <w:pPr>
        <w:spacing w:line="240" w:lineRule="auto"/>
        <w:jc w:val="left"/>
        <w:rPr>
          <w:rFonts w:ascii="Tw Cen MT" w:hAnsi="Tw Cen MT" w:cs="Aharoni"/>
          <w:bCs/>
          <w:color w:val="CB4141"/>
          <w:sz w:val="28"/>
          <w:szCs w:val="52"/>
        </w:rPr>
      </w:pPr>
    </w:p>
    <w:p w:rsidR="008A4250" w:rsidRDefault="00746456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>3.1.1</w:t>
      </w:r>
      <w:r w:rsidRPr="00746456">
        <w:rPr>
          <w:rFonts w:ascii="Tw Cen MT" w:hAnsi="Tw Cen MT" w:cs="Aharoni"/>
          <w:bCs/>
          <w:sz w:val="32"/>
          <w:szCs w:val="52"/>
        </w:rPr>
        <w:t xml:space="preserve">: </w:t>
      </w:r>
      <w:r>
        <w:rPr>
          <w:rFonts w:ascii="Tw Cen MT" w:hAnsi="Tw Cen MT" w:cs="Aharoni"/>
          <w:b/>
          <w:bCs/>
          <w:sz w:val="32"/>
          <w:szCs w:val="52"/>
        </w:rPr>
        <w:t>UTENTE</w:t>
      </w:r>
    </w:p>
    <w:p w:rsidR="00746456" w:rsidRDefault="00746456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 xml:space="preserve">L’utente è </w:t>
      </w:r>
      <w:r w:rsidR="006735D8">
        <w:rPr>
          <w:rFonts w:ascii="Tw Cen MT" w:hAnsi="Tw Cen MT" w:cs="Aharoni"/>
          <w:bCs/>
          <w:sz w:val="28"/>
          <w:szCs w:val="52"/>
        </w:rPr>
        <w:t xml:space="preserve">un attore, ovvero </w:t>
      </w:r>
      <w:r>
        <w:rPr>
          <w:rFonts w:ascii="Tw Cen MT" w:hAnsi="Tw Cen MT" w:cs="Aharoni"/>
          <w:bCs/>
          <w:sz w:val="28"/>
          <w:szCs w:val="52"/>
        </w:rPr>
        <w:t xml:space="preserve">colui che andrà ad utilizzare l’applicazione per cercare informazioni così come descritto negli </w:t>
      </w:r>
      <w:r w:rsidRPr="001A720F">
        <w:rPr>
          <w:rFonts w:ascii="Tw Cen MT" w:hAnsi="Tw Cen MT" w:cs="Aharoni"/>
          <w:b/>
          <w:bCs/>
          <w:sz w:val="28"/>
          <w:szCs w:val="52"/>
        </w:rPr>
        <w:t>obiettivi</w:t>
      </w:r>
      <w:r>
        <w:rPr>
          <w:rFonts w:ascii="Tw Cen MT" w:hAnsi="Tw Cen MT" w:cs="Aharoni"/>
          <w:bCs/>
          <w:sz w:val="28"/>
          <w:szCs w:val="52"/>
        </w:rPr>
        <w:t xml:space="preserve"> </w:t>
      </w:r>
      <w:r w:rsidRPr="001A720F">
        <w:rPr>
          <w:rFonts w:ascii="Tw Cen MT" w:hAnsi="Tw Cen MT" w:cs="Aharoni"/>
          <w:b/>
          <w:bCs/>
          <w:sz w:val="28"/>
          <w:szCs w:val="52"/>
        </w:rPr>
        <w:t>a</w:t>
      </w:r>
      <w:r>
        <w:rPr>
          <w:rFonts w:ascii="Tw Cen MT" w:hAnsi="Tw Cen MT" w:cs="Aharoni"/>
          <w:bCs/>
          <w:sz w:val="28"/>
          <w:szCs w:val="52"/>
        </w:rPr>
        <w:t xml:space="preserve">, </w:t>
      </w:r>
      <w:r w:rsidRPr="001A720F">
        <w:rPr>
          <w:rFonts w:ascii="Tw Cen MT" w:hAnsi="Tw Cen MT" w:cs="Aharoni"/>
          <w:b/>
          <w:bCs/>
          <w:sz w:val="28"/>
          <w:szCs w:val="52"/>
        </w:rPr>
        <w:t>b</w:t>
      </w:r>
      <w:r>
        <w:rPr>
          <w:rFonts w:ascii="Tw Cen MT" w:hAnsi="Tw Cen MT" w:cs="Aharoni"/>
          <w:bCs/>
          <w:sz w:val="28"/>
          <w:szCs w:val="52"/>
        </w:rPr>
        <w:t xml:space="preserve"> e </w:t>
      </w:r>
      <w:r w:rsidRPr="001A720F">
        <w:rPr>
          <w:rFonts w:ascii="Tw Cen MT" w:hAnsi="Tw Cen MT" w:cs="Aharoni"/>
          <w:b/>
          <w:bCs/>
          <w:sz w:val="28"/>
          <w:szCs w:val="52"/>
        </w:rPr>
        <w:t>d</w:t>
      </w:r>
      <w:r>
        <w:rPr>
          <w:rFonts w:ascii="Tw Cen MT" w:hAnsi="Tw Cen MT" w:cs="Aharoni"/>
          <w:bCs/>
          <w:sz w:val="28"/>
          <w:szCs w:val="52"/>
        </w:rPr>
        <w:t xml:space="preserve"> del documento di analisi dei requisiti. Come descritto nell’introduzione ai requisiti funzionali del documento sopracitato, si effettua una distinzione tra utente anonimo e utente autenticato, </w:t>
      </w:r>
      <w:r w:rsidR="00FD5419">
        <w:rPr>
          <w:rFonts w:ascii="Tw Cen MT" w:hAnsi="Tw Cen MT" w:cs="Aharoni"/>
          <w:bCs/>
          <w:sz w:val="28"/>
          <w:szCs w:val="52"/>
        </w:rPr>
        <w:t xml:space="preserve">caratterizzati dagli obiettivi </w:t>
      </w:r>
      <w:r w:rsidR="00FD5419" w:rsidRPr="001A720F">
        <w:rPr>
          <w:rFonts w:ascii="Tw Cen MT" w:hAnsi="Tw Cen MT" w:cs="Aharoni"/>
          <w:b/>
          <w:bCs/>
          <w:sz w:val="28"/>
          <w:szCs w:val="52"/>
        </w:rPr>
        <w:t>a</w:t>
      </w:r>
      <w:r w:rsidR="00FD5419">
        <w:rPr>
          <w:rFonts w:ascii="Tw Cen MT" w:hAnsi="Tw Cen MT" w:cs="Aharoni"/>
          <w:bCs/>
          <w:sz w:val="28"/>
          <w:szCs w:val="52"/>
        </w:rPr>
        <w:t xml:space="preserve"> e </w:t>
      </w:r>
      <w:r w:rsidR="00FD5419" w:rsidRPr="001A720F">
        <w:rPr>
          <w:rFonts w:ascii="Tw Cen MT" w:hAnsi="Tw Cen MT" w:cs="Aharoni"/>
          <w:b/>
          <w:bCs/>
          <w:sz w:val="28"/>
          <w:szCs w:val="52"/>
        </w:rPr>
        <w:t>b</w:t>
      </w:r>
      <w:r w:rsidR="00FD5419">
        <w:rPr>
          <w:rFonts w:ascii="Tw Cen MT" w:hAnsi="Tw Cen MT" w:cs="Aharoni"/>
          <w:bCs/>
          <w:sz w:val="28"/>
          <w:szCs w:val="52"/>
        </w:rPr>
        <w:t>.</w:t>
      </w:r>
    </w:p>
    <w:p w:rsidR="00FD5419" w:rsidRDefault="00FD5419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FD5419" w:rsidRDefault="00FD5419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 xml:space="preserve">3.1.2: </w:t>
      </w:r>
      <w:r>
        <w:rPr>
          <w:rFonts w:ascii="Tw Cen MT" w:hAnsi="Tw Cen MT" w:cs="Aharoni"/>
          <w:b/>
          <w:bCs/>
          <w:sz w:val="32"/>
          <w:szCs w:val="52"/>
        </w:rPr>
        <w:t>MONGODB</w:t>
      </w:r>
    </w:p>
    <w:p w:rsidR="00795B55" w:rsidRDefault="00FD5419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 xml:space="preserve">Con riferimento al </w:t>
      </w:r>
      <w:r w:rsidRPr="001A720F">
        <w:rPr>
          <w:rFonts w:ascii="Tw Cen MT" w:hAnsi="Tw Cen MT" w:cs="Aharoni"/>
          <w:b/>
          <w:bCs/>
          <w:sz w:val="28"/>
          <w:szCs w:val="52"/>
        </w:rPr>
        <w:t>RF4</w:t>
      </w:r>
      <w:r>
        <w:rPr>
          <w:rFonts w:ascii="Tw Cen MT" w:hAnsi="Tw Cen MT" w:cs="Aharoni"/>
          <w:bCs/>
          <w:sz w:val="28"/>
          <w:szCs w:val="52"/>
        </w:rPr>
        <w:t xml:space="preserve">, </w:t>
      </w:r>
      <w:proofErr w:type="spellStart"/>
      <w:r>
        <w:rPr>
          <w:rFonts w:ascii="Tw Cen MT" w:hAnsi="Tw Cen MT" w:cs="Aharoni"/>
          <w:bCs/>
          <w:sz w:val="28"/>
          <w:szCs w:val="52"/>
        </w:rPr>
        <w:t>MongoDB</w:t>
      </w:r>
      <w:proofErr w:type="spellEnd"/>
      <w:r>
        <w:rPr>
          <w:rFonts w:ascii="Tw Cen MT" w:hAnsi="Tw Cen MT" w:cs="Aharoni"/>
          <w:bCs/>
          <w:sz w:val="28"/>
          <w:szCs w:val="52"/>
        </w:rPr>
        <w:t xml:space="preserve"> è il database su cui vengono salvate le informazioni che poi l’utente potrà cercare e le preferenze riguardo all’invio di mail da parte del sistema</w:t>
      </w:r>
      <w:r w:rsidR="0059273A">
        <w:rPr>
          <w:rFonts w:ascii="Tw Cen MT" w:hAnsi="Tw Cen MT" w:cs="Aharoni"/>
          <w:bCs/>
          <w:sz w:val="28"/>
          <w:szCs w:val="52"/>
        </w:rPr>
        <w:t>,</w:t>
      </w:r>
      <w:r w:rsidR="00557648">
        <w:rPr>
          <w:rFonts w:ascii="Tw Cen MT" w:hAnsi="Tw Cen MT" w:cs="Aharoni"/>
          <w:bCs/>
          <w:sz w:val="28"/>
          <w:szCs w:val="52"/>
        </w:rPr>
        <w:t xml:space="preserve"> che l’utente può impostare secondo il </w:t>
      </w:r>
      <w:r w:rsidR="00557648" w:rsidRPr="001A720F">
        <w:rPr>
          <w:rFonts w:ascii="Tw Cen MT" w:hAnsi="Tw Cen MT" w:cs="Aharoni"/>
          <w:b/>
          <w:bCs/>
          <w:sz w:val="28"/>
          <w:szCs w:val="52"/>
        </w:rPr>
        <w:t>RF8</w:t>
      </w:r>
      <w:r w:rsidR="00557648">
        <w:rPr>
          <w:rFonts w:ascii="Tw Cen MT" w:hAnsi="Tw Cen MT" w:cs="Aharoni"/>
          <w:bCs/>
          <w:sz w:val="28"/>
          <w:szCs w:val="52"/>
        </w:rPr>
        <w:t>.</w:t>
      </w:r>
    </w:p>
    <w:p w:rsidR="00557648" w:rsidRDefault="00557648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557648" w:rsidRDefault="00557648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 xml:space="preserve">3.1.3: </w:t>
      </w:r>
      <w:r>
        <w:rPr>
          <w:rFonts w:ascii="Tw Cen MT" w:hAnsi="Tw Cen MT" w:cs="Aharoni"/>
          <w:b/>
          <w:bCs/>
          <w:sz w:val="32"/>
          <w:szCs w:val="52"/>
        </w:rPr>
        <w:t>ESSE3</w:t>
      </w:r>
    </w:p>
    <w:p w:rsidR="00557648" w:rsidRDefault="00557648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 xml:space="preserve">Come descritto nel </w:t>
      </w:r>
      <w:r w:rsidRPr="001A720F">
        <w:rPr>
          <w:rFonts w:ascii="Tw Cen MT" w:hAnsi="Tw Cen MT" w:cs="Aharoni"/>
          <w:b/>
          <w:bCs/>
          <w:sz w:val="28"/>
          <w:szCs w:val="52"/>
        </w:rPr>
        <w:t>RF10</w:t>
      </w:r>
      <w:r>
        <w:rPr>
          <w:rFonts w:ascii="Tw Cen MT" w:hAnsi="Tw Cen MT" w:cs="Aharoni"/>
          <w:bCs/>
          <w:sz w:val="28"/>
          <w:szCs w:val="52"/>
        </w:rPr>
        <w:t xml:space="preserve">, Esse3 è il sistema con cui </w:t>
      </w:r>
      <w:proofErr w:type="spellStart"/>
      <w:r>
        <w:rPr>
          <w:rFonts w:ascii="Tw Cen MT" w:hAnsi="Tw Cen MT" w:cs="Aharoni"/>
          <w:bCs/>
          <w:sz w:val="28"/>
          <w:szCs w:val="52"/>
        </w:rPr>
        <w:t>Yinco</w:t>
      </w:r>
      <w:proofErr w:type="spellEnd"/>
      <w:r>
        <w:rPr>
          <w:rFonts w:ascii="Tw Cen MT" w:hAnsi="Tw Cen MT" w:cs="Aharoni"/>
          <w:bCs/>
          <w:sz w:val="28"/>
          <w:szCs w:val="52"/>
        </w:rPr>
        <w:t xml:space="preserve"> si deve interfacciare per ottenere le date di scadenza degli esami e delle tasse universitarie. </w:t>
      </w:r>
    </w:p>
    <w:p w:rsidR="00557648" w:rsidRDefault="00557648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557648" w:rsidRDefault="00557648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 xml:space="preserve">3.1.4: </w:t>
      </w:r>
      <w:r w:rsidR="001A720F">
        <w:rPr>
          <w:rFonts w:ascii="Tw Cen MT" w:hAnsi="Tw Cen MT" w:cs="Aharoni"/>
          <w:b/>
          <w:bCs/>
          <w:sz w:val="32"/>
          <w:szCs w:val="52"/>
        </w:rPr>
        <w:t xml:space="preserve">SISTEMA CREDENZIALI </w:t>
      </w:r>
      <w:r>
        <w:rPr>
          <w:rFonts w:ascii="Tw Cen MT" w:hAnsi="Tw Cen MT" w:cs="Aharoni"/>
          <w:b/>
          <w:bCs/>
          <w:sz w:val="32"/>
          <w:szCs w:val="52"/>
        </w:rPr>
        <w:t>UNITN</w:t>
      </w:r>
    </w:p>
    <w:p w:rsidR="0005374F" w:rsidRDefault="001A720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>Questo</w:t>
      </w:r>
      <w:r w:rsidR="00557648">
        <w:rPr>
          <w:rFonts w:ascii="Tw Cen MT" w:hAnsi="Tw Cen MT" w:cs="Aharoni"/>
          <w:bCs/>
          <w:sz w:val="28"/>
          <w:szCs w:val="52"/>
        </w:rPr>
        <w:t xml:space="preserve"> è il sistema che forni</w:t>
      </w:r>
      <w:r w:rsidR="00DA147C">
        <w:rPr>
          <w:rFonts w:ascii="Tw Cen MT" w:hAnsi="Tw Cen MT" w:cs="Aharoni"/>
          <w:bCs/>
          <w:sz w:val="28"/>
          <w:szCs w:val="52"/>
        </w:rPr>
        <w:t xml:space="preserve">sce le credenziali di accesso a </w:t>
      </w:r>
      <w:proofErr w:type="spellStart"/>
      <w:r w:rsidR="00DA147C">
        <w:rPr>
          <w:rFonts w:ascii="Tw Cen MT" w:hAnsi="Tw Cen MT" w:cs="Aharoni"/>
          <w:bCs/>
          <w:sz w:val="28"/>
          <w:szCs w:val="52"/>
        </w:rPr>
        <w:t>Yinco</w:t>
      </w:r>
      <w:proofErr w:type="spellEnd"/>
      <w:r w:rsidR="00DA147C">
        <w:rPr>
          <w:rFonts w:ascii="Tw Cen MT" w:hAnsi="Tw Cen MT" w:cs="Aharoni"/>
          <w:bCs/>
          <w:sz w:val="28"/>
          <w:szCs w:val="52"/>
        </w:rPr>
        <w:t xml:space="preserve"> e che permette ad un utente anonimo di diventare utente autenticato</w:t>
      </w:r>
      <w:r w:rsidR="00557648">
        <w:rPr>
          <w:rFonts w:ascii="Tw Cen MT" w:hAnsi="Tw Cen MT" w:cs="Aharoni"/>
          <w:bCs/>
          <w:sz w:val="28"/>
          <w:szCs w:val="52"/>
        </w:rPr>
        <w:t xml:space="preserve">, come descritto nei </w:t>
      </w:r>
      <w:r w:rsidR="00557648" w:rsidRPr="00DA147C">
        <w:rPr>
          <w:rFonts w:ascii="Tw Cen MT" w:hAnsi="Tw Cen MT" w:cs="Aharoni"/>
          <w:b/>
          <w:bCs/>
          <w:sz w:val="28"/>
          <w:szCs w:val="52"/>
        </w:rPr>
        <w:t>RF11</w:t>
      </w:r>
      <w:r w:rsidR="00557648">
        <w:rPr>
          <w:rFonts w:ascii="Tw Cen MT" w:hAnsi="Tw Cen MT" w:cs="Aharoni"/>
          <w:bCs/>
          <w:sz w:val="28"/>
          <w:szCs w:val="52"/>
        </w:rPr>
        <w:t xml:space="preserve"> e </w:t>
      </w:r>
      <w:r w:rsidR="00557648" w:rsidRPr="00DA147C">
        <w:rPr>
          <w:rFonts w:ascii="Tw Cen MT" w:hAnsi="Tw Cen MT" w:cs="Aharoni"/>
          <w:b/>
          <w:bCs/>
          <w:sz w:val="28"/>
          <w:szCs w:val="52"/>
        </w:rPr>
        <w:t>RF2.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 xml:space="preserve">3.1.5: </w:t>
      </w:r>
      <w:r>
        <w:rPr>
          <w:rFonts w:ascii="Tw Cen MT" w:hAnsi="Tw Cen MT" w:cs="Aharoni"/>
          <w:b/>
          <w:bCs/>
          <w:sz w:val="32"/>
          <w:szCs w:val="52"/>
        </w:rPr>
        <w:t>UNITRENTO DIGITAL UNIVERSITY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proofErr w:type="spellStart"/>
      <w:r w:rsidRPr="0005374F">
        <w:rPr>
          <w:rFonts w:ascii="Tw Cen MT" w:hAnsi="Tw Cen MT" w:cs="Aharoni"/>
          <w:bCs/>
          <w:sz w:val="28"/>
          <w:szCs w:val="52"/>
        </w:rPr>
        <w:t>UniTrento</w:t>
      </w:r>
      <w:proofErr w:type="spellEnd"/>
      <w:r w:rsidRPr="0005374F">
        <w:rPr>
          <w:rFonts w:ascii="Tw Cen MT" w:hAnsi="Tw Cen MT" w:cs="Aharoni"/>
          <w:bCs/>
          <w:sz w:val="28"/>
          <w:szCs w:val="52"/>
        </w:rPr>
        <w:t xml:space="preserve"> Digital </w:t>
      </w:r>
      <w:proofErr w:type="spellStart"/>
      <w:r w:rsidRPr="0005374F">
        <w:rPr>
          <w:rFonts w:ascii="Tw Cen MT" w:hAnsi="Tw Cen MT" w:cs="Aharoni"/>
          <w:bCs/>
          <w:sz w:val="28"/>
          <w:szCs w:val="52"/>
        </w:rPr>
        <w:t>University</w:t>
      </w:r>
      <w:proofErr w:type="spellEnd"/>
      <w:r w:rsidRPr="0005374F">
        <w:rPr>
          <w:rFonts w:ascii="Tw Cen MT" w:hAnsi="Tw Cen MT" w:cs="Aharoni"/>
          <w:bCs/>
          <w:sz w:val="28"/>
          <w:szCs w:val="52"/>
        </w:rPr>
        <w:t xml:space="preserve"> è il sistema con cui </w:t>
      </w:r>
      <w:proofErr w:type="spellStart"/>
      <w:r w:rsidRPr="0005374F">
        <w:rPr>
          <w:rFonts w:ascii="Tw Cen MT" w:hAnsi="Tw Cen MT" w:cs="Aharoni"/>
          <w:bCs/>
          <w:sz w:val="28"/>
          <w:szCs w:val="52"/>
        </w:rPr>
        <w:t>Yinco</w:t>
      </w:r>
      <w:proofErr w:type="spellEnd"/>
      <w:r w:rsidRPr="0005374F">
        <w:rPr>
          <w:rFonts w:ascii="Tw Cen MT" w:hAnsi="Tw Cen MT" w:cs="Aharoni"/>
          <w:bCs/>
          <w:sz w:val="28"/>
          <w:szCs w:val="52"/>
        </w:rPr>
        <w:t xml:space="preserve"> deve interagire per poter ottenere informazioni sui docenti appartenenti all’università di Trento, come richiesto dal (RF16 NB: da scrivere, soddisferà l’obiettivo d, che verrà tolto dal RF10)</w:t>
      </w:r>
      <w:r>
        <w:rPr>
          <w:rFonts w:ascii="Tw Cen MT" w:hAnsi="Tw Cen MT" w:cs="Aharoni"/>
          <w:bCs/>
          <w:sz w:val="28"/>
          <w:szCs w:val="52"/>
        </w:rPr>
        <w:t>.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 xml:space="preserve">3.1.6: </w:t>
      </w:r>
      <w:r>
        <w:rPr>
          <w:rFonts w:ascii="Tw Cen MT" w:hAnsi="Tw Cen MT" w:cs="Aharoni"/>
          <w:b/>
          <w:bCs/>
          <w:sz w:val="32"/>
          <w:szCs w:val="52"/>
        </w:rPr>
        <w:t>GMAIL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proofErr w:type="spellStart"/>
      <w:r>
        <w:rPr>
          <w:rFonts w:ascii="Tw Cen MT" w:hAnsi="Tw Cen MT" w:cs="Aharoni"/>
          <w:bCs/>
          <w:sz w:val="28"/>
          <w:szCs w:val="52"/>
        </w:rPr>
        <w:t>Gmail</w:t>
      </w:r>
      <w:proofErr w:type="spellEnd"/>
      <w:r>
        <w:rPr>
          <w:rFonts w:ascii="Tw Cen MT" w:hAnsi="Tw Cen MT" w:cs="Aharoni"/>
          <w:bCs/>
          <w:sz w:val="28"/>
          <w:szCs w:val="52"/>
        </w:rPr>
        <w:t xml:space="preserve"> è il sistema esterno con cui </w:t>
      </w:r>
      <w:proofErr w:type="spellStart"/>
      <w:r>
        <w:rPr>
          <w:rFonts w:ascii="Tw Cen MT" w:hAnsi="Tw Cen MT" w:cs="Aharoni"/>
          <w:bCs/>
          <w:sz w:val="28"/>
          <w:szCs w:val="52"/>
        </w:rPr>
        <w:t>Yinco</w:t>
      </w:r>
      <w:proofErr w:type="spellEnd"/>
      <w:r>
        <w:rPr>
          <w:rFonts w:ascii="Tw Cen MT" w:hAnsi="Tw Cen MT" w:cs="Aharoni"/>
          <w:bCs/>
          <w:sz w:val="28"/>
          <w:szCs w:val="52"/>
        </w:rPr>
        <w:t xml:space="preserve"> deve interagire per poter mandare mail agli studenti che hanno accettato di ricevere notifiche, come descritto nel </w:t>
      </w:r>
      <w:r w:rsidRPr="00DA147C">
        <w:rPr>
          <w:rFonts w:ascii="Tw Cen MT" w:hAnsi="Tw Cen MT" w:cs="Aharoni"/>
          <w:b/>
          <w:bCs/>
          <w:sz w:val="28"/>
          <w:szCs w:val="52"/>
        </w:rPr>
        <w:t>RF9</w:t>
      </w:r>
      <w:r>
        <w:rPr>
          <w:rFonts w:ascii="Tw Cen MT" w:hAnsi="Tw Cen MT" w:cs="Aharoni"/>
          <w:bCs/>
          <w:sz w:val="28"/>
          <w:szCs w:val="52"/>
        </w:rPr>
        <w:t>.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/>
          <w:bCs/>
          <w:sz w:val="32"/>
          <w:szCs w:val="52"/>
        </w:rPr>
      </w:pPr>
      <w:r>
        <w:rPr>
          <w:rFonts w:ascii="Tw Cen MT" w:hAnsi="Tw Cen MT" w:cs="Aharoni"/>
          <w:bCs/>
          <w:sz w:val="32"/>
          <w:szCs w:val="52"/>
        </w:rPr>
        <w:t xml:space="preserve">3.1.7: </w:t>
      </w:r>
      <w:r>
        <w:rPr>
          <w:rFonts w:ascii="Tw Cen MT" w:hAnsi="Tw Cen MT" w:cs="Aharoni"/>
          <w:b/>
          <w:bCs/>
          <w:sz w:val="32"/>
          <w:szCs w:val="52"/>
        </w:rPr>
        <w:t>GOOGLE MAPS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 xml:space="preserve">Google </w:t>
      </w:r>
      <w:proofErr w:type="spellStart"/>
      <w:r>
        <w:rPr>
          <w:rFonts w:ascii="Tw Cen MT" w:hAnsi="Tw Cen MT" w:cs="Aharoni"/>
          <w:bCs/>
          <w:sz w:val="28"/>
          <w:szCs w:val="52"/>
        </w:rPr>
        <w:t>Maps</w:t>
      </w:r>
      <w:proofErr w:type="spellEnd"/>
      <w:r>
        <w:rPr>
          <w:rFonts w:ascii="Tw Cen MT" w:hAnsi="Tw Cen MT" w:cs="Aharoni"/>
          <w:bCs/>
          <w:sz w:val="28"/>
          <w:szCs w:val="52"/>
        </w:rPr>
        <w:t xml:space="preserve"> fornisce al sistema la mappa che dovrà essere visualizzata nella sezione contatti, così come richiesto dal </w:t>
      </w:r>
      <w:r w:rsidRPr="00DA147C">
        <w:rPr>
          <w:rFonts w:ascii="Tw Cen MT" w:hAnsi="Tw Cen MT" w:cs="Aharoni"/>
          <w:b/>
          <w:bCs/>
          <w:sz w:val="28"/>
          <w:szCs w:val="52"/>
        </w:rPr>
        <w:t>RF14</w:t>
      </w:r>
      <w:r>
        <w:rPr>
          <w:rFonts w:ascii="Tw Cen MT" w:hAnsi="Tw Cen MT" w:cs="Aharoni"/>
          <w:bCs/>
          <w:sz w:val="28"/>
          <w:szCs w:val="52"/>
        </w:rPr>
        <w:t>.</w:t>
      </w:r>
    </w:p>
    <w:p w:rsidR="00795B55" w:rsidRDefault="00795B55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795B55" w:rsidRDefault="00795B55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795B55" w:rsidRDefault="00795B55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lastRenderedPageBreak/>
        <w:t>Per qu</w:t>
      </w:r>
      <w:r w:rsidR="00087B14">
        <w:rPr>
          <w:rFonts w:ascii="Tw Cen MT" w:hAnsi="Tw Cen MT" w:cs="Aharoni"/>
          <w:bCs/>
          <w:sz w:val="28"/>
          <w:szCs w:val="52"/>
        </w:rPr>
        <w:t>anto riguarda le relazioni</w:t>
      </w:r>
      <w:r>
        <w:rPr>
          <w:rFonts w:ascii="Tw Cen MT" w:hAnsi="Tw Cen MT" w:cs="Aharoni"/>
          <w:bCs/>
          <w:sz w:val="28"/>
          <w:szCs w:val="52"/>
        </w:rPr>
        <w:t xml:space="preserve"> dei seguenti attori e sistemi esterni nei confronti del sistema “</w:t>
      </w:r>
      <w:proofErr w:type="spellStart"/>
      <w:r>
        <w:rPr>
          <w:rFonts w:ascii="Tw Cen MT" w:hAnsi="Tw Cen MT" w:cs="Aharoni"/>
          <w:bCs/>
          <w:sz w:val="28"/>
          <w:szCs w:val="52"/>
        </w:rPr>
        <w:t>Yinco</w:t>
      </w:r>
      <w:proofErr w:type="spellEnd"/>
      <w:r>
        <w:rPr>
          <w:rFonts w:ascii="Tw Cen MT" w:hAnsi="Tw Cen MT" w:cs="Aharoni"/>
          <w:bCs/>
          <w:sz w:val="28"/>
          <w:szCs w:val="52"/>
        </w:rPr>
        <w:t>”</w:t>
      </w:r>
      <w:r w:rsidR="00087B14">
        <w:rPr>
          <w:rFonts w:ascii="Tw Cen MT" w:hAnsi="Tw Cen MT" w:cs="Aharoni"/>
          <w:bCs/>
          <w:sz w:val="28"/>
          <w:szCs w:val="52"/>
        </w:rPr>
        <w:t>, esse sono così definite</w:t>
      </w:r>
      <w:r>
        <w:rPr>
          <w:rFonts w:ascii="Tw Cen MT" w:hAnsi="Tw Cen MT" w:cs="Aharoni"/>
          <w:bCs/>
          <w:sz w:val="28"/>
          <w:szCs w:val="52"/>
        </w:rPr>
        <w:t>:</w:t>
      </w:r>
    </w:p>
    <w:p w:rsidR="00795B55" w:rsidRDefault="00795B55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 xml:space="preserve">-il sistema 3.1.2 è un </w:t>
      </w:r>
      <w:bookmarkStart w:id="0" w:name="_GoBack"/>
      <w:bookmarkEnd w:id="0"/>
      <w:r>
        <w:rPr>
          <w:rFonts w:ascii="Tw Cen MT" w:hAnsi="Tw Cen MT" w:cs="Aharoni"/>
          <w:bCs/>
          <w:sz w:val="28"/>
          <w:szCs w:val="52"/>
        </w:rPr>
        <w:t>sistema paritario</w:t>
      </w:r>
      <w:r w:rsidR="000A5CB4">
        <w:rPr>
          <w:rFonts w:ascii="Tw Cen MT" w:hAnsi="Tw Cen MT" w:cs="Aharoni"/>
          <w:bCs/>
          <w:sz w:val="28"/>
          <w:szCs w:val="52"/>
        </w:rPr>
        <w:t>.</w:t>
      </w:r>
    </w:p>
    <w:p w:rsidR="00795B55" w:rsidRDefault="00795B55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>-il sistema 3.1.1 è un attore</w:t>
      </w:r>
      <w:r w:rsidR="000A5CB4">
        <w:rPr>
          <w:rFonts w:ascii="Tw Cen MT" w:hAnsi="Tw Cen MT" w:cs="Aharoni"/>
          <w:bCs/>
          <w:sz w:val="28"/>
          <w:szCs w:val="52"/>
        </w:rPr>
        <w:t>.</w:t>
      </w:r>
    </w:p>
    <w:p w:rsidR="00795B55" w:rsidRDefault="00795B55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  <w:r>
        <w:rPr>
          <w:rFonts w:ascii="Tw Cen MT" w:hAnsi="Tw Cen MT" w:cs="Aharoni"/>
          <w:bCs/>
          <w:sz w:val="28"/>
          <w:szCs w:val="52"/>
        </w:rPr>
        <w:t>-i sistemi 3.1.3, 3.1.4, 3.1.5, 3.1.6 e 3.1.7 sono sistemi subordinati</w:t>
      </w:r>
      <w:r w:rsidR="000563BB">
        <w:rPr>
          <w:rFonts w:ascii="Tw Cen MT" w:hAnsi="Tw Cen MT" w:cs="Aharoni"/>
          <w:bCs/>
          <w:sz w:val="28"/>
          <w:szCs w:val="52"/>
        </w:rPr>
        <w:t>.</w:t>
      </w:r>
    </w:p>
    <w:p w:rsidR="0005374F" w:rsidRDefault="0005374F" w:rsidP="008A4250">
      <w:pPr>
        <w:spacing w:line="240" w:lineRule="auto"/>
        <w:jc w:val="left"/>
        <w:rPr>
          <w:rFonts w:ascii="Tw Cen MT" w:hAnsi="Tw Cen MT" w:cs="Aharoni"/>
          <w:bCs/>
          <w:sz w:val="28"/>
          <w:szCs w:val="52"/>
        </w:rPr>
      </w:pPr>
    </w:p>
    <w:p w:rsidR="00FD5419" w:rsidRPr="0005374F" w:rsidRDefault="00FD5419" w:rsidP="008A4250">
      <w:pPr>
        <w:spacing w:line="240" w:lineRule="auto"/>
        <w:jc w:val="left"/>
        <w:rPr>
          <w:rFonts w:ascii="Tw Cen MT" w:hAnsi="Tw Cen MT" w:cs="Aharoni"/>
          <w:bCs/>
          <w:sz w:val="24"/>
          <w:szCs w:val="52"/>
        </w:rPr>
      </w:pPr>
      <w:r w:rsidRPr="0005374F">
        <w:rPr>
          <w:rFonts w:ascii="Tw Cen MT" w:hAnsi="Tw Cen MT" w:cs="Aharoni"/>
          <w:bCs/>
          <w:sz w:val="24"/>
          <w:szCs w:val="52"/>
        </w:rPr>
        <w:t xml:space="preserve"> </w:t>
      </w:r>
    </w:p>
    <w:p w:rsidR="008A4250" w:rsidRDefault="003C57D4" w:rsidP="008A4250">
      <w:pPr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3.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2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Diagramma di Contesto</w:t>
      </w:r>
    </w:p>
    <w:p w:rsidR="003C57D4" w:rsidRPr="003C57D4" w:rsidRDefault="003C57D4" w:rsidP="008A4250">
      <w:pPr>
        <w:rPr>
          <w:rFonts w:ascii="Tw Cen MT" w:hAnsi="Tw Cen MT"/>
          <w:sz w:val="28"/>
        </w:rPr>
      </w:pPr>
    </w:p>
    <w:p w:rsidR="008A4250" w:rsidRDefault="009A0A5C">
      <w:pPr>
        <w:rPr>
          <w:rFonts w:ascii="Tw Cen MT" w:hAnsi="Tw Cen M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B84933" wp14:editId="6DDCF3B4">
                <wp:simplePos x="0" y="0"/>
                <wp:positionH relativeFrom="column">
                  <wp:posOffset>-57150</wp:posOffset>
                </wp:positionH>
                <wp:positionV relativeFrom="paragraph">
                  <wp:posOffset>6118860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AB5" w:rsidRPr="00913AB5" w:rsidRDefault="00913AB5" w:rsidP="00913AB5">
                            <w:pPr>
                              <w:pStyle w:val="Didascalia"/>
                              <w:jc w:val="center"/>
                              <w:rPr>
                                <w:rFonts w:ascii="Tw Cen MT" w:hAnsi="Tw Cen MT"/>
                                <w:b/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 w:val="0"/>
                                <w:sz w:val="28"/>
                              </w:rPr>
                              <w:t>Figura 3.1: Diagramma di contesto del sistema “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 w:val="0"/>
                                <w:sz w:val="28"/>
                              </w:rPr>
                              <w:t>Yinco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i w:val="0"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8493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.5pt;margin-top:481.8pt;width:481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" stroked="f">
                <v:textbox style="mso-fit-shape-to-text:t" inset="0,0,0,0">
                  <w:txbxContent>
                    <w:p w:rsidR="00913AB5" w:rsidRPr="00913AB5" w:rsidRDefault="00913AB5" w:rsidP="00913AB5">
                      <w:pPr>
                        <w:pStyle w:val="Didascalia"/>
                        <w:jc w:val="center"/>
                        <w:rPr>
                          <w:rFonts w:ascii="Tw Cen MT" w:hAnsi="Tw Cen MT"/>
                          <w:b/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i w:val="0"/>
                          <w:sz w:val="28"/>
                        </w:rPr>
                        <w:t>Figura 3.1: Diagramma di contesto del sistema “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i w:val="0"/>
                          <w:sz w:val="28"/>
                        </w:rPr>
                        <w:t>Yinco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i w:val="0"/>
                          <w:sz w:val="28"/>
                        </w:rPr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3AB5">
        <w:rPr>
          <w:rFonts w:ascii="Tw Cen MT" w:hAnsi="Tw Cen MT"/>
          <w:sz w:val="28"/>
        </w:rPr>
        <w:t xml:space="preserve">Nella figura 3.1 qui sottostante è possibile vedere come il sistema </w:t>
      </w:r>
      <w:r w:rsidR="0025275D">
        <w:rPr>
          <w:rFonts w:ascii="Tw Cen MT" w:hAnsi="Tw Cen MT"/>
          <w:sz w:val="28"/>
        </w:rPr>
        <w:t>“</w:t>
      </w:r>
      <w:proofErr w:type="spellStart"/>
      <w:r w:rsidR="00913AB5">
        <w:rPr>
          <w:rFonts w:ascii="Tw Cen MT" w:hAnsi="Tw Cen MT"/>
          <w:sz w:val="28"/>
        </w:rPr>
        <w:t>Yinco</w:t>
      </w:r>
      <w:proofErr w:type="spellEnd"/>
      <w:r w:rsidR="0025275D">
        <w:rPr>
          <w:rFonts w:ascii="Tw Cen MT" w:hAnsi="Tw Cen MT"/>
          <w:sz w:val="28"/>
        </w:rPr>
        <w:t>”</w:t>
      </w:r>
      <w:r w:rsidR="00913AB5">
        <w:rPr>
          <w:rFonts w:ascii="Tw Cen MT" w:hAnsi="Tw Cen MT"/>
          <w:sz w:val="28"/>
        </w:rPr>
        <w:t xml:space="preserve"> interagisce con gli utenti e i sistemi esterni descritti nel paragrafo 3.1. Di seguito verrà fornita la descrizione testuale del diagramma di contesto qui esposto. </w:t>
      </w:r>
    </w:p>
    <w:p w:rsidR="00913AB5" w:rsidRDefault="00913AB5">
      <w:pPr>
        <w:rPr>
          <w:rFonts w:ascii="Tw Cen MT" w:hAnsi="Tw Cen MT"/>
          <w:sz w:val="28"/>
        </w:rPr>
      </w:pPr>
    </w:p>
    <w:p w:rsidR="00913AB5" w:rsidRDefault="000F280B">
      <w:pPr>
        <w:rPr>
          <w:rFonts w:ascii="Tw Cen MT" w:hAnsi="Tw Cen MT"/>
          <w:sz w:val="28"/>
        </w:rPr>
      </w:pPr>
      <w:r>
        <w:rPr>
          <w:rFonts w:ascii="Tw Cen MT" w:hAnsi="Tw Cen MT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62336" behindDoc="1" locked="0" layoutInCell="1" allowOverlap="1" wp14:anchorId="2558BA0D" wp14:editId="57E65C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120130" cy="5022215"/>
            <wp:effectExtent l="0" t="0" r="0" b="0"/>
            <wp:wrapTight wrapText="bothSides">
              <wp:wrapPolygon edited="0">
                <wp:start x="6522" y="492"/>
                <wp:lineTo x="6522" y="4015"/>
                <wp:lineTo x="6992" y="4588"/>
                <wp:lineTo x="7597" y="4588"/>
                <wp:lineTo x="6522" y="5571"/>
                <wp:lineTo x="6454" y="6391"/>
                <wp:lineTo x="7597" y="7210"/>
                <wp:lineTo x="403" y="8439"/>
                <wp:lineTo x="403" y="12126"/>
                <wp:lineTo x="2824" y="12454"/>
                <wp:lineTo x="9211" y="12454"/>
                <wp:lineTo x="6253" y="12863"/>
                <wp:lineTo x="5446" y="13109"/>
                <wp:lineTo x="5446" y="13765"/>
                <wp:lineTo x="4437" y="14338"/>
                <wp:lineTo x="4303" y="14502"/>
                <wp:lineTo x="4303" y="17943"/>
                <wp:lineTo x="8606" y="19008"/>
                <wp:lineTo x="9413" y="19008"/>
                <wp:lineTo x="9413" y="21057"/>
                <wp:lineTo x="12774" y="21057"/>
                <wp:lineTo x="12774" y="19008"/>
                <wp:lineTo x="14052" y="19008"/>
                <wp:lineTo x="18355" y="18025"/>
                <wp:lineTo x="18489" y="14502"/>
                <wp:lineTo x="13783" y="13519"/>
                <wp:lineTo x="13783" y="13109"/>
                <wp:lineTo x="12707" y="12454"/>
                <wp:lineTo x="16203" y="12454"/>
                <wp:lineTo x="21179" y="11716"/>
                <wp:lineTo x="21246" y="8111"/>
                <wp:lineTo x="19229" y="7865"/>
                <wp:lineTo x="12976" y="7210"/>
                <wp:lineTo x="14791" y="5981"/>
                <wp:lineTo x="15464" y="5899"/>
                <wp:lineTo x="16203" y="5162"/>
                <wp:lineTo x="16069" y="4588"/>
                <wp:lineTo x="16338" y="4588"/>
                <wp:lineTo x="16741" y="3769"/>
                <wp:lineTo x="16607" y="492"/>
                <wp:lineTo x="6522" y="492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 di contesto Yinco 4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913AB5" w:rsidRDefault="00913AB5">
      <w:pPr>
        <w:rPr>
          <w:rFonts w:ascii="Tw Cen MT" w:hAnsi="Tw Cen MT"/>
          <w:sz w:val="28"/>
        </w:rPr>
      </w:pPr>
    </w:p>
    <w:p w:rsidR="00E86A17" w:rsidRDefault="00235EF1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lastRenderedPageBreak/>
        <w:t>L’</w:t>
      </w:r>
      <w:r w:rsidR="00485917">
        <w:rPr>
          <w:rFonts w:ascii="Tw Cen MT" w:hAnsi="Tw Cen MT"/>
          <w:sz w:val="28"/>
        </w:rPr>
        <w:t>utente – non importa</w:t>
      </w:r>
      <w:r>
        <w:rPr>
          <w:rFonts w:ascii="Tw Cen MT" w:hAnsi="Tw Cen MT"/>
          <w:sz w:val="28"/>
        </w:rPr>
        <w:t xml:space="preserve"> che</w:t>
      </w:r>
      <w:r w:rsidR="00485917">
        <w:rPr>
          <w:rFonts w:ascii="Tw Cen MT" w:hAnsi="Tw Cen MT"/>
          <w:sz w:val="28"/>
        </w:rPr>
        <w:t xml:space="preserve"> egli sia anonimo o autenticato</w:t>
      </w:r>
      <w:r w:rsidR="00DA4569">
        <w:rPr>
          <w:rFonts w:ascii="Tw Cen MT" w:hAnsi="Tw Cen MT"/>
          <w:sz w:val="28"/>
        </w:rPr>
        <w:t xml:space="preserve"> </w:t>
      </w:r>
      <w:r w:rsidR="00485917">
        <w:rPr>
          <w:rFonts w:ascii="Tw Cen MT" w:hAnsi="Tw Cen MT"/>
          <w:sz w:val="28"/>
        </w:rPr>
        <w:t>-</w:t>
      </w:r>
      <w:r>
        <w:rPr>
          <w:rFonts w:ascii="Tw Cen MT" w:hAnsi="Tw Cen MT"/>
          <w:sz w:val="28"/>
        </w:rPr>
        <w:t xml:space="preserve"> può richiedere un’informazione al sistema, come richiesto dal </w:t>
      </w:r>
      <w:r w:rsidRPr="00AF001E">
        <w:rPr>
          <w:rFonts w:ascii="Tw Cen MT" w:hAnsi="Tw Cen MT"/>
          <w:b/>
          <w:sz w:val="28"/>
        </w:rPr>
        <w:t>RF3</w:t>
      </w:r>
      <w:r>
        <w:rPr>
          <w:rFonts w:ascii="Tw Cen MT" w:hAnsi="Tw Cen MT"/>
          <w:sz w:val="28"/>
        </w:rPr>
        <w:t xml:space="preserve"> e dal </w:t>
      </w:r>
      <w:r w:rsidRPr="00AF001E">
        <w:rPr>
          <w:rFonts w:ascii="Tw Cen MT" w:hAnsi="Tw Cen MT"/>
          <w:b/>
          <w:sz w:val="28"/>
        </w:rPr>
        <w:t>RF4</w:t>
      </w:r>
      <w:r>
        <w:rPr>
          <w:rFonts w:ascii="Tw Cen MT" w:hAnsi="Tw Cen MT"/>
          <w:sz w:val="28"/>
        </w:rPr>
        <w:t xml:space="preserve">. La seguente richiesta viene inoltrata dal sistema a </w:t>
      </w:r>
      <w:proofErr w:type="spellStart"/>
      <w:r>
        <w:rPr>
          <w:rFonts w:ascii="Tw Cen MT" w:hAnsi="Tw Cen MT"/>
          <w:sz w:val="28"/>
        </w:rPr>
        <w:t>MongoDB</w:t>
      </w:r>
      <w:proofErr w:type="spellEnd"/>
      <w:r>
        <w:rPr>
          <w:rFonts w:ascii="Tw Cen MT" w:hAnsi="Tw Cen MT"/>
          <w:sz w:val="28"/>
        </w:rPr>
        <w:t>, il quale poi ritornerà l’informazione al sistema</w:t>
      </w:r>
      <w:r w:rsidR="005966BC">
        <w:rPr>
          <w:rFonts w:ascii="Tw Cen MT" w:hAnsi="Tw Cen MT"/>
          <w:sz w:val="28"/>
        </w:rPr>
        <w:t>,</w:t>
      </w:r>
      <w:r>
        <w:rPr>
          <w:rFonts w:ascii="Tw Cen MT" w:hAnsi="Tw Cen MT"/>
          <w:sz w:val="28"/>
        </w:rPr>
        <w:t xml:space="preserve"> che la mostrerà all’utente con le modalità descritte nel </w:t>
      </w:r>
      <w:r w:rsidRPr="00AF001E">
        <w:rPr>
          <w:rFonts w:ascii="Tw Cen MT" w:hAnsi="Tw Cen MT"/>
          <w:b/>
          <w:sz w:val="28"/>
        </w:rPr>
        <w:t>RF6</w:t>
      </w:r>
      <w:r>
        <w:rPr>
          <w:rFonts w:ascii="Tw Cen MT" w:hAnsi="Tw Cen MT"/>
          <w:sz w:val="28"/>
        </w:rPr>
        <w:t>.</w:t>
      </w:r>
      <w:r w:rsidR="0046333B">
        <w:rPr>
          <w:rFonts w:ascii="Tw Cen MT" w:hAnsi="Tw Cen MT"/>
          <w:sz w:val="28"/>
        </w:rPr>
        <w:t xml:space="preserve"> Se però la richiesta concerne un </w:t>
      </w:r>
      <w:r w:rsidR="005966BC">
        <w:rPr>
          <w:rFonts w:ascii="Tw Cen MT" w:hAnsi="Tw Cen MT"/>
          <w:sz w:val="28"/>
        </w:rPr>
        <w:t>docente, la suddetta</w:t>
      </w:r>
      <w:r w:rsidR="00E67C10">
        <w:rPr>
          <w:rFonts w:ascii="Tw Cen MT" w:hAnsi="Tw Cen MT"/>
          <w:sz w:val="28"/>
        </w:rPr>
        <w:t xml:space="preserve"> non viene inoltrata a </w:t>
      </w:r>
      <w:proofErr w:type="spellStart"/>
      <w:r w:rsidR="00E67C10">
        <w:rPr>
          <w:rFonts w:ascii="Tw Cen MT" w:hAnsi="Tw Cen MT"/>
          <w:sz w:val="28"/>
        </w:rPr>
        <w:t>MongoDB</w:t>
      </w:r>
      <w:proofErr w:type="spellEnd"/>
      <w:r w:rsidR="00E67C10">
        <w:rPr>
          <w:rFonts w:ascii="Tw Cen MT" w:hAnsi="Tw Cen MT"/>
          <w:sz w:val="28"/>
        </w:rPr>
        <w:t xml:space="preserve">, ma al sistema esterno </w:t>
      </w:r>
      <w:proofErr w:type="spellStart"/>
      <w:r w:rsidR="00E67C10">
        <w:rPr>
          <w:rFonts w:ascii="Tw Cen MT" w:hAnsi="Tw Cen MT"/>
          <w:sz w:val="28"/>
        </w:rPr>
        <w:t>Unitrento</w:t>
      </w:r>
      <w:proofErr w:type="spellEnd"/>
      <w:r w:rsidR="00E67C10">
        <w:rPr>
          <w:rFonts w:ascii="Tw Cen MT" w:hAnsi="Tw Cen MT"/>
          <w:sz w:val="28"/>
        </w:rPr>
        <w:t xml:space="preserve"> Digital </w:t>
      </w:r>
      <w:proofErr w:type="spellStart"/>
      <w:r w:rsidR="00E67C10">
        <w:rPr>
          <w:rFonts w:ascii="Tw Cen MT" w:hAnsi="Tw Cen MT"/>
          <w:sz w:val="28"/>
        </w:rPr>
        <w:t>University</w:t>
      </w:r>
      <w:proofErr w:type="spellEnd"/>
      <w:r w:rsidR="00E67C10">
        <w:rPr>
          <w:rFonts w:ascii="Tw Cen MT" w:hAnsi="Tw Cen MT"/>
          <w:sz w:val="28"/>
        </w:rPr>
        <w:t>, il quale poi ritornerà al sistema la pagina del docente, come descritto nel (RF16).</w:t>
      </w:r>
      <w:r>
        <w:rPr>
          <w:rFonts w:ascii="Tw Cen MT" w:hAnsi="Tw Cen MT"/>
          <w:sz w:val="28"/>
        </w:rPr>
        <w:t xml:space="preserve"> </w:t>
      </w:r>
      <w:r w:rsidR="005D41A1">
        <w:rPr>
          <w:rFonts w:ascii="Tw Cen MT" w:hAnsi="Tw Cen MT"/>
          <w:sz w:val="28"/>
        </w:rPr>
        <w:t>Nel caso l’utente sia un utente anonimo, il seguente flusso di informazioni può anche riportare un errore all’utente, così come se l’informazione cer</w:t>
      </w:r>
      <w:r w:rsidR="00800915">
        <w:rPr>
          <w:rFonts w:ascii="Tw Cen MT" w:hAnsi="Tw Cen MT"/>
          <w:sz w:val="28"/>
        </w:rPr>
        <w:t>cata non è</w:t>
      </w:r>
      <w:r w:rsidR="00AF001E">
        <w:rPr>
          <w:rFonts w:ascii="Tw Cen MT" w:hAnsi="Tw Cen MT"/>
          <w:sz w:val="28"/>
        </w:rPr>
        <w:t xml:space="preserve"> presente in </w:t>
      </w:r>
      <w:proofErr w:type="spellStart"/>
      <w:r w:rsidR="00AF001E">
        <w:rPr>
          <w:rFonts w:ascii="Tw Cen MT" w:hAnsi="Tw Cen MT"/>
          <w:sz w:val="28"/>
        </w:rPr>
        <w:t>MongoDB</w:t>
      </w:r>
      <w:proofErr w:type="spellEnd"/>
      <w:r w:rsidR="00EF2A4B">
        <w:rPr>
          <w:rFonts w:ascii="Tw Cen MT" w:hAnsi="Tw Cen MT"/>
          <w:sz w:val="28"/>
        </w:rPr>
        <w:t xml:space="preserve"> o in </w:t>
      </w:r>
      <w:proofErr w:type="spellStart"/>
      <w:r w:rsidR="00EF2A4B">
        <w:rPr>
          <w:rFonts w:ascii="Tw Cen MT" w:hAnsi="Tw Cen MT"/>
          <w:sz w:val="28"/>
        </w:rPr>
        <w:t>Unitrento</w:t>
      </w:r>
      <w:proofErr w:type="spellEnd"/>
      <w:r w:rsidR="00EF2A4B">
        <w:rPr>
          <w:rFonts w:ascii="Tw Cen MT" w:hAnsi="Tw Cen MT"/>
          <w:sz w:val="28"/>
        </w:rPr>
        <w:t xml:space="preserve"> Digital </w:t>
      </w:r>
      <w:proofErr w:type="spellStart"/>
      <w:r w:rsidR="00EF2A4B">
        <w:rPr>
          <w:rFonts w:ascii="Tw Cen MT" w:hAnsi="Tw Cen MT"/>
          <w:sz w:val="28"/>
        </w:rPr>
        <w:t>University</w:t>
      </w:r>
      <w:proofErr w:type="spellEnd"/>
      <w:r w:rsidR="00AF001E">
        <w:rPr>
          <w:rFonts w:ascii="Tw Cen MT" w:hAnsi="Tw Cen MT"/>
          <w:sz w:val="28"/>
        </w:rPr>
        <w:t xml:space="preserve">, così come descritto nel </w:t>
      </w:r>
      <w:r w:rsidR="00AF001E" w:rsidRPr="00AF001E">
        <w:rPr>
          <w:rFonts w:ascii="Tw Cen MT" w:hAnsi="Tw Cen MT"/>
          <w:b/>
          <w:sz w:val="28"/>
        </w:rPr>
        <w:t>RF5</w:t>
      </w:r>
      <w:r w:rsidR="00AF001E">
        <w:rPr>
          <w:rFonts w:ascii="Tw Cen MT" w:hAnsi="Tw Cen MT"/>
          <w:sz w:val="28"/>
        </w:rPr>
        <w:t xml:space="preserve">. </w:t>
      </w:r>
    </w:p>
    <w:p w:rsidR="00E86A17" w:rsidRDefault="00FF3AB4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L’utente ha la possibilità di autenticarsi usando delle credenziali </w:t>
      </w:r>
      <w:proofErr w:type="spellStart"/>
      <w:r>
        <w:rPr>
          <w:rFonts w:ascii="Tw Cen MT" w:hAnsi="Tw Cen MT"/>
          <w:sz w:val="28"/>
        </w:rPr>
        <w:t>UniTn</w:t>
      </w:r>
      <w:proofErr w:type="spellEnd"/>
      <w:r>
        <w:rPr>
          <w:rFonts w:ascii="Tw Cen MT" w:hAnsi="Tw Cen MT"/>
          <w:sz w:val="28"/>
        </w:rPr>
        <w:t xml:space="preserve">, come previsto dal </w:t>
      </w:r>
      <w:r w:rsidRPr="005B29AA">
        <w:rPr>
          <w:rFonts w:ascii="Tw Cen MT" w:hAnsi="Tw Cen MT"/>
          <w:b/>
          <w:sz w:val="28"/>
        </w:rPr>
        <w:t>RF2</w:t>
      </w:r>
      <w:r>
        <w:rPr>
          <w:rFonts w:ascii="Tw Cen MT" w:hAnsi="Tw Cen MT"/>
          <w:sz w:val="28"/>
        </w:rPr>
        <w:t xml:space="preserve">. Il sistema riceve queste credenziali e le inoltra al sistema esterno </w:t>
      </w:r>
      <w:proofErr w:type="spellStart"/>
      <w:r>
        <w:rPr>
          <w:rFonts w:ascii="Tw Cen MT" w:hAnsi="Tw Cen MT"/>
          <w:sz w:val="28"/>
        </w:rPr>
        <w:t>Uni</w:t>
      </w:r>
      <w:r w:rsidR="00B32791">
        <w:rPr>
          <w:rFonts w:ascii="Tw Cen MT" w:hAnsi="Tw Cen MT"/>
          <w:sz w:val="28"/>
        </w:rPr>
        <w:t>Tn</w:t>
      </w:r>
      <w:proofErr w:type="spellEnd"/>
      <w:r w:rsidR="00B32791">
        <w:rPr>
          <w:rFonts w:ascii="Tw Cen MT" w:hAnsi="Tw Cen MT"/>
          <w:sz w:val="28"/>
        </w:rPr>
        <w:t>, che poi notifica</w:t>
      </w:r>
      <w:r>
        <w:rPr>
          <w:rFonts w:ascii="Tw Cen MT" w:hAnsi="Tw Cen MT"/>
          <w:sz w:val="28"/>
        </w:rPr>
        <w:t xml:space="preserve"> se l’autenticazione ha avuto successo oppure no. L’utente può </w:t>
      </w:r>
      <w:r w:rsidR="00B32791">
        <w:rPr>
          <w:rFonts w:ascii="Tw Cen MT" w:hAnsi="Tw Cen MT"/>
          <w:sz w:val="28"/>
        </w:rPr>
        <w:t>anche decidere d</w:t>
      </w:r>
      <w:r>
        <w:rPr>
          <w:rFonts w:ascii="Tw Cen MT" w:hAnsi="Tw Cen MT"/>
          <w:sz w:val="28"/>
        </w:rPr>
        <w:t xml:space="preserve">i effettuare il </w:t>
      </w:r>
      <w:proofErr w:type="spellStart"/>
      <w:r>
        <w:rPr>
          <w:rFonts w:ascii="Tw Cen MT" w:hAnsi="Tw Cen MT"/>
          <w:sz w:val="28"/>
        </w:rPr>
        <w:t>logout</w:t>
      </w:r>
      <w:proofErr w:type="spellEnd"/>
      <w:r>
        <w:rPr>
          <w:rFonts w:ascii="Tw Cen MT" w:hAnsi="Tw Cen MT"/>
          <w:sz w:val="28"/>
        </w:rPr>
        <w:t xml:space="preserve">, così come descritto nel </w:t>
      </w:r>
      <w:r w:rsidRPr="005B29AA">
        <w:rPr>
          <w:rFonts w:ascii="Tw Cen MT" w:hAnsi="Tw Cen MT"/>
          <w:b/>
          <w:sz w:val="28"/>
        </w:rPr>
        <w:t>RF15</w:t>
      </w:r>
      <w:r>
        <w:rPr>
          <w:rFonts w:ascii="Tw Cen MT" w:hAnsi="Tw Cen MT"/>
          <w:sz w:val="28"/>
        </w:rPr>
        <w:t>. In tal caso</w:t>
      </w:r>
      <w:r w:rsidR="0002756D">
        <w:rPr>
          <w:rFonts w:ascii="Tw Cen MT" w:hAnsi="Tw Cen MT"/>
          <w:sz w:val="28"/>
        </w:rPr>
        <w:t>, il sistema inoltra la richiesta al gestore</w:t>
      </w:r>
      <w:r>
        <w:rPr>
          <w:rFonts w:ascii="Tw Cen MT" w:hAnsi="Tw Cen MT"/>
          <w:sz w:val="28"/>
        </w:rPr>
        <w:t xml:space="preserve"> di credenziali </w:t>
      </w:r>
      <w:proofErr w:type="spellStart"/>
      <w:r>
        <w:rPr>
          <w:rFonts w:ascii="Tw Cen MT" w:hAnsi="Tw Cen MT"/>
          <w:sz w:val="28"/>
        </w:rPr>
        <w:t>UniTn</w:t>
      </w:r>
      <w:proofErr w:type="spellEnd"/>
      <w:r w:rsidR="0002756D">
        <w:rPr>
          <w:rFonts w:ascii="Tw Cen MT" w:hAnsi="Tw Cen MT"/>
          <w:sz w:val="28"/>
        </w:rPr>
        <w:t xml:space="preserve">, il quale effettua il </w:t>
      </w:r>
      <w:proofErr w:type="spellStart"/>
      <w:r w:rsidR="0002756D">
        <w:rPr>
          <w:rFonts w:ascii="Tw Cen MT" w:hAnsi="Tw Cen MT"/>
          <w:sz w:val="28"/>
        </w:rPr>
        <w:t>logout</w:t>
      </w:r>
      <w:proofErr w:type="spellEnd"/>
      <w:r w:rsidR="0002756D">
        <w:rPr>
          <w:rFonts w:ascii="Tw Cen MT" w:hAnsi="Tw Cen MT"/>
          <w:sz w:val="28"/>
        </w:rPr>
        <w:t xml:space="preserve"> da </w:t>
      </w:r>
      <w:proofErr w:type="spellStart"/>
      <w:r w:rsidR="0002756D">
        <w:rPr>
          <w:rFonts w:ascii="Tw Cen MT" w:hAnsi="Tw Cen MT"/>
          <w:sz w:val="28"/>
        </w:rPr>
        <w:t>Yinco</w:t>
      </w:r>
      <w:proofErr w:type="spellEnd"/>
      <w:r w:rsidR="0002756D">
        <w:rPr>
          <w:rFonts w:ascii="Tw Cen MT" w:hAnsi="Tw Cen MT"/>
          <w:sz w:val="28"/>
        </w:rPr>
        <w:t xml:space="preserve"> e notifica il sistema dell</w:t>
      </w:r>
      <w:r w:rsidR="004F4E18">
        <w:rPr>
          <w:rFonts w:ascii="Tw Cen MT" w:hAnsi="Tw Cen MT"/>
          <w:sz w:val="28"/>
        </w:rPr>
        <w:t>’eventuale</w:t>
      </w:r>
      <w:r w:rsidR="0002756D">
        <w:rPr>
          <w:rFonts w:ascii="Tw Cen MT" w:hAnsi="Tw Cen MT"/>
          <w:sz w:val="28"/>
        </w:rPr>
        <w:t xml:space="preserve"> riuscita dell’operazione.</w:t>
      </w:r>
      <w:r w:rsidR="0046333B">
        <w:rPr>
          <w:rFonts w:ascii="Tw Cen MT" w:hAnsi="Tw Cen MT"/>
          <w:sz w:val="28"/>
        </w:rPr>
        <w:t xml:space="preserve"> </w:t>
      </w:r>
    </w:p>
    <w:p w:rsidR="00913AB5" w:rsidRDefault="0046333B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L’utente ha poi la possibilità, come illustrato dal </w:t>
      </w:r>
      <w:r w:rsidRPr="00D41188">
        <w:rPr>
          <w:rFonts w:ascii="Tw Cen MT" w:hAnsi="Tw Cen MT"/>
          <w:b/>
          <w:sz w:val="28"/>
        </w:rPr>
        <w:t>RF7</w:t>
      </w:r>
      <w:r>
        <w:rPr>
          <w:rFonts w:ascii="Tw Cen MT" w:hAnsi="Tw Cen MT"/>
          <w:sz w:val="28"/>
        </w:rPr>
        <w:t xml:space="preserve"> e </w:t>
      </w:r>
      <w:r w:rsidRPr="00D41188">
        <w:rPr>
          <w:rFonts w:ascii="Tw Cen MT" w:hAnsi="Tw Cen MT"/>
          <w:b/>
          <w:sz w:val="28"/>
        </w:rPr>
        <w:t>RF8</w:t>
      </w:r>
      <w:r>
        <w:rPr>
          <w:rFonts w:ascii="Tw Cen MT" w:hAnsi="Tw Cen MT"/>
          <w:sz w:val="28"/>
        </w:rPr>
        <w:t xml:space="preserve">, di cambiare la propria preferenza al riguardo dell’invio di mail da parte del sistema. In questo caso, il sistema deve interagire con </w:t>
      </w:r>
      <w:proofErr w:type="spellStart"/>
      <w:r>
        <w:rPr>
          <w:rFonts w:ascii="Tw Cen MT" w:hAnsi="Tw Cen MT"/>
          <w:sz w:val="28"/>
        </w:rPr>
        <w:t>MongoDB</w:t>
      </w:r>
      <w:proofErr w:type="spellEnd"/>
      <w:r>
        <w:rPr>
          <w:rFonts w:ascii="Tw Cen MT" w:hAnsi="Tw Cen MT"/>
          <w:sz w:val="28"/>
        </w:rPr>
        <w:t xml:space="preserve"> per assicurarsi che la preferenza di quello specifico utente venga cambiata</w:t>
      </w:r>
      <w:r w:rsidR="00E86A17">
        <w:rPr>
          <w:rFonts w:ascii="Tw Cen MT" w:hAnsi="Tw Cen MT"/>
          <w:sz w:val="28"/>
        </w:rPr>
        <w:t xml:space="preserve">. </w:t>
      </w:r>
    </w:p>
    <w:p w:rsidR="00D41188" w:rsidRDefault="00E86A17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Come descritto dal </w:t>
      </w:r>
      <w:r w:rsidRPr="00D41188">
        <w:rPr>
          <w:rFonts w:ascii="Tw Cen MT" w:hAnsi="Tw Cen MT"/>
          <w:b/>
          <w:sz w:val="28"/>
        </w:rPr>
        <w:t>RF9</w:t>
      </w:r>
      <w:r>
        <w:rPr>
          <w:rFonts w:ascii="Tw Cen MT" w:hAnsi="Tw Cen MT"/>
          <w:sz w:val="28"/>
        </w:rPr>
        <w:t>, il sistema de</w:t>
      </w:r>
      <w:r w:rsidR="001D668F">
        <w:rPr>
          <w:rFonts w:ascii="Tw Cen MT" w:hAnsi="Tw Cen MT"/>
          <w:sz w:val="28"/>
        </w:rPr>
        <w:t>ve essere in grado di mandare</w:t>
      </w:r>
      <w:r>
        <w:rPr>
          <w:rFonts w:ascii="Tw Cen MT" w:hAnsi="Tw Cen MT"/>
          <w:sz w:val="28"/>
        </w:rPr>
        <w:t xml:space="preserve"> mail solo a color</w:t>
      </w:r>
      <w:r w:rsidR="001D668F">
        <w:rPr>
          <w:rFonts w:ascii="Tw Cen MT" w:hAnsi="Tw Cen MT"/>
          <w:sz w:val="28"/>
        </w:rPr>
        <w:t>o</w:t>
      </w:r>
      <w:r>
        <w:rPr>
          <w:rFonts w:ascii="Tw Cen MT" w:hAnsi="Tw Cen MT"/>
          <w:sz w:val="28"/>
        </w:rPr>
        <w:t xml:space="preserve"> che hanno accettato di ricevere mail dal sistema. Per prima cosa, il sistema deve configurarsi con Esse3 per ottenere le date delle scadenze delle tasse e delle iscrizioni agli esami (</w:t>
      </w:r>
      <w:r>
        <w:rPr>
          <w:rFonts w:ascii="Tw Cen MT" w:hAnsi="Tw Cen MT"/>
          <w:color w:val="C00000"/>
          <w:sz w:val="28"/>
        </w:rPr>
        <w:t>NOTA: qui c’è stata una nostra piccola dimenticanza: come gestiamo le date? Le salviamo su un database? Leggiamo ogni giorno le date fino a quando non arriviamo alla settimana prima della scadenza? Perché, a seconda di come lo facciamo, sia questa parte che il diagramma di contesto cambiano)</w:t>
      </w:r>
      <w:r w:rsidR="00042E6D">
        <w:rPr>
          <w:rFonts w:ascii="Tw Cen MT" w:hAnsi="Tw Cen MT"/>
          <w:color w:val="C00000"/>
          <w:sz w:val="28"/>
        </w:rPr>
        <w:t xml:space="preserve">. </w:t>
      </w:r>
      <w:r w:rsidR="00D41188">
        <w:rPr>
          <w:rFonts w:ascii="Tw Cen MT" w:hAnsi="Tw Cen MT"/>
          <w:sz w:val="28"/>
        </w:rPr>
        <w:t xml:space="preserve">Poi il sistema deve richiedere a </w:t>
      </w:r>
      <w:proofErr w:type="spellStart"/>
      <w:r w:rsidR="00D41188">
        <w:rPr>
          <w:rFonts w:ascii="Tw Cen MT" w:hAnsi="Tw Cen MT"/>
          <w:sz w:val="28"/>
        </w:rPr>
        <w:t>MongoDB</w:t>
      </w:r>
      <w:proofErr w:type="spellEnd"/>
      <w:r w:rsidR="00D41188">
        <w:rPr>
          <w:rFonts w:ascii="Tw Cen MT" w:hAnsi="Tw Cen MT"/>
          <w:sz w:val="28"/>
        </w:rPr>
        <w:t xml:space="preserve"> la lista degli utenti che hanno aderito all’invio di mail da parte di </w:t>
      </w:r>
      <w:proofErr w:type="spellStart"/>
      <w:r w:rsidR="00D41188">
        <w:rPr>
          <w:rFonts w:ascii="Tw Cen MT" w:hAnsi="Tw Cen MT"/>
          <w:sz w:val="28"/>
        </w:rPr>
        <w:t>Yinco</w:t>
      </w:r>
      <w:proofErr w:type="spellEnd"/>
      <w:r w:rsidR="00D41188">
        <w:rPr>
          <w:rFonts w:ascii="Tw Cen MT" w:hAnsi="Tw Cen MT"/>
          <w:sz w:val="28"/>
        </w:rPr>
        <w:t xml:space="preserve"> e infine, dopo averla ricevuta, deve interagire con </w:t>
      </w:r>
      <w:proofErr w:type="spellStart"/>
      <w:r w:rsidR="00D41188">
        <w:rPr>
          <w:rFonts w:ascii="Tw Cen MT" w:hAnsi="Tw Cen MT"/>
          <w:sz w:val="28"/>
        </w:rPr>
        <w:t>Gmail</w:t>
      </w:r>
      <w:proofErr w:type="spellEnd"/>
      <w:r w:rsidR="00D41188">
        <w:rPr>
          <w:rFonts w:ascii="Tw Cen MT" w:hAnsi="Tw Cen MT"/>
          <w:sz w:val="28"/>
        </w:rPr>
        <w:t xml:space="preserve"> affinché egli possa inviare le mail a tutti gli utenti contenuti nella lista datagli da </w:t>
      </w:r>
      <w:proofErr w:type="spellStart"/>
      <w:r w:rsidR="00D41188">
        <w:rPr>
          <w:rFonts w:ascii="Tw Cen MT" w:hAnsi="Tw Cen MT"/>
          <w:sz w:val="28"/>
        </w:rPr>
        <w:t>MongoDB</w:t>
      </w:r>
      <w:proofErr w:type="spellEnd"/>
      <w:r w:rsidR="00D41188">
        <w:rPr>
          <w:rFonts w:ascii="Tw Cen MT" w:hAnsi="Tw Cen MT"/>
          <w:sz w:val="28"/>
        </w:rPr>
        <w:t>.</w:t>
      </w:r>
    </w:p>
    <w:p w:rsidR="009A0A5C" w:rsidRDefault="009A0A5C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Infine, come descritto nel RF</w:t>
      </w:r>
      <w:r w:rsidR="007B6154">
        <w:rPr>
          <w:rFonts w:ascii="Tw Cen MT" w:hAnsi="Tw Cen MT"/>
          <w:sz w:val="28"/>
        </w:rPr>
        <w:t xml:space="preserve">14, il sistema deve poter mostrare una mappa nella sezione contatti. Per fare questo, il sistema richiede la mappa al sistema esterno Google </w:t>
      </w:r>
      <w:proofErr w:type="spellStart"/>
      <w:r w:rsidR="007B6154">
        <w:rPr>
          <w:rFonts w:ascii="Tw Cen MT" w:hAnsi="Tw Cen MT"/>
          <w:sz w:val="28"/>
        </w:rPr>
        <w:t>Maps</w:t>
      </w:r>
      <w:proofErr w:type="spellEnd"/>
      <w:r w:rsidR="007B6154">
        <w:rPr>
          <w:rFonts w:ascii="Tw Cen MT" w:hAnsi="Tw Cen MT"/>
          <w:sz w:val="28"/>
        </w:rPr>
        <w:t>, il quale gliela fornisce.</w:t>
      </w:r>
    </w:p>
    <w:p w:rsidR="00D41188" w:rsidRDefault="00D41188">
      <w:pPr>
        <w:rPr>
          <w:rFonts w:ascii="Tw Cen MT" w:hAnsi="Tw Cen MT"/>
          <w:sz w:val="28"/>
        </w:rPr>
      </w:pPr>
    </w:p>
    <w:p w:rsidR="00E86A17" w:rsidRPr="00042E6D" w:rsidRDefault="00D41188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 </w:t>
      </w:r>
    </w:p>
    <w:sectPr w:rsidR="00E86A17" w:rsidRPr="00042E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50"/>
    <w:rsid w:val="0002756D"/>
    <w:rsid w:val="00042E6D"/>
    <w:rsid w:val="0005374F"/>
    <w:rsid w:val="000563BB"/>
    <w:rsid w:val="00087B14"/>
    <w:rsid w:val="000A5CB4"/>
    <w:rsid w:val="000F280B"/>
    <w:rsid w:val="001A720F"/>
    <w:rsid w:val="001A7C64"/>
    <w:rsid w:val="001D668F"/>
    <w:rsid w:val="00235EF1"/>
    <w:rsid w:val="0025275D"/>
    <w:rsid w:val="002F2484"/>
    <w:rsid w:val="003C57D4"/>
    <w:rsid w:val="0046333B"/>
    <w:rsid w:val="00485917"/>
    <w:rsid w:val="004F4E18"/>
    <w:rsid w:val="00557648"/>
    <w:rsid w:val="0059273A"/>
    <w:rsid w:val="005966BC"/>
    <w:rsid w:val="005B29AA"/>
    <w:rsid w:val="005D41A1"/>
    <w:rsid w:val="006735D8"/>
    <w:rsid w:val="00746456"/>
    <w:rsid w:val="00760F6B"/>
    <w:rsid w:val="00795B55"/>
    <w:rsid w:val="007B6154"/>
    <w:rsid w:val="00800915"/>
    <w:rsid w:val="00876ACD"/>
    <w:rsid w:val="008A4250"/>
    <w:rsid w:val="00913AB5"/>
    <w:rsid w:val="009A0A5C"/>
    <w:rsid w:val="00A315A3"/>
    <w:rsid w:val="00AD13F0"/>
    <w:rsid w:val="00AF001E"/>
    <w:rsid w:val="00B32791"/>
    <w:rsid w:val="00B5397F"/>
    <w:rsid w:val="00B854C1"/>
    <w:rsid w:val="00D41188"/>
    <w:rsid w:val="00DA147C"/>
    <w:rsid w:val="00DA4569"/>
    <w:rsid w:val="00DB5F6C"/>
    <w:rsid w:val="00E67C10"/>
    <w:rsid w:val="00E86A17"/>
    <w:rsid w:val="00EF2A4B"/>
    <w:rsid w:val="00FA3DFD"/>
    <w:rsid w:val="00FD5419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0D61"/>
  <w15:chartTrackingRefBased/>
  <w15:docId w15:val="{23192403-154B-4372-BBB4-1C3EEC19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4250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913A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CD3F-4422-45DE-A485-3A2BEB91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51</cp:revision>
  <dcterms:created xsi:type="dcterms:W3CDTF">2022-10-28T13:40:00Z</dcterms:created>
  <dcterms:modified xsi:type="dcterms:W3CDTF">2022-10-28T15:27:00Z</dcterms:modified>
</cp:coreProperties>
</file>