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41BD" w14:textId="40A894AA" w:rsidR="009437C3" w:rsidRPr="009437C3" w:rsidRDefault="009437C3" w:rsidP="009437C3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9437C3">
        <w:rPr>
          <w:rFonts w:hint="eastAsia"/>
          <w:b/>
          <w:bCs/>
        </w:rPr>
        <w:t>Medically Relevant Findings from the Article</w:t>
      </w:r>
    </w:p>
    <w:p w14:paraId="4F412BE6" w14:textId="77777777" w:rsidR="009437C3" w:rsidRDefault="009437C3" w:rsidP="009437C3">
      <w:pPr>
        <w:rPr>
          <w:rFonts w:hint="eastAsia"/>
        </w:rPr>
      </w:pPr>
    </w:p>
    <w:p w14:paraId="1D9FAFED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Stage-specific molecular signatures:</w:t>
      </w:r>
    </w:p>
    <w:p w14:paraId="122CD059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The study revealed that systemic lupus erythematosus (SLE) has distinct transcriptomic profiles during the establishment phase and the exacerbation phase, suggesting that different molecular mechanisms dominate at different stages.</w:t>
      </w:r>
    </w:p>
    <w:p w14:paraId="5C41911D" w14:textId="77777777" w:rsidR="009437C3" w:rsidRDefault="009437C3" w:rsidP="009437C3">
      <w:pPr>
        <w:rPr>
          <w:rFonts w:hint="eastAsia"/>
        </w:rPr>
      </w:pPr>
    </w:p>
    <w:p w14:paraId="5A68FAD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Cell-type–specific contributions:</w:t>
      </w:r>
    </w:p>
    <w:p w14:paraId="5EA79D1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Certain immune cells (e.g., dendritic cells, B cells) play a central role early in disease onset.</w:t>
      </w:r>
    </w:p>
    <w:p w14:paraId="3E670C7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Other cells (e.g., monocytes/macrophages, T cells) become more active during disease flare-ups.</w:t>
      </w:r>
    </w:p>
    <w:p w14:paraId="12572B8C" w14:textId="77777777" w:rsidR="009437C3" w:rsidRDefault="009437C3" w:rsidP="009437C3">
      <w:pPr>
        <w:rPr>
          <w:rFonts w:hint="eastAsia"/>
        </w:rPr>
      </w:pPr>
    </w:p>
    <w:p w14:paraId="352E514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Key role of interferon and inflammatory pathways:</w:t>
      </w:r>
    </w:p>
    <w:p w14:paraId="4CF2070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Interferon signaling and inflammation-related genes showed distinct expression dynamics across stages, explaining immune dysregulation and flare mechanisms in SLE.</w:t>
      </w:r>
    </w:p>
    <w:p w14:paraId="7C05AF99" w14:textId="77777777" w:rsidR="009437C3" w:rsidRDefault="009437C3" w:rsidP="009437C3">
      <w:pPr>
        <w:rPr>
          <w:rFonts w:hint="eastAsia"/>
        </w:rPr>
      </w:pPr>
    </w:p>
    <w:p w14:paraId="012E8908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Clinical significance:</w:t>
      </w:r>
    </w:p>
    <w:p w14:paraId="7DA76F88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Identified molecular markers that can distinguish disease phases, which may help guide personalized treatment.</w:t>
      </w:r>
    </w:p>
    <w:p w14:paraId="1B6EB343" w14:textId="77777777" w:rsidR="009437C3" w:rsidRPr="009437C3" w:rsidRDefault="009437C3" w:rsidP="009437C3">
      <w:pPr>
        <w:rPr>
          <w:rFonts w:hint="eastAsia"/>
        </w:rPr>
      </w:pPr>
    </w:p>
    <w:p w14:paraId="00DFD8C0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Suggested potential therapeutic targets, such as stage-specific immune pathways that could be modulated to slow disease progression.</w:t>
      </w:r>
    </w:p>
    <w:p w14:paraId="268AF533" w14:textId="77777777" w:rsidR="009437C3" w:rsidRDefault="009437C3" w:rsidP="009437C3">
      <w:pPr>
        <w:rPr>
          <w:rFonts w:hint="eastAsia"/>
        </w:rPr>
      </w:pPr>
    </w:p>
    <w:p w14:paraId="3BED68E4" w14:textId="77777777" w:rsidR="009437C3" w:rsidRPr="009437C3" w:rsidRDefault="009437C3" w:rsidP="009437C3">
      <w:pPr>
        <w:rPr>
          <w:rFonts w:hint="eastAsia"/>
          <w:b/>
          <w:bCs/>
        </w:rPr>
      </w:pPr>
      <w:r w:rsidRPr="009437C3">
        <w:rPr>
          <w:rFonts w:hint="eastAsia"/>
          <w:b/>
          <w:bCs/>
        </w:rPr>
        <w:t>B. Genomic Techniques Used</w:t>
      </w:r>
    </w:p>
    <w:p w14:paraId="1DDDBD1F" w14:textId="77777777" w:rsidR="009437C3" w:rsidRDefault="009437C3" w:rsidP="009437C3">
      <w:pPr>
        <w:rPr>
          <w:rFonts w:hint="eastAsia"/>
        </w:rPr>
      </w:pPr>
    </w:p>
    <w:p w14:paraId="5EAD1897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RNA sequencing (RNA-seq):</w:t>
      </w:r>
    </w:p>
    <w:p w14:paraId="319539E4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 xml:space="preserve">Used to profile gene </w:t>
      </w:r>
      <w:proofErr w:type="gramStart"/>
      <w:r>
        <w:rPr>
          <w:rFonts w:hint="eastAsia"/>
        </w:rPr>
        <w:t>expression</w:t>
      </w:r>
      <w:proofErr w:type="gramEnd"/>
      <w:r>
        <w:rPr>
          <w:rFonts w:hint="eastAsia"/>
        </w:rPr>
        <w:t xml:space="preserve"> in different immune cells from patient blood samples.</w:t>
      </w:r>
    </w:p>
    <w:p w14:paraId="44DA9BEC" w14:textId="77777777" w:rsidR="009437C3" w:rsidRDefault="009437C3" w:rsidP="009437C3">
      <w:pPr>
        <w:rPr>
          <w:rFonts w:hint="eastAsia"/>
        </w:rPr>
      </w:pPr>
    </w:p>
    <w:p w14:paraId="119C7A23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Cell-type–resolved transcriptomics:</w:t>
      </w:r>
    </w:p>
    <w:p w14:paraId="3B065C8B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Immune cell subsets (e.g., T cells, B cells, monocytes) were isolated and analyzed separately to capture cell-specific signals.</w:t>
      </w:r>
    </w:p>
    <w:p w14:paraId="7E191370" w14:textId="77777777" w:rsidR="009437C3" w:rsidRDefault="009437C3" w:rsidP="009437C3">
      <w:pPr>
        <w:rPr>
          <w:rFonts w:hint="eastAsia"/>
        </w:rPr>
      </w:pPr>
    </w:p>
    <w:p w14:paraId="230BB2D0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Bioinformatics approaches:</w:t>
      </w:r>
    </w:p>
    <w:p w14:paraId="2CEAD6BE" w14:textId="44A331B7" w:rsidR="009437C3" w:rsidRDefault="009437C3" w:rsidP="009437C3">
      <w:pPr>
        <w:rPr>
          <w:rFonts w:hint="eastAsia"/>
        </w:rPr>
      </w:pPr>
      <w:r>
        <w:rPr>
          <w:rFonts w:hint="eastAsia"/>
        </w:rPr>
        <w:t>Differential gene expression (DGE) analysis.</w:t>
      </w:r>
    </w:p>
    <w:p w14:paraId="6A29FB0A" w14:textId="43B7186A" w:rsidR="009437C3" w:rsidRPr="00AF2D85" w:rsidRDefault="009437C3" w:rsidP="009437C3">
      <w:pPr>
        <w:rPr>
          <w:rFonts w:hint="eastAsia"/>
        </w:rPr>
      </w:pPr>
      <w:r>
        <w:rPr>
          <w:rFonts w:hint="eastAsia"/>
        </w:rPr>
        <w:t>Gene co-expression network analysis.</w:t>
      </w:r>
    </w:p>
    <w:p w14:paraId="6790AB3D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Pathway enrichment analysis to identify dysregulated signaling pathways.</w:t>
      </w:r>
    </w:p>
    <w:p w14:paraId="68AACC0B" w14:textId="77777777" w:rsidR="009437C3" w:rsidRDefault="009437C3" w:rsidP="009437C3">
      <w:pPr>
        <w:rPr>
          <w:rFonts w:hint="eastAsia"/>
        </w:rPr>
      </w:pPr>
    </w:p>
    <w:p w14:paraId="7B62C3B2" w14:textId="77777777" w:rsidR="009437C3" w:rsidRPr="009437C3" w:rsidRDefault="009437C3" w:rsidP="009437C3">
      <w:pPr>
        <w:rPr>
          <w:rFonts w:hint="eastAsia"/>
          <w:b/>
          <w:bCs/>
        </w:rPr>
      </w:pPr>
      <w:r w:rsidRPr="009437C3">
        <w:rPr>
          <w:rFonts w:hint="eastAsia"/>
          <w:b/>
          <w:bCs/>
        </w:rPr>
        <w:t>C. New Research Questions / Hypotheses</w:t>
      </w:r>
    </w:p>
    <w:p w14:paraId="16FA6D9E" w14:textId="77777777" w:rsidR="009437C3" w:rsidRDefault="009437C3" w:rsidP="009437C3">
      <w:pPr>
        <w:rPr>
          <w:rFonts w:hint="eastAsia"/>
        </w:rPr>
      </w:pPr>
    </w:p>
    <w:p w14:paraId="204BF3E2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Longitudinal dynamics of transcriptomic changes</w:t>
      </w:r>
    </w:p>
    <w:p w14:paraId="1CD7E265" w14:textId="77777777" w:rsidR="009437C3" w:rsidRDefault="009437C3" w:rsidP="009437C3">
      <w:pPr>
        <w:rPr>
          <w:rFonts w:hint="eastAsia"/>
        </w:rPr>
      </w:pPr>
    </w:p>
    <w:p w14:paraId="2115067F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Question: Do the transcriptomic signatures identified here dynamically shift within the same patient across remission and flare?</w:t>
      </w:r>
    </w:p>
    <w:p w14:paraId="3EA70CC1" w14:textId="77777777" w:rsidR="009437C3" w:rsidRDefault="009437C3" w:rsidP="009437C3">
      <w:pPr>
        <w:rPr>
          <w:rFonts w:hint="eastAsia"/>
        </w:rPr>
      </w:pPr>
    </w:p>
    <w:p w14:paraId="29A1210E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lastRenderedPageBreak/>
        <w:t>Rationale: If so, these markers could serve as predictive biomarkers to anticipate flares and enable preemptive treatment.</w:t>
      </w:r>
    </w:p>
    <w:p w14:paraId="257DE0DE" w14:textId="77777777" w:rsidR="009437C3" w:rsidRDefault="009437C3" w:rsidP="009437C3">
      <w:pPr>
        <w:rPr>
          <w:rFonts w:hint="eastAsia"/>
        </w:rPr>
      </w:pPr>
    </w:p>
    <w:p w14:paraId="692862C3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Functional validation of key genes and pathways</w:t>
      </w:r>
    </w:p>
    <w:p w14:paraId="4D61C2EF" w14:textId="77777777" w:rsidR="009437C3" w:rsidRDefault="009437C3" w:rsidP="009437C3">
      <w:pPr>
        <w:rPr>
          <w:rFonts w:hint="eastAsia"/>
        </w:rPr>
      </w:pPr>
    </w:p>
    <w:p w14:paraId="3A801A79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Question: Are the stage-specific genes and pathways causal drivers of disease progression, or merely downstream byproducts?</w:t>
      </w:r>
    </w:p>
    <w:p w14:paraId="5F847104" w14:textId="77777777" w:rsidR="009437C3" w:rsidRDefault="009437C3" w:rsidP="009437C3">
      <w:pPr>
        <w:rPr>
          <w:rFonts w:hint="eastAsia"/>
        </w:rPr>
      </w:pPr>
    </w:p>
    <w:p w14:paraId="76F09738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Rationale: Experimental validation in animal models or via CRISPR-based perturbation would clarify therapeutic potential.</w:t>
      </w:r>
    </w:p>
    <w:p w14:paraId="06E62759" w14:textId="77777777" w:rsidR="009437C3" w:rsidRDefault="009437C3" w:rsidP="009437C3">
      <w:pPr>
        <w:rPr>
          <w:rFonts w:hint="eastAsia"/>
        </w:rPr>
      </w:pPr>
    </w:p>
    <w:p w14:paraId="4680394E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Predicting treatment response</w:t>
      </w:r>
    </w:p>
    <w:p w14:paraId="4023331D" w14:textId="77777777" w:rsidR="009437C3" w:rsidRDefault="009437C3" w:rsidP="009437C3">
      <w:pPr>
        <w:rPr>
          <w:rFonts w:hint="eastAsia"/>
        </w:rPr>
      </w:pPr>
    </w:p>
    <w:p w14:paraId="216CA7D8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Question: Can transcriptomic profiles at establishment vs exacerbation predict response to current therapies (e.g., corticosteroids, B-cell depletion, interferon inhibitors)?</w:t>
      </w:r>
    </w:p>
    <w:p w14:paraId="606FC7CF" w14:textId="77777777" w:rsidR="009437C3" w:rsidRDefault="009437C3" w:rsidP="009437C3">
      <w:pPr>
        <w:rPr>
          <w:rFonts w:hint="eastAsia"/>
        </w:rPr>
      </w:pPr>
    </w:p>
    <w:p w14:paraId="3B512ED6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Rationale: This could enable precision medicine by tailoring therapy to disease stage and patient-specific immune profiles.</w:t>
      </w:r>
    </w:p>
    <w:p w14:paraId="347E8B07" w14:textId="77777777" w:rsidR="009437C3" w:rsidRDefault="009437C3" w:rsidP="009437C3">
      <w:pPr>
        <w:rPr>
          <w:rFonts w:hint="eastAsia"/>
        </w:rPr>
      </w:pPr>
    </w:p>
    <w:p w14:paraId="75A869BA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Intercellular communication networks (optional expansion)</w:t>
      </w:r>
    </w:p>
    <w:p w14:paraId="58ECEAC5" w14:textId="77777777" w:rsidR="009437C3" w:rsidRDefault="009437C3" w:rsidP="009437C3">
      <w:pPr>
        <w:rPr>
          <w:rFonts w:hint="eastAsia"/>
        </w:rPr>
      </w:pPr>
    </w:p>
    <w:p w14:paraId="13F77E7B" w14:textId="77777777" w:rsidR="009437C3" w:rsidRDefault="009437C3" w:rsidP="009437C3">
      <w:pPr>
        <w:rPr>
          <w:rFonts w:hint="eastAsia"/>
        </w:rPr>
      </w:pPr>
      <w:r>
        <w:rPr>
          <w:rFonts w:hint="eastAsia"/>
        </w:rPr>
        <w:t>Question: How do different immune cells interact across stages (e.g., B cells and monocytes exchanging signals)?</w:t>
      </w:r>
    </w:p>
    <w:p w14:paraId="18BBF247" w14:textId="77777777" w:rsidR="009437C3" w:rsidRDefault="009437C3" w:rsidP="009437C3">
      <w:pPr>
        <w:rPr>
          <w:rFonts w:hint="eastAsia"/>
        </w:rPr>
      </w:pPr>
    </w:p>
    <w:p w14:paraId="3C2516DB" w14:textId="7D4A4D1B" w:rsidR="00C51201" w:rsidRPr="009437C3" w:rsidRDefault="009437C3" w:rsidP="009437C3">
      <w:pPr>
        <w:rPr>
          <w:rFonts w:hint="eastAsia"/>
        </w:rPr>
      </w:pPr>
      <w:r>
        <w:rPr>
          <w:rFonts w:hint="eastAsia"/>
        </w:rPr>
        <w:t>Rationale: Mapping communication networks may reveal synergistic intervention points beyond single-gene targeting.</w:t>
      </w:r>
    </w:p>
    <w:sectPr w:rsidR="00C51201" w:rsidRPr="009437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1CD75" w14:textId="77777777" w:rsidR="00B857D8" w:rsidRDefault="00B857D8" w:rsidP="009437C3">
      <w:pPr>
        <w:rPr>
          <w:rFonts w:hint="eastAsia"/>
        </w:rPr>
      </w:pPr>
      <w:r>
        <w:separator/>
      </w:r>
    </w:p>
  </w:endnote>
  <w:endnote w:type="continuationSeparator" w:id="0">
    <w:p w14:paraId="283E96E8" w14:textId="77777777" w:rsidR="00B857D8" w:rsidRDefault="00B857D8" w:rsidP="009437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E042" w14:textId="77777777" w:rsidR="00B857D8" w:rsidRDefault="00B857D8" w:rsidP="009437C3">
      <w:pPr>
        <w:rPr>
          <w:rFonts w:hint="eastAsia"/>
        </w:rPr>
      </w:pPr>
      <w:r>
        <w:separator/>
      </w:r>
    </w:p>
  </w:footnote>
  <w:footnote w:type="continuationSeparator" w:id="0">
    <w:p w14:paraId="7CF49E0E" w14:textId="77777777" w:rsidR="00B857D8" w:rsidRDefault="00B857D8" w:rsidP="009437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1F5F"/>
    <w:multiLevelType w:val="multilevel"/>
    <w:tmpl w:val="8052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14977"/>
    <w:multiLevelType w:val="hybridMultilevel"/>
    <w:tmpl w:val="BFC46126"/>
    <w:lvl w:ilvl="0" w:tplc="F0E2BB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7D6E54"/>
    <w:multiLevelType w:val="multilevel"/>
    <w:tmpl w:val="C662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B6D91"/>
    <w:multiLevelType w:val="multilevel"/>
    <w:tmpl w:val="4A28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4772">
    <w:abstractNumId w:val="3"/>
  </w:num>
  <w:num w:numId="2" w16cid:durableId="153688038">
    <w:abstractNumId w:val="2"/>
  </w:num>
  <w:num w:numId="3" w16cid:durableId="473179685">
    <w:abstractNumId w:val="0"/>
  </w:num>
  <w:num w:numId="4" w16cid:durableId="138813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20"/>
    <w:rsid w:val="004E723C"/>
    <w:rsid w:val="009437C3"/>
    <w:rsid w:val="00A24C40"/>
    <w:rsid w:val="00AF2D85"/>
    <w:rsid w:val="00B857D8"/>
    <w:rsid w:val="00C51201"/>
    <w:rsid w:val="00D44C5B"/>
    <w:rsid w:val="00E9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A0C08"/>
  <w15:chartTrackingRefBased/>
  <w15:docId w15:val="{77C5B238-A6E1-4C26-AC84-A4237041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44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4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4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4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4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4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4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4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4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4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44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44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44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4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4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44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4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4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4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4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44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44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4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44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44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37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37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3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37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347</Words>
  <Characters>2431</Characters>
  <Application>Microsoft Office Word</Application>
  <DocSecurity>0</DocSecurity>
  <Lines>73</Lines>
  <Paragraphs>37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Yinda Yu</dc:creator>
  <cp:keywords/>
  <dc:description/>
  <cp:lastModifiedBy>Yinda Yu</cp:lastModifiedBy>
  <cp:revision>3</cp:revision>
  <dcterms:created xsi:type="dcterms:W3CDTF">2025-09-26T13:49:00Z</dcterms:created>
  <dcterms:modified xsi:type="dcterms:W3CDTF">2025-09-27T19:08:00Z</dcterms:modified>
</cp:coreProperties>
</file>