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after="281" w:line="240" w:lineRule="auto"/>
        <w:rPr>
          <w:rFonts w:ascii="Times Roman" w:cs="Times Roman" w:hAnsi="Times Roman" w:eastAsia="Times Roman"/>
          <w:b w:val="1"/>
          <w:bCs w:val="1"/>
          <w:sz w:val="28"/>
          <w:szCs w:val="28"/>
        </w:rPr>
      </w:pPr>
      <w:r>
        <w:rPr>
          <w:rFonts w:ascii="Times Roman" w:hAnsi="Times Roman"/>
          <w:b w:val="1"/>
          <w:bCs w:val="1"/>
          <w:sz w:val="28"/>
          <w:szCs w:val="28"/>
          <w:rtl w:val="0"/>
          <w:lang w:val="en-US"/>
        </w:rPr>
        <w:t>3. Materials and Methods</w:t>
      </w:r>
    </w:p>
    <w:p>
      <w:pPr>
        <w:pStyle w:val="Default"/>
        <w:suppressAutoHyphens w:val="1"/>
        <w:spacing w:before="0" w:after="240" w:line="240" w:lineRule="auto"/>
        <w:rPr>
          <w:rFonts w:ascii="Times Roman" w:cs="Times Roman" w:hAnsi="Times Roman" w:eastAsia="Times Roman"/>
        </w:rPr>
      </w:pPr>
      <w:r>
        <w:rPr>
          <w:rFonts w:ascii="Times Roman" w:hAnsi="Times Roman"/>
          <w:b w:val="1"/>
          <w:bCs w:val="1"/>
          <w:rtl w:val="0"/>
          <w:lang w:val="en-US"/>
        </w:rPr>
        <w:t>3.1. System Overview and Power Architecture</w:t>
      </w:r>
      <w:r>
        <w:rPr>
          <w:rFonts w:ascii="Times Roman" w:hAnsi="Times Roman"/>
          <w:rtl w:val="0"/>
        </w:rPr>
        <w:t xml:space="preserve"> </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The hardware architecture was designed to drive a custom magnetic coil array while isolating sensitive digital logic from high-power switching noise. The power entry circuitry use</w:t>
      </w:r>
      <w:r>
        <w:rPr>
          <w:rFonts w:ascii="Times Roman" w:hAnsi="Times Roman"/>
          <w:rtl w:val="0"/>
          <w:lang w:val="en-US"/>
        </w:rPr>
        <w:t>d</w:t>
      </w:r>
      <w:r>
        <w:rPr>
          <w:rFonts w:ascii="Times Roman" w:hAnsi="Times Roman"/>
          <w:rtl w:val="0"/>
        </w:rPr>
        <w:t xml:space="preserve"> a 100 </w:t>
      </w:r>
      <w:r>
        <w:rPr>
          <w:rFonts w:ascii="Times Roman" w:hAnsi="Times Roman" w:hint="default"/>
          <w:rtl w:val="0"/>
        </w:rPr>
        <w:t>μ</w:t>
      </w:r>
      <w:r>
        <w:rPr>
          <w:rFonts w:ascii="Times Roman" w:hAnsi="Times Roman"/>
          <w:rtl w:val="0"/>
          <w:lang w:val="en-US"/>
        </w:rPr>
        <w:t>F surface-mount device (SMD) electrolytic bulk decoupling capacitor to absorb transient current spikes, alongside a transient voltage suppression (TVS) diode (SMCJ18A) to suppress flyback voltages. Reverse polarity protection was implemented using an N-channel power MOSFET (FDD8447L, onsemi). Power was supplied by a 300 W, 30 A switch-mode power supply (SMPS).</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The core drive circuitry consisted of two VNH5019ATR-E H-bridge motor drivers (STMicroelectronics) sharing the SMPS. While the VNH5019 is rated for 30 A peak and 24 V maximum, the system was constrained to a 15 A continuous operational target to maintain thermal stability. The primary FDD8447L MOSFET, rated for 40 V and 50 A continuous operation, was selected to facilitate this load under proper thermal management.</w:t>
      </w:r>
    </w:p>
    <w:p>
      <w:pPr>
        <w:pStyle w:val="Default"/>
        <w:suppressAutoHyphens w:val="1"/>
        <w:spacing w:before="0" w:after="240" w:line="240" w:lineRule="auto"/>
        <w:rPr>
          <w:rFonts w:ascii="Times Roman" w:cs="Times Roman" w:hAnsi="Times Roman" w:eastAsia="Times Roman"/>
        </w:rPr>
      </w:pPr>
      <w:r>
        <w:rPr>
          <w:rFonts w:ascii="Times Roman" w:hAnsi="Times Roman"/>
          <w:b w:val="1"/>
          <w:bCs w:val="1"/>
          <w:rtl w:val="0"/>
          <w:lang w:val="en-US"/>
        </w:rPr>
        <w:t>3.2. RLC Resonant Circuit and Coil Interfacing</w:t>
      </w:r>
      <w:r>
        <w:rPr>
          <w:rFonts w:ascii="Times Roman" w:hAnsi="Times Roman"/>
          <w:rtl w:val="0"/>
        </w:rPr>
        <w:t xml:space="preserve"> </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The magnetic field was generated by custom copper coil arrays configured in parallel clusters of four. Each coil was constructed with a solid iron core, measuring 21 mm in outer diameter, 9 mm in inner diameter, and 22 mm in height, wound with 0.4 mm diameter (26 AWG) copper wire.</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 xml:space="preserve">The output of each H-bridge (OutA) was connected in series to a </w:t>
      </w:r>
      <w:r>
        <w:rPr>
          <w:rFonts w:ascii="Times Roman" w:hAnsi="Times Roman"/>
          <w:rtl w:val="0"/>
          <w:lang w:val="en-US"/>
        </w:rPr>
        <w:t>non-polarised</w:t>
      </w:r>
      <w:r>
        <w:rPr>
          <w:rFonts w:ascii="Times Roman" w:hAnsi="Times Roman"/>
          <w:rtl w:val="0"/>
        </w:rPr>
        <w:t xml:space="preserve"> 500 </w:t>
      </w:r>
      <w:r>
        <w:rPr>
          <w:rFonts w:ascii="Times Roman" w:hAnsi="Times Roman" w:hint="default"/>
          <w:rtl w:val="0"/>
        </w:rPr>
        <w:t>μ</w:t>
      </w:r>
      <w:r>
        <w:rPr>
          <w:rFonts w:ascii="Times Roman" w:hAnsi="Times Roman"/>
          <w:rtl w:val="0"/>
          <w:lang w:val="en-US"/>
        </w:rPr>
        <w:t xml:space="preserve">F capacitor bank (rated for 100 V), and subsequently to the coil cluster. The circuit was completed by returning to OutB of the H-bridge, forming an RLC series circuit powered by a </w:t>
      </w:r>
      <w:r>
        <w:rPr>
          <w:rFonts w:ascii="Times Roman" w:hAnsi="Times Roman"/>
          <w:rtl w:val="0"/>
          <w:lang w:val="en-US"/>
        </w:rPr>
        <w:t>zero-centred</w:t>
      </w:r>
      <w:r>
        <w:rPr>
          <w:rFonts w:ascii="Times Roman" w:hAnsi="Times Roman"/>
          <w:rtl w:val="0"/>
          <w:lang w:val="en-US"/>
        </w:rPr>
        <w:t xml:space="preserve"> modulated square wave. The 500 </w:t>
      </w:r>
      <w:r>
        <w:rPr>
          <w:rFonts w:ascii="Times Roman" w:hAnsi="Times Roman" w:hint="default"/>
          <w:rtl w:val="0"/>
        </w:rPr>
        <w:t>μ</w:t>
      </w:r>
      <w:r>
        <w:rPr>
          <w:rFonts w:ascii="Times Roman" w:hAnsi="Times Roman"/>
          <w:rtl w:val="0"/>
          <w:lang w:val="en-US"/>
        </w:rPr>
        <w:t xml:space="preserve">F capacitor bank was constructed using five 100 </w:t>
      </w:r>
      <w:r>
        <w:rPr>
          <w:rFonts w:ascii="Times Roman" w:hAnsi="Times Roman" w:hint="default"/>
          <w:rtl w:val="0"/>
        </w:rPr>
        <w:t>μ</w:t>
      </w:r>
      <w:r>
        <w:rPr>
          <w:rFonts w:ascii="Times Roman" w:hAnsi="Times Roman"/>
          <w:rtl w:val="0"/>
          <w:lang w:val="en-US"/>
        </w:rPr>
        <w:t xml:space="preserve">F SMD electrolytic capacitors in parallel; this distributed the high current load and </w:t>
      </w:r>
      <w:r>
        <w:rPr>
          <w:rFonts w:ascii="Times Roman" w:hAnsi="Times Roman"/>
          <w:rtl w:val="0"/>
          <w:lang w:val="en-US"/>
        </w:rPr>
        <w:t>minimised</w:t>
      </w:r>
      <w:r>
        <w:rPr>
          <w:rFonts w:ascii="Times Roman" w:hAnsi="Times Roman"/>
          <w:rtl w:val="0"/>
        </w:rPr>
        <w:t xml:space="preserve"> </w:t>
      </w:r>
      <w:r>
        <w:rPr>
          <w:rFonts w:ascii="Times Roman" w:hAnsi="Times Roman"/>
          <w:rtl w:val="0"/>
          <w:lang w:val="en-US"/>
        </w:rPr>
        <w:t>localised</w:t>
      </w:r>
      <w:r>
        <w:rPr>
          <w:rFonts w:ascii="Times Roman" w:hAnsi="Times Roman"/>
          <w:rtl w:val="0"/>
          <w:lang w:val="en-US"/>
        </w:rPr>
        <w:t xml:space="preserve"> heating.</w:t>
      </w:r>
    </w:p>
    <w:p>
      <w:pPr>
        <w:pStyle w:val="Default"/>
        <w:suppressAutoHyphens w:val="1"/>
        <w:spacing w:before="0" w:after="240" w:line="240" w:lineRule="auto"/>
        <w:rPr>
          <w:rFonts w:ascii="Times Roman" w:cs="Times Roman" w:hAnsi="Times Roman" w:eastAsia="Times Roman"/>
          <w:color w:val="000000"/>
          <w:sz w:val="24"/>
        </w:rPr>
      </w:pPr>
      <w:r>
        <w:rPr>
          <w:rFonts w:ascii="Times Roman" w:hAnsi="Times Roman"/>
          <w:rtl w:val="0"/>
          <w:lang w:val="en-US"/>
        </w:rPr>
        <w:t>The total inductance of the coil cluster was measured at 1.4 mH with a DC resistance (</w:t>
      </w:r>
      <m:oMath>
        <m:sSub>
          <m:e>
            <m:r>
              <w:rPr xmlns:w="http://schemas.openxmlformats.org/wordprocessingml/2006/main">
                <w:rFonts w:ascii="Cambria Math" w:hAnsi="Cambria Math"/>
                <w:i/>
                <w:color w:val="000000"/>
                <w:sz w:val="25"/>
                <w:szCs w:val="25"/>
              </w:rPr>
              <m:t>R</m:t>
            </m:r>
          </m:e>
          <m:sub>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o</m:t>
            </m:r>
            <m:r>
              <w:rPr xmlns:w="http://schemas.openxmlformats.org/wordprocessingml/2006/main">
                <w:rFonts w:ascii="Cambria Math" w:hAnsi="Cambria Math"/>
                <w:i/>
                <w:color w:val="000000"/>
                <w:sz w:val="25"/>
                <w:szCs w:val="25"/>
              </w:rPr>
              <m:t>i</m:t>
            </m:r>
            <m:r>
              <w:rPr xmlns:w="http://schemas.openxmlformats.org/wordprocessingml/2006/main">
                <w:rFonts w:ascii="Cambria Math" w:hAnsi="Cambria Math"/>
                <w:i/>
                <w:color w:val="000000"/>
                <w:sz w:val="25"/>
                <w:szCs w:val="25"/>
              </w:rPr>
              <m:t>l</m:t>
            </m:r>
          </m:sub>
        </m:sSub>
      </m:oMath>
      <w:r>
        <w:rPr>
          <w:rFonts w:ascii="Times Roman" w:hAnsi="Times Roman"/>
          <w:rtl w:val="0"/>
          <w:lang w:val="en-US"/>
        </w:rPr>
        <w:t xml:space="preserve"> ) of 1.3 </w:t>
      </w:r>
      <w:r>
        <w:rPr>
          <w:rFonts w:ascii="Times Roman" w:hAnsi="Times Roman" w:hint="default"/>
          <w:rtl w:val="0"/>
        </w:rPr>
        <w:t>Ω</w:t>
      </w:r>
      <w:r>
        <w:rPr>
          <w:rFonts w:ascii="Times Roman" w:hAnsi="Times Roman"/>
          <w:rtl w:val="0"/>
          <w:lang w:val="en-US"/>
        </w:rPr>
        <w:t xml:space="preserve">. The total capacitance of 500 </w:t>
      </w:r>
      <w:r>
        <w:rPr>
          <w:rFonts w:ascii="Times Roman" w:hAnsi="Times Roman" w:hint="default"/>
          <w:rtl w:val="0"/>
        </w:rPr>
        <w:t>μ</w:t>
      </w:r>
      <w:r>
        <w:rPr>
          <w:rFonts w:ascii="Times Roman" w:hAnsi="Times Roman"/>
          <w:rtl w:val="0"/>
          <w:lang w:val="en-US"/>
        </w:rPr>
        <w:t xml:space="preserve">F was selected to achieve a theoretical resonant frequency </w:t>
      </w:r>
      <w:r>
        <w:rPr>
          <w:rFonts w:ascii="Times Roman" w:hAnsi="Times Roman"/>
          <w:rtl w:val="0"/>
          <w:lang w:val="en-US"/>
        </w:rPr>
        <w:t>(</w:t>
      </w:r>
      <m:oMath>
        <m:sSub>
          <m:e>
            <m:r>
              <w:rPr xmlns:w="http://schemas.openxmlformats.org/wordprocessingml/2006/main">
                <w:rFonts w:ascii="Cambria Math" w:hAnsi="Cambria Math"/>
                <w:i/>
                <w:color w:val="000000"/>
                <w:sz w:val="25"/>
                <w:szCs w:val="25"/>
              </w:rPr>
              <m:t>f</m:t>
            </m:r>
          </m:e>
          <m:sub>
            <m:r>
              <w:rPr xmlns:w="http://schemas.openxmlformats.org/wordprocessingml/2006/main">
                <w:rFonts w:ascii="Cambria Math" w:hAnsi="Cambria Math"/>
                <w:i/>
                <w:color w:val="000000"/>
                <w:sz w:val="25"/>
                <w:szCs w:val="25"/>
              </w:rPr>
              <m:t>r</m:t>
            </m:r>
          </m:sub>
        </m:sSub>
      </m:oMath>
      <w:r>
        <w:rPr>
          <w:rFonts w:ascii="Times Roman" w:hAnsi="Times Roman"/>
          <w:rtl w:val="0"/>
          <w:lang w:val="en-US"/>
        </w:rPr>
        <w:t>) of approximately 190 Hz, according to the equation:</w:t>
      </w:r>
    </w:p>
    <w:p>
      <w:pPr>
        <w:pStyle w:val="Default"/>
        <w:suppressAutoHyphens w:val="1"/>
        <w:spacing w:before="0" w:line="240" w:lineRule="auto"/>
        <w:jc w:val="center"/>
        <w:rPr>
          <w:rFonts w:ascii="Times Roman" w:cs="Times Roman" w:hAnsi="Times Roman" w:eastAsia="Times Roman"/>
          <w:color w:val="000000"/>
          <w:sz w:val="24"/>
        </w:rPr>
      </w:pPr>
      <m:oMathPara>
        <m:oMathParaPr>
          <m:jc m:val="center"/>
        </m:oMathParaPr>
        <m:oMath>
          <m:sSub>
            <m:e>
              <m:r>
                <w:rPr xmlns:w="http://schemas.openxmlformats.org/wordprocessingml/2006/main">
                  <w:rFonts w:ascii="Cambria Math" w:hAnsi="Cambria Math"/>
                  <w:i/>
                  <w:color w:val="000000"/>
                  <w:sz w:val="25"/>
                  <w:szCs w:val="25"/>
                </w:rPr>
                <m:t>f</m:t>
              </m:r>
            </m:e>
            <m:sub>
              <m:r>
                <w:rPr xmlns:w="http://schemas.openxmlformats.org/wordprocessingml/2006/main">
                  <w:rFonts w:ascii="Cambria Math" w:hAnsi="Cambria Math"/>
                  <w:i/>
                  <w:color w:val="000000"/>
                  <w:sz w:val="25"/>
                  <w:szCs w:val="25"/>
                </w:rPr>
                <m:t>r</m:t>
              </m:r>
            </m:sub>
          </m:sSub>
          <m:r>
            <w:rPr xmlns:w="http://schemas.openxmlformats.org/wordprocessingml/2006/main">
              <w:rFonts w:ascii="Cambria Math" w:hAnsi="Cambria Math"/>
              <w:i/>
              <w:color w:val="000000"/>
              <w:sz w:val="25"/>
              <w:szCs w:val="25"/>
            </w:rPr>
            <m:t>=</m:t>
          </m:r>
          <m:f>
            <m:fPr>
              <m:ctrlPr>
                <w:rPr xmlns:w="http://schemas.openxmlformats.org/wordprocessingml/2006/main">
                  <w:rFonts w:ascii="Cambria Math" w:hAnsi="Cambria Math"/>
                  <w:i/>
                  <w:color w:val="000000"/>
                  <w:sz w:val="25"/>
                  <w:szCs w:val="25"/>
                </w:rPr>
              </m:ctrlPr>
              <m:type m:val="bar"/>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r>
                <w:rPr xmlns:w="http://schemas.openxmlformats.org/wordprocessingml/2006/main">
                  <w:rFonts w:ascii="Cambria Math" w:hAnsi="Cambria Math"/>
                  <w:i/>
                  <w:color w:val="000000"/>
                  <w:sz w:val="25"/>
                  <w:szCs w:val="25"/>
                </w:rPr>
                <m:t>π</m:t>
              </m:r>
              <m:rad>
                <m:radPr>
                  <m:ctrlPr>
                    <w:rPr xmlns:w="http://schemas.openxmlformats.org/wordprocessingml/2006/main">
                      <w:rFonts w:ascii="Cambria Math" w:hAnsi="Cambria Math"/>
                      <w:i/>
                      <w:color w:val="000000"/>
                      <w:sz w:val="25"/>
                      <w:szCs w:val="25"/>
                    </w:rPr>
                  </m:ctrlPr>
                  <m:degHide m:val="on"/>
                </m:radPr>
                <m:deg/>
                <m:e>
                  <m:r>
                    <w:rPr xmlns:w="http://schemas.openxmlformats.org/wordprocessingml/2006/main">
                      <w:rFonts w:ascii="Cambria Math" w:hAnsi="Cambria Math"/>
                      <w:i/>
                      <w:color w:val="000000"/>
                      <w:sz w:val="25"/>
                      <w:szCs w:val="25"/>
                    </w:rPr>
                    <m:t>L</m:t>
                  </m:r>
                  <m:r>
                    <w:rPr xmlns:w="http://schemas.openxmlformats.org/wordprocessingml/2006/main">
                      <w:rFonts w:ascii="Cambria Math" w:hAnsi="Cambria Math"/>
                      <w:i/>
                      <w:color w:val="000000"/>
                      <w:sz w:val="25"/>
                      <w:szCs w:val="25"/>
                    </w:rPr>
                    <m:t>C</m:t>
                  </m:r>
                </m:e>
              </m:rad>
            </m:den>
          </m:f>
        </m:oMath>
      </m:oMathPara>
    </w:p>
    <w:p>
      <w:pPr>
        <w:pStyle w:val="Default"/>
        <w:suppressAutoHyphens w:val="1"/>
        <w:spacing w:before="0" w:line="240" w:lineRule="auto"/>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 xml:space="preserve">This frequency was empirically determined to provide optimal performance across the targeted control range of 1 Hz to 270 Hz. The RLC network effectively functioned as a low-pass current filter, smoothing the 10 kHz carrier signal into a continuous output. The time-averaged DC current (Iout ) driven through the coils is directly proportional to the applied duty cycle (D) of the </w:t>
      </w:r>
      <w:r>
        <w:rPr>
          <w:rFonts w:ascii="Times Roman" w:hAnsi="Times Roman"/>
          <w:rtl w:val="0"/>
          <w:lang w:val="en-US"/>
        </w:rPr>
        <w:t>zero-centred</w:t>
      </w:r>
      <w:r>
        <w:rPr>
          <w:rFonts w:ascii="Times Roman" w:hAnsi="Times Roman"/>
          <w:rtl w:val="0"/>
          <w:lang w:val="en-US"/>
        </w:rPr>
        <w:t xml:space="preserve"> square wave and is approximated by:</w:t>
      </w:r>
    </w:p>
    <w:p>
      <w:pPr>
        <w:pStyle w:val="Default"/>
        <w:suppressAutoHyphens w:val="1"/>
        <w:spacing w:before="0" w:line="240" w:lineRule="auto"/>
        <w:jc w:val="center"/>
        <w:rPr>
          <w:rFonts w:ascii="Times Roman" w:cs="Times Roman" w:hAnsi="Times Roman" w:eastAsia="Times Roman"/>
          <w:color w:val="000000"/>
          <w:sz w:val="24"/>
        </w:rPr>
      </w:pPr>
      <m:oMathPara>
        <m:oMathParaPr>
          <m:jc m:val="center"/>
        </m:oMathParaPr>
        <m:oMath>
          <m:sSub>
            <m:e>
              <m:r>
                <w:rPr xmlns:w="http://schemas.openxmlformats.org/wordprocessingml/2006/main">
                  <w:rFonts w:ascii="Cambria Math" w:hAnsi="Cambria Math"/>
                  <w:i/>
                  <w:color w:val="000000"/>
                  <w:sz w:val="25"/>
                  <w:szCs w:val="25"/>
                </w:rPr>
                <m:t>I</m:t>
              </m:r>
            </m:e>
            <m:sub>
              <m:r>
                <w:rPr xmlns:w="http://schemas.openxmlformats.org/wordprocessingml/2006/main">
                  <w:rFonts w:ascii="Cambria Math" w:hAnsi="Cambria Math"/>
                  <w:i/>
                  <w:color w:val="000000"/>
                  <w:sz w:val="25"/>
                  <w:szCs w:val="25"/>
                </w:rPr>
                <m:t>o</m:t>
              </m:r>
              <m:r>
                <w:rPr xmlns:w="http://schemas.openxmlformats.org/wordprocessingml/2006/main">
                  <w:rFonts w:ascii="Cambria Math" w:hAnsi="Cambria Math"/>
                  <w:i/>
                  <w:color w:val="000000"/>
                  <w:sz w:val="25"/>
                  <w:szCs w:val="25"/>
                </w:rPr>
                <m:t>u</m:t>
              </m:r>
              <m:r>
                <w:rPr xmlns:w="http://schemas.openxmlformats.org/wordprocessingml/2006/main">
                  <w:rFonts w:ascii="Cambria Math" w:hAnsi="Cambria Math"/>
                  <w:i/>
                  <w:color w:val="000000"/>
                  <w:sz w:val="25"/>
                  <w:szCs w:val="25"/>
                </w:rPr>
                <m:t>t</m:t>
              </m:r>
            </m:sub>
          </m:sSub>
          <m:r>
            <w:rPr xmlns:w="http://schemas.openxmlformats.org/wordprocessingml/2006/main">
              <w:rFonts w:ascii="Cambria Math" w:hAnsi="Cambria Math"/>
              <w:i/>
              <w:color w:val="000000"/>
              <w:sz w:val="25"/>
              <w:szCs w:val="25"/>
            </w:rPr>
            <m:t>≈</m:t>
          </m:r>
          <m:f>
            <m:fPr>
              <m:ctrlPr>
                <w:rPr xmlns:w="http://schemas.openxmlformats.org/wordprocessingml/2006/main">
                  <w:rFonts w:ascii="Cambria Math" w:hAnsi="Cambria Math"/>
                  <w:i/>
                  <w:color w:val="000000"/>
                  <w:sz w:val="25"/>
                  <w:szCs w:val="25"/>
                </w:rPr>
              </m:ctrlPr>
              <m:type m:val="bar"/>
            </m:fPr>
            <m:num>
              <m:sSub>
                <m:e>
                  <m:r>
                    <w:rPr xmlns:w="http://schemas.openxmlformats.org/wordprocessingml/2006/main">
                      <w:rFonts w:ascii="Cambria Math" w:hAnsi="Cambria Math"/>
                      <w:i/>
                      <w:color w:val="000000"/>
                      <w:sz w:val="25"/>
                      <w:szCs w:val="25"/>
                    </w:rPr>
                    <m:t>V</m:t>
                  </m:r>
                </m:e>
                <m:sub>
                  <m:r>
                    <w:rPr xmlns:w="http://schemas.openxmlformats.org/wordprocessingml/2006/main">
                      <w:rFonts w:ascii="Cambria Math" w:hAnsi="Cambria Math"/>
                      <w:i/>
                      <w:color w:val="000000"/>
                      <w:sz w:val="25"/>
                      <w:szCs w:val="25"/>
                    </w:rPr>
                    <m:t>i</m:t>
                  </m:r>
                  <m:r>
                    <w:rPr xmlns:w="http://schemas.openxmlformats.org/wordprocessingml/2006/main">
                      <w:rFonts w:ascii="Cambria Math" w:hAnsi="Cambria Math"/>
                      <w:i/>
                      <w:color w:val="000000"/>
                      <w:sz w:val="25"/>
                      <w:szCs w:val="25"/>
                    </w:rPr>
                    <m:t>n</m:t>
                  </m:r>
                </m:sub>
              </m:sSub>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m:t>
              </m:r>
              <m:r>
                <w:rPr xmlns:w="http://schemas.openxmlformats.org/wordprocessingml/2006/main">
                  <w:rFonts w:ascii="Cambria Math" w:hAnsi="Cambria Math"/>
                  <w:i/>
                  <w:color w:val="000000"/>
                  <w:sz w:val="25"/>
                  <w:szCs w:val="25"/>
                </w:rPr>
                <m:t>D</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num>
            <m:den>
              <m:sSub>
                <m:e>
                  <m:r>
                    <w:rPr xmlns:w="http://schemas.openxmlformats.org/wordprocessingml/2006/main">
                      <w:rFonts w:ascii="Cambria Math" w:hAnsi="Cambria Math"/>
                      <w:i/>
                      <w:color w:val="000000"/>
                      <w:sz w:val="25"/>
                      <w:szCs w:val="25"/>
                    </w:rPr>
                    <m:t>R</m:t>
                  </m:r>
                </m:e>
                <m:sub>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o</m:t>
                  </m:r>
                  <m:r>
                    <w:rPr xmlns:w="http://schemas.openxmlformats.org/wordprocessingml/2006/main">
                      <w:rFonts w:ascii="Cambria Math" w:hAnsi="Cambria Math"/>
                      <w:i/>
                      <w:color w:val="000000"/>
                      <w:sz w:val="25"/>
                      <w:szCs w:val="25"/>
                    </w:rPr>
                    <m:t>i</m:t>
                  </m:r>
                  <m:r>
                    <w:rPr xmlns:w="http://schemas.openxmlformats.org/wordprocessingml/2006/main">
                      <w:rFonts w:ascii="Cambria Math" w:hAnsi="Cambria Math"/>
                      <w:i/>
                      <w:color w:val="000000"/>
                      <w:sz w:val="25"/>
                      <w:szCs w:val="25"/>
                    </w:rPr>
                    <m:t>l</m:t>
                  </m:r>
                </m:sub>
              </m:sSub>
            </m:den>
          </m:f>
        </m:oMath>
      </m:oMathPara>
    </w:p>
    <w:p>
      <w:pPr>
        <w:pStyle w:val="Default"/>
        <w:suppressAutoHyphens w:val="1"/>
        <w:spacing w:before="0" w:line="240" w:lineRule="auto"/>
        <w:jc w:val="center"/>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rPr>
      </w:pPr>
      <w:r>
        <w:rPr>
          <w:rFonts w:ascii="Times Roman" w:hAnsi="Times Roman"/>
          <w:b w:val="1"/>
          <w:bCs w:val="1"/>
          <w:rtl w:val="0"/>
          <w:lang w:val="en-US"/>
        </w:rPr>
        <w:t>3.3. PCB Layout and Thermal Management</w:t>
      </w:r>
      <w:r>
        <w:rPr>
          <w:rFonts w:ascii="Times Roman" w:hAnsi="Times Roman"/>
          <w:rtl w:val="0"/>
        </w:rPr>
        <w:t xml:space="preserve"> </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 xml:space="preserve">The printed circuit board (PCB) was designed using KiCAD EDA and fabricated with a four-layer stackup </w:t>
      </w:r>
      <w:r>
        <w:rPr>
          <w:rFonts w:ascii="Times Roman" w:hAnsi="Times Roman"/>
          <w:rtl w:val="0"/>
          <w:lang w:val="en-US"/>
        </w:rPr>
        <w:t>utilising</w:t>
      </w:r>
      <w:r>
        <w:rPr>
          <w:rFonts w:ascii="Times Roman" w:hAnsi="Times Roman"/>
          <w:rtl w:val="0"/>
          <w:lang w:val="en-US"/>
        </w:rPr>
        <w:t xml:space="preserve"> 1 oz copper layers (JLCPCB). Because 1 oz copper presents thermal and resistive challenges at a continuous 15 A per H-bridge, large internal ground and power pours were utilized to </w:t>
      </w:r>
      <w:r>
        <w:rPr>
          <w:rFonts w:ascii="Times Roman" w:hAnsi="Times Roman"/>
          <w:rtl w:val="0"/>
          <w:lang w:val="en-US"/>
        </w:rPr>
        <w:t>minimise</w:t>
      </w:r>
      <w:r>
        <w:rPr>
          <w:rFonts w:ascii="Times Roman" w:hAnsi="Times Roman"/>
          <w:rtl w:val="0"/>
          <w:lang w:val="en-US"/>
        </w:rPr>
        <w:t xml:space="preserve"> trace resistance and aid in heat dissipation. Extensive via stitching was implemented to transfer current loads and thermal energy across the four layers safely. Thermal pads were placed directly beneath the MOSFET and H-bridge packages, connecting them to the bottom copper layer for enhanced heat radiation. Under continuous operation, this design maintained a stable board temperature of approximately 25</w:t>
      </w:r>
      <w:r>
        <w:rPr>
          <w:rFonts w:ascii="Times Roman" w:hAnsi="Times Roman" w:hint="default"/>
          <w:rtl w:val="0"/>
          <w:lang w:val="it-IT"/>
        </w:rPr>
        <w:t>°</w:t>
      </w:r>
      <w:r>
        <w:rPr>
          <w:rFonts w:ascii="Times Roman" w:hAnsi="Times Roman"/>
          <w:rtl w:val="0"/>
          <w:lang w:val="it-IT"/>
        </w:rPr>
        <w:t>C.</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To mitigate electromagnetic interference (EMI) and switching noise, the logic and power ground planes were isolated on the PCB and connected via a single-point off-board star ground at the power supply. High-current connections use</w:t>
      </w:r>
      <w:r>
        <w:rPr>
          <w:rFonts w:ascii="Times Roman" w:hAnsi="Times Roman"/>
          <w:rtl w:val="0"/>
          <w:lang w:val="en-US"/>
        </w:rPr>
        <w:t>d</w:t>
      </w:r>
      <w:r>
        <w:rPr>
          <w:rFonts w:ascii="Times Roman" w:hAnsi="Times Roman"/>
          <w:rtl w:val="0"/>
          <w:lang w:val="en-US"/>
        </w:rPr>
        <w:t xml:space="preserve"> XT60 connectors for the power supply and XT30 connectors for the coil clusters, providing a necessary balance of low contact resistance, high thermal performance, and resistance to mechanical vibration.</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Mechanical support for the coils was provided by a 3D-printed resin plate. To prevent thermal deformation from coil heating during continuous operation, the resin baseplate was structurally reinforced with a high-temperature PETG frame.</w:t>
      </w:r>
    </w:p>
    <w:p>
      <w:pPr>
        <w:pStyle w:val="Default"/>
        <w:suppressAutoHyphens w:val="1"/>
        <w:spacing w:before="0" w:after="240" w:line="240" w:lineRule="auto"/>
        <w:rPr>
          <w:rFonts w:ascii="Times Roman" w:cs="Times Roman" w:hAnsi="Times Roman" w:eastAsia="Times Roman"/>
        </w:rPr>
      </w:pPr>
      <w:r>
        <w:rPr>
          <w:rFonts w:ascii="Times Roman" w:hAnsi="Times Roman"/>
          <w:b w:val="1"/>
          <w:bCs w:val="1"/>
          <w:rtl w:val="0"/>
          <w:lang w:val="en-US"/>
        </w:rPr>
        <w:t>3.4. Microcontroller and Signal Routing</w:t>
      </w:r>
      <w:r>
        <w:rPr>
          <w:rFonts w:ascii="Times Roman" w:hAnsi="Times Roman"/>
          <w:rtl w:val="0"/>
        </w:rPr>
        <w:t xml:space="preserve"> </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An ESP32-S3 microcontroller (Espressif Systems) was selected for its 240 MHz clock speed, dual-core architecture, and ample general-purpose input/output (GPIO) pins. Two GPIO pins were dedicated to each coil cluster: one to generate the modulating envelope wave, and a second to provide the 10 kHz hardware pulse-width modulated (PWM) carrier frequency.</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The control signals (INA and INB) for the H-bridge were driven by a &gt;2.2 V differential signal pair generated by the microcontroller, satisfying the VNH5019's 2.2 V logic-high threshold. The signal was inverted using an NC7SZ04P5X inverter (onsemi) to generate the complementary inputs required to set the envelope frequency and govern the magnetic field's spin rate.</w:t>
      </w:r>
    </w:p>
    <w:p>
      <w:pPr>
        <w:pStyle w:val="Default"/>
        <w:suppressAutoHyphens w:val="1"/>
        <w:spacing w:before="0" w:after="240" w:line="240" w:lineRule="auto"/>
        <w:rPr>
          <w:rFonts w:ascii="Times Roman" w:cs="Times Roman" w:hAnsi="Times Roman" w:eastAsia="Times Roman"/>
        </w:rPr>
      </w:pPr>
      <w:r>
        <w:rPr>
          <w:rFonts w:ascii="Times Roman" w:hAnsi="Times Roman"/>
          <w:b w:val="1"/>
          <w:bCs w:val="1"/>
          <w:rtl w:val="0"/>
        </w:rPr>
        <w:t>3.4.</w:t>
      </w:r>
      <w:r>
        <w:rPr>
          <w:rFonts w:ascii="Times Roman" w:hAnsi="Times Roman"/>
          <w:b w:val="1"/>
          <w:bCs w:val="1"/>
          <w:rtl w:val="0"/>
          <w:lang w:val="en-US"/>
        </w:rPr>
        <w:t>1 PCB Modifications</w:t>
      </w:r>
    </w:p>
    <w:p>
      <w:pPr>
        <w:pStyle w:val="Default"/>
        <w:suppressAutoHyphens w:val="1"/>
        <w:spacing w:before="0" w:line="240" w:lineRule="auto"/>
        <w:rPr>
          <w:rFonts w:ascii="Times Roman" w:cs="Times Roman" w:hAnsi="Times Roman" w:eastAsia="Times Roman"/>
        </w:rPr>
      </w:pPr>
      <w:r>
        <w:rPr>
          <w:rFonts w:ascii="Times Roman" w:hAnsi="Times Roman"/>
          <w:rtl w:val="0"/>
          <w:lang w:val="en-US"/>
        </w:rPr>
        <w:t>Following PCB fabrication, a minor hardware modification was implemented to enable the dynamic PWM control scheme. In the initial printed layout, the PWM input pin of the VNH5019 driver was inadvertently tied directly to the logic-high rail via a pull-up trace. To interface this with the ESP32-S3 for hardware PWM generation, the pull-up trace was manually severed, and a bypass jumper was routed from the H-bridge PWM pin to the external microcontroller header array. The system schematics presented herein reflect this corrected, functional logical routing use</w:t>
      </w:r>
      <w:r>
        <w:rPr>
          <w:rFonts w:ascii="Times Roman" w:hAnsi="Times Roman"/>
          <w:rtl w:val="0"/>
          <w:lang w:val="en-US"/>
        </w:rPr>
        <w:t>d</w:t>
      </w:r>
      <w:r>
        <w:rPr>
          <w:rFonts w:ascii="Times Roman" w:hAnsi="Times Roman"/>
          <w:rtl w:val="0"/>
          <w:lang w:val="en-US"/>
        </w:rPr>
        <w:t xml:space="preserve"> during all experimental testing.</w:t>
      </w:r>
    </w:p>
    <w:p>
      <w:pPr>
        <w:pStyle w:val="Default"/>
        <w:suppressAutoHyphens w:val="1"/>
        <w:spacing w:before="0" w:line="240" w:lineRule="auto"/>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rPr>
      </w:pPr>
      <w:r>
        <w:rPr>
          <w:rFonts w:ascii="Times Roman" w:hAnsi="Times Roman"/>
          <w:b w:val="1"/>
          <w:bCs w:val="1"/>
          <w:rtl w:val="0"/>
          <w:lang w:val="en-US"/>
        </w:rPr>
        <w:t xml:space="preserve">3.5. Firmware and </w:t>
      </w:r>
      <w:r>
        <w:rPr>
          <w:rFonts w:ascii="Times Roman" w:hAnsi="Times Roman"/>
          <w:b w:val="1"/>
          <w:bCs w:val="1"/>
          <w:rtl w:val="0"/>
          <w:lang w:val="en-US"/>
        </w:rPr>
        <w:t>Synchronisation</w:t>
      </w:r>
      <w:r>
        <w:rPr>
          <w:rFonts w:ascii="Times Roman" w:hAnsi="Times Roman"/>
          <w:b w:val="1"/>
          <w:bCs w:val="1"/>
          <w:rtl w:val="0"/>
          <w:lang w:val="en-US"/>
        </w:rPr>
        <w:t xml:space="preserve"> Architecture</w:t>
      </w:r>
      <w:r>
        <w:rPr>
          <w:rFonts w:ascii="Times Roman" w:hAnsi="Times Roman"/>
          <w:rtl w:val="0"/>
        </w:rPr>
        <w:t xml:space="preserve"> </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 xml:space="preserve">Firmware was developed in C++ using the PlatformIO framework, leveraging both Arduino and ESP-IDF libraries. The control scheme required independently adjustable phase shifts and globally adjustable frequencies across a highly scalable number of output channels. To </w:t>
      </w:r>
      <w:r>
        <w:rPr>
          <w:rFonts w:ascii="Times Roman" w:hAnsi="Times Roman"/>
          <w:rtl w:val="0"/>
          <w:lang w:val="en-US"/>
        </w:rPr>
        <w:t>maximise</w:t>
      </w:r>
      <w:r>
        <w:rPr>
          <w:rFonts w:ascii="Times Roman" w:hAnsi="Times Roman"/>
          <w:rtl w:val="0"/>
          <w:lang w:val="en-US"/>
        </w:rPr>
        <w:t xml:space="preserve"> maintainability and simplify the test platform, a software-based PWM generation method was implemented rather than relying strictly on hardware timers or FPGA logic. GPIO states were manually toggled </w:t>
      </w:r>
      <w:r>
        <w:rPr>
          <w:rFonts w:ascii="Times Roman" w:hAnsi="Times Roman"/>
          <w:rtl w:val="0"/>
          <w:lang w:val="en-US"/>
        </w:rPr>
        <w:t>utilising</w:t>
      </w:r>
      <w:r>
        <w:rPr>
          <w:rFonts w:ascii="Times Roman" w:hAnsi="Times Roman"/>
          <w:rtl w:val="0"/>
          <w:lang w:val="en-US"/>
        </w:rPr>
        <w:t xml:space="preserve"> the internal system clock, with switching intervals dynamically calculated based on the required phase shift. This approach empirically achieved a precision of </w:t>
      </w:r>
      <w:r>
        <w:rPr>
          <w:rFonts w:ascii="Times Roman" w:hAnsi="Times Roman" w:hint="default"/>
          <w:rtl w:val="1"/>
        </w:rPr>
        <w:t>±</w:t>
      </w:r>
      <w:r>
        <w:rPr>
          <w:rFonts w:ascii="Times Roman" w:hAnsi="Times Roman"/>
          <w:rtl w:val="0"/>
        </w:rPr>
        <w:t xml:space="preserve">2 Hz and </w:t>
      </w:r>
      <w:r>
        <w:rPr>
          <w:rFonts w:ascii="Times Roman" w:hAnsi="Times Roman" w:hint="default"/>
          <w:rtl w:val="1"/>
        </w:rPr>
        <w:t xml:space="preserve">± </w:t>
      </w:r>
      <w:r>
        <w:rPr>
          <w:rFonts w:ascii="Times Roman" w:hAnsi="Times Roman"/>
          <w:rtl w:val="0"/>
          <w:lang w:val="en-US"/>
        </w:rPr>
        <w:t>2 degrees for frequency and phase angle, respectively, at an operational frequency of 300 Hz.</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 xml:space="preserve">To enable multi-node scalability, a controller-client </w:t>
      </w:r>
      <w:r>
        <w:rPr>
          <w:rFonts w:ascii="Times Roman" w:hAnsi="Times Roman"/>
          <w:rtl w:val="0"/>
          <w:lang w:val="en-US"/>
        </w:rPr>
        <w:t>synchronisation</w:t>
      </w:r>
      <w:r>
        <w:rPr>
          <w:rFonts w:ascii="Times Roman" w:hAnsi="Times Roman"/>
          <w:rtl w:val="0"/>
          <w:lang w:val="en-US"/>
        </w:rPr>
        <w:t xml:space="preserve"> architecture was developed. The controller node generated a hardware PWM 0-shift calibration signal at the desired global frequency. Client nodes monitored this signal via hardware interrupts, subsequently applying </w:t>
      </w:r>
      <w:r>
        <w:rPr>
          <w:rFonts w:ascii="Times Roman" w:hAnsi="Times Roman"/>
          <w:rtl w:val="0"/>
          <w:lang w:val="en-US"/>
        </w:rPr>
        <w:t>localised</w:t>
      </w:r>
      <w:r>
        <w:rPr>
          <w:rFonts w:ascii="Times Roman" w:hAnsi="Times Roman"/>
          <w:rtl w:val="0"/>
          <w:lang w:val="en-US"/>
        </w:rPr>
        <w:t xml:space="preserve"> duty cycles and phase delays to their respective outputs. This </w:t>
      </w:r>
      <w:r>
        <w:rPr>
          <w:rFonts w:ascii="Times Roman" w:hAnsi="Times Roman"/>
          <w:rtl w:val="0"/>
          <w:lang w:val="en-US"/>
        </w:rPr>
        <w:t>synchronisation</w:t>
      </w:r>
      <w:r>
        <w:rPr>
          <w:rFonts w:ascii="Times Roman" w:hAnsi="Times Roman"/>
          <w:rtl w:val="0"/>
          <w:lang w:val="en-US"/>
        </w:rPr>
        <w:t xml:space="preserve"> mechanism achieved a phase delay precision of </w:t>
      </w:r>
      <w:r>
        <w:rPr>
          <w:rFonts w:ascii="Times Roman" w:hAnsi="Times Roman" w:hint="default"/>
          <w:rtl w:val="1"/>
        </w:rPr>
        <w:t xml:space="preserve">± </w:t>
      </w:r>
      <w:r>
        <w:rPr>
          <w:rFonts w:ascii="Times Roman" w:hAnsi="Times Roman"/>
          <w:rtl w:val="0"/>
          <w:lang w:val="en-US"/>
        </w:rPr>
        <w:t xml:space="preserve">0.5 degrees at 300 Hz across multiple client nodes. The dual-core architecture of the ESP32-S3 reserves computing overhead for future parallel implementation of real-time communication protocols (e.g., CAN bus) alongside the PWM </w:t>
      </w:r>
      <w:r>
        <w:rPr>
          <w:rFonts w:ascii="Times Roman" w:hAnsi="Times Roman"/>
          <w:rtl w:val="0"/>
          <w:lang w:val="en-US"/>
        </w:rPr>
        <w:t>synchronisation</w:t>
      </w:r>
      <w:r>
        <w:rPr>
          <w:rFonts w:ascii="Times Roman" w:hAnsi="Times Roman"/>
          <w:rtl w:val="0"/>
        </w:rPr>
        <w:t xml:space="preserve"> tasks.</w:t>
      </w:r>
    </w:p>
    <w:p>
      <w:pPr>
        <w:pStyle w:val="Default"/>
        <w:suppressAutoHyphens w:val="1"/>
        <w:spacing w:before="0" w:after="240" w:line="240" w:lineRule="auto"/>
        <w:rPr>
          <w:rFonts w:ascii="Times Roman" w:cs="Times Roman" w:hAnsi="Times Roman" w:eastAsia="Times Roman"/>
        </w:rPr>
      </w:pPr>
      <w:r>
        <w:rPr>
          <w:rFonts w:ascii="Times Roman" w:hAnsi="Times Roman"/>
          <w:b w:val="1"/>
          <w:bCs w:val="1"/>
          <w:rtl w:val="0"/>
          <w:lang w:val="en-US"/>
        </w:rPr>
        <w:t xml:space="preserve">3.6. Output Measurement and </w:t>
      </w:r>
      <w:r>
        <w:rPr>
          <w:rFonts w:ascii="Times Roman" w:hAnsi="Times Roman"/>
          <w:b w:val="1"/>
          <w:bCs w:val="1"/>
          <w:rtl w:val="0"/>
          <w:lang w:val="en-US"/>
        </w:rPr>
        <w:t>Characterisation</w:t>
      </w:r>
      <w:r>
        <w:rPr>
          <w:rFonts w:ascii="Times Roman" w:hAnsi="Times Roman"/>
          <w:rtl w:val="0"/>
        </w:rPr>
        <w:t xml:space="preserve"> </w:t>
      </w:r>
    </w:p>
    <w:p>
      <w:pPr>
        <w:pStyle w:val="Default"/>
        <w:suppressAutoHyphens w:val="1"/>
        <w:spacing w:before="0" w:after="240" w:line="240" w:lineRule="auto"/>
        <w:rPr>
          <w:rFonts w:ascii="Times Roman" w:cs="Times Roman" w:hAnsi="Times Roman" w:eastAsia="Times Roman"/>
        </w:rPr>
      </w:pPr>
      <w:r>
        <w:rPr>
          <w:rFonts w:ascii="Times Roman" w:hAnsi="Times Roman"/>
          <w:rtl w:val="0"/>
          <w:lang w:val="en-US"/>
        </w:rPr>
        <w:t xml:space="preserve">Current </w:t>
      </w:r>
      <w:r>
        <w:rPr>
          <w:rFonts w:ascii="Times Roman" w:hAnsi="Times Roman"/>
          <w:rtl w:val="0"/>
          <w:lang w:val="en-US"/>
        </w:rPr>
        <w:t>characterisation</w:t>
      </w:r>
      <w:r>
        <w:rPr>
          <w:rFonts w:ascii="Times Roman" w:hAnsi="Times Roman"/>
          <w:rtl w:val="0"/>
          <w:lang w:val="en-US"/>
        </w:rPr>
        <w:t xml:space="preserve"> was performed with the coils and capacitors fully integrated into the system. A 1 </w:t>
      </w:r>
      <w:r>
        <w:rPr>
          <w:rFonts w:ascii="Times Roman" w:hAnsi="Times Roman" w:hint="default"/>
          <w:rtl w:val="0"/>
        </w:rPr>
        <w:t xml:space="preserve">Ω </w:t>
      </w:r>
      <w:r>
        <w:rPr>
          <w:rFonts w:ascii="Times Roman" w:hAnsi="Times Roman"/>
          <w:rtl w:val="0"/>
          <w:lang w:val="en-US"/>
        </w:rPr>
        <w:t>precision current-shunt resistor was placed in series with the RLC circuit. The voltage drop across the shunt resistor was measured to derive the current waveform using a PicoScope 5443D Mixed-Signal Oscilloscope (MSO). Measurements were conducted at 6 V and 4 A, routed to a single H-bridge channel with the secondary channel disconnected to isolate the performance of the active circuit.</w:t>
      </w:r>
    </w:p>
    <w:p>
      <w:pPr>
        <w:pStyle w:val="Default"/>
        <w:suppressAutoHyphens w:val="1"/>
        <w:spacing w:before="0" w:after="240" w:line="240" w:lineRule="auto"/>
      </w:pPr>
      <w:r>
        <w:rPr>
          <w:rFonts w:ascii="Times Roman" w:hAnsi="Times Roman"/>
          <w:rtl w:val="0"/>
          <w:lang w:val="en-US"/>
        </w:rPr>
        <w:t xml:space="preserve">Because the modulated square wave output contains higher-order harmonics, the resulting current waveform deviated slightly from an ideal sinusoid. An approximate simulation </w:t>
      </w:r>
      <w:r>
        <w:rPr>
          <w:rFonts w:ascii="Times Roman" w:hAnsi="Times Roman"/>
          <w:rtl w:val="0"/>
          <w:lang w:val="en-US"/>
        </w:rPr>
        <w:t>utilising</w:t>
      </w:r>
      <w:r>
        <w:rPr>
          <w:rFonts w:ascii="Times Roman" w:hAnsi="Times Roman"/>
          <w:rtl w:val="0"/>
          <w:lang w:val="en-US"/>
        </w:rPr>
        <w:t xml:space="preserve"> the first five harmonics of the square wave closely matched the experimental data recorded by the MSO.</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