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 Materials and Methods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3.1. System Overview and Power Architecture</w:t>
      </w:r>
      <w:r>
        <w:rPr>
          <w:rFonts w:ascii="Times Roman" w:hAnsi="Times Roman"/>
          <w:rtl w:val="0"/>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hardware architecture was designed to drive a custom magnetic coil array while isolating sensitive digital logic from high-power switching noise. The power entry circuitry utilized a 100 </w:t>
      </w:r>
      <w:r>
        <w:rPr>
          <w:rFonts w:ascii="Times Roman" w:hAnsi="Times Roman" w:hint="default"/>
          <w:rtl w:val="0"/>
        </w:rPr>
        <w:t>μ</w:t>
      </w:r>
      <w:r>
        <w:rPr>
          <w:rFonts w:ascii="Times Roman" w:hAnsi="Times Roman"/>
          <w:rtl w:val="0"/>
          <w:lang w:val="en-US"/>
        </w:rPr>
        <w:t>F surface-mount device (SMD) electrolytic bulk decoupling capacitor to absorb transient current spikes, alongside a transient voltage suppression (TVS) diode (SMCJ18A) to suppress flyback voltages. Reverse polarity protection was implemented using an N-channel power MOSFET (FDD8447L, onsemi). Power was supplied by a 300 W, 30 A switch-mode power supply (SMPS).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core drive circuitry consisted of two VNH5019ATR-E H-bridge motor drivers (STMicroelectronics) sharing the SMPS. While the VNH5019 is rated for 30 A peak and 24 V maximum, the system was constrained to a 15 A continuous operational target to maintain thermal stability. The primary FDD8447L MOSFET, rated for 40 V and 50 A continuous operation, was selected to facilitate this load under proper thermal management.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3.2. RLC Resonant Circuit and Coil Interfacing</w:t>
      </w:r>
      <w:r>
        <w:rPr>
          <w:rFonts w:ascii="Times Roman" w:hAnsi="Times Roman"/>
          <w:rtl w:val="0"/>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magnetic field was generated by custom copper coil arrays configured in parallel clusters of four. Each coil was constructed with a solid iron core, measuring 21 mm in outer diameter, 9 mm in inner diameter, and 22 mm in height, wound with 0.4 mm diameter (26 AWG) copper wire.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output of each H-bridge (OutA) was connected in series to a non-polarized 500 </w:t>
      </w:r>
      <w:r>
        <w:rPr>
          <w:rFonts w:ascii="Times Roman" w:hAnsi="Times Roman" w:hint="default"/>
          <w:rtl w:val="0"/>
        </w:rPr>
        <w:t>μ</w:t>
      </w:r>
      <w:r>
        <w:rPr>
          <w:rFonts w:ascii="Times Roman" w:hAnsi="Times Roman"/>
          <w:rtl w:val="0"/>
          <w:lang w:val="en-US"/>
        </w:rPr>
        <w:t xml:space="preserve">F capacitor bank (rated for 100 V), and subsequently to the coil cluster. The circuit was completed by returning to OutB of the H-bridge, forming an RLC series circuit powered by a zero-centered modulated square wave. The 500 </w:t>
      </w:r>
      <w:r>
        <w:rPr>
          <w:rFonts w:ascii="Times Roman" w:hAnsi="Times Roman" w:hint="default"/>
          <w:rtl w:val="0"/>
        </w:rPr>
        <w:t>μ</w:t>
      </w:r>
      <w:r>
        <w:rPr>
          <w:rFonts w:ascii="Times Roman" w:hAnsi="Times Roman"/>
          <w:rtl w:val="0"/>
          <w:lang w:val="en-US"/>
        </w:rPr>
        <w:t xml:space="preserve">F capacitor bank was constructed using five 100 </w:t>
      </w:r>
      <w:r>
        <w:rPr>
          <w:rFonts w:ascii="Times Roman" w:hAnsi="Times Roman" w:hint="default"/>
          <w:rtl w:val="0"/>
        </w:rPr>
        <w:t>μ</w:t>
      </w:r>
      <w:r>
        <w:rPr>
          <w:rFonts w:ascii="Times Roman" w:hAnsi="Times Roman"/>
          <w:rtl w:val="0"/>
          <w:lang w:val="en-US"/>
        </w:rPr>
        <w:t>F SMD electrolytic capacitors in parallel; this distributed the high current load and minimized localized heating.</w:t>
      </w:r>
    </w:p>
    <w:p>
      <w:pPr>
        <w:pStyle w:val="Default"/>
        <w:suppressAutoHyphens w:val="1"/>
        <w:spacing w:before="0" w:after="240" w:line="240" w:lineRule="auto"/>
        <w:rPr>
          <w:rFonts w:ascii="Times Roman" w:cs="Times Roman" w:hAnsi="Times Roman" w:eastAsia="Times Roman"/>
          <w:color w:val="000000"/>
          <w:sz w:val="24"/>
        </w:rPr>
      </w:pPr>
      <w:r>
        <w:rPr>
          <w:rFonts w:ascii="Times Roman" w:hAnsi="Times Roman"/>
          <w:rtl w:val="0"/>
          <w:lang w:val="en-US"/>
        </w:rPr>
        <w:t xml:space="preserve">The total inductance of the coil cluster was measured at 1.4 mH with a DC resistance (Rcoil ) of 1.3 </w:t>
      </w:r>
      <w:r>
        <w:rPr>
          <w:rFonts w:ascii="Times Roman" w:hAnsi="Times Roman" w:hint="default"/>
          <w:rtl w:val="0"/>
        </w:rPr>
        <w:t>Ω</w:t>
      </w:r>
      <w:r>
        <w:rPr>
          <w:rFonts w:ascii="Times Roman" w:hAnsi="Times Roman"/>
          <w:rtl w:val="0"/>
          <w:lang w:val="en-US"/>
        </w:rPr>
        <w:t xml:space="preserve">. The total capacitance of 500 </w:t>
      </w:r>
      <w:r>
        <w:rPr>
          <w:rFonts w:ascii="Times Roman" w:hAnsi="Times Roman" w:hint="default"/>
          <w:rtl w:val="0"/>
        </w:rPr>
        <w:t>μ</w:t>
      </w:r>
      <w:r>
        <w:rPr>
          <w:rFonts w:ascii="Times Roman" w:hAnsi="Times Roman"/>
          <w:rtl w:val="0"/>
          <w:lang w:val="en-US"/>
        </w:rPr>
        <w:t>F was selected to achieve a theoretical resonant frequency (</w:t>
      </w:r>
      <w:r>
        <w:rPr>
          <w:rFonts w:ascii="Times Roman" w:hAnsi="Times Roman"/>
          <w:rtl w:val="0"/>
          <w:lang w:val="en-US"/>
        </w:rPr>
        <w:t xml:space="preserve"> </w:t>
      </w:r>
      <m:oMath>
        <m:sSub>
          <m:e>
            <m:r>
              <w:rPr xmlns:w="http://schemas.openxmlformats.org/wordprocessingml/2006/main">
                <w:rFonts w:ascii="Cambria Math" w:hAnsi="Cambria Math"/>
                <w:i/>
                <w:color w:val="000000"/>
                <w:sz w:val="25"/>
                <w:szCs w:val="25"/>
              </w:rPr>
              <m:t>f</m:t>
            </m:r>
          </m:e>
          <m:sub>
            <m:r>
              <w:rPr xmlns:w="http://schemas.openxmlformats.org/wordprocessingml/2006/main">
                <w:rFonts w:ascii="Cambria Math" w:hAnsi="Cambria Math"/>
                <w:i/>
                <w:color w:val="000000"/>
                <w:sz w:val="25"/>
                <w:szCs w:val="25"/>
              </w:rPr>
              <m:t>r</m:t>
            </m:r>
          </m:sub>
        </m:sSub>
      </m:oMath>
      <w:r>
        <w:rPr>
          <w:rFonts w:ascii="Times Roman" w:hAnsi="Times Roman"/>
          <w:rtl w:val="0"/>
          <w:lang w:val="en-US"/>
        </w:rPr>
        <w:t xml:space="preserve"> </w:t>
      </w:r>
      <w:r>
        <w:rPr>
          <w:rFonts w:ascii="Times Roman" w:hAnsi="Times Roman"/>
          <w:rtl w:val="0"/>
          <w:lang w:val="en-US"/>
        </w:rPr>
        <w:t>) of approximately 190 Hz, according to the equation:</w:t>
      </w:r>
    </w:p>
    <w:p>
      <w:pPr>
        <w:pStyle w:val="Default"/>
        <w:suppressAutoHyphens w:val="1"/>
        <w:spacing w:before="0" w:line="240" w:lineRule="auto"/>
        <w:jc w:val="center"/>
        <w:rPr>
          <w:rFonts w:ascii="Times Roman" w:cs="Times Roman" w:hAnsi="Times Roman" w:eastAsia="Times Roman"/>
          <w:color w:val="000000"/>
          <w:sz w:val="24"/>
        </w:rPr>
      </w:pPr>
      <m:oMathPara>
        <m:oMathParaPr>
          <m:jc m:val="center"/>
        </m:oMathParaPr>
        <m:oMath>
          <m:sSub>
            <m:e>
              <m:r>
                <w:rPr xmlns:w="http://schemas.openxmlformats.org/wordprocessingml/2006/main">
                  <w:rFonts w:ascii="Cambria Math" w:hAnsi="Cambria Math"/>
                  <w:i/>
                  <w:color w:val="000000"/>
                  <w:sz w:val="25"/>
                  <w:szCs w:val="25"/>
                </w:rPr>
                <m:t>f</m:t>
              </m:r>
            </m:e>
            <m:sub>
              <m:r>
                <w:rPr xmlns:w="http://schemas.openxmlformats.org/wordprocessingml/2006/main">
                  <w:rFonts w:ascii="Cambria Math" w:hAnsi="Cambria Math"/>
                  <w:i/>
                  <w:color w:val="000000"/>
                  <w:sz w:val="25"/>
                  <w:szCs w:val="25"/>
                </w:rPr>
                <m:t>r</m:t>
              </m:r>
            </m:sub>
          </m:sSub>
          <m:r>
            <w:rPr xmlns:w="http://schemas.openxmlformats.org/wordprocessingml/2006/main">
              <w:rFonts w:ascii="Cambria Math" w:hAnsi="Cambria Math"/>
              <w:i/>
              <w:color w:val="000000"/>
              <w:sz w:val="25"/>
              <w:szCs w:val="25"/>
            </w:rPr>
            <m:t>=</m:t>
          </m:r>
          <m:f>
            <m:fPr>
              <m:ctrlPr>
                <w:rPr xmlns:w="http://schemas.openxmlformats.org/wordprocessingml/2006/main">
                  <w:rFonts w:ascii="Cambria Math" w:hAnsi="Cambria Math"/>
                  <w:i/>
                  <w:color w:val="000000"/>
                  <w:sz w:val="25"/>
                  <w:szCs w:val="25"/>
                </w:rPr>
              </m:ctrlPr>
              <m:type m:val="bar"/>
            </m:fPr>
            <m:num>
              <m:r>
                <w:rPr xmlns:w="http://schemas.openxmlformats.org/wordprocessingml/2006/main">
                  <w:rFonts w:ascii="Cambria Math" w:hAnsi="Cambria Math"/>
                  <w:i/>
                  <w:color w:val="000000"/>
                  <w:sz w:val="25"/>
                  <w:szCs w:val="25"/>
                </w:rPr>
                <m:t>1</m:t>
              </m:r>
            </m:num>
            <m:den>
              <m:r>
                <w:rPr xmlns:w="http://schemas.openxmlformats.org/wordprocessingml/2006/main">
                  <w:rFonts w:ascii="Cambria Math" w:hAnsi="Cambria Math"/>
                  <w:i/>
                  <w:color w:val="000000"/>
                  <w:sz w:val="25"/>
                  <w:szCs w:val="25"/>
                </w:rPr>
                <m:t>2</m:t>
              </m:r>
              <m:r>
                <w:rPr xmlns:w="http://schemas.openxmlformats.org/wordprocessingml/2006/main">
                  <w:rFonts w:ascii="Cambria Math" w:hAnsi="Cambria Math"/>
                  <w:i/>
                  <w:color w:val="000000"/>
                  <w:sz w:val="25"/>
                  <w:szCs w:val="25"/>
                </w:rPr>
                <m:t>π</m:t>
              </m:r>
              <m:rad>
                <m:radPr>
                  <m:ctrlPr>
                    <w:rPr xmlns:w="http://schemas.openxmlformats.org/wordprocessingml/2006/main">
                      <w:rFonts w:ascii="Cambria Math" w:hAnsi="Cambria Math"/>
                      <w:i/>
                      <w:color w:val="000000"/>
                      <w:sz w:val="25"/>
                      <w:szCs w:val="25"/>
                    </w:rPr>
                  </m:ctrlPr>
                  <m:degHide m:val="on"/>
                </m:radPr>
                <m:deg/>
                <m:e>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C</m:t>
                  </m:r>
                </m:e>
              </m:rad>
            </m:den>
          </m:f>
        </m:oMath>
      </m:oMathPara>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frequency was empirically determined to provide optimal performance across the targeted control range of 1 Hz to 270 Hz. The RLC network effectively functioned as a low-pass current filter, smoothing the 10 kHz carrier signal into a continuous output. The time-averaged DC current (Iout ) driven through the coils is directly proportional to the applied duty cycle (D) of the zero-centered square wave and is approximated by:</w:t>
      </w:r>
    </w:p>
    <w:p>
      <w:pPr>
        <w:pStyle w:val="Default"/>
        <w:suppressAutoHyphens w:val="1"/>
        <w:spacing w:before="0" w:line="240" w:lineRule="auto"/>
        <w:jc w:val="center"/>
        <w:rPr>
          <w:rFonts w:ascii="Times Roman" w:cs="Times Roman" w:hAnsi="Times Roman" w:eastAsia="Times Roman"/>
          <w:color w:val="000000"/>
          <w:sz w:val="24"/>
        </w:rPr>
      </w:pPr>
      <m:oMathPara>
        <m:oMathParaPr>
          <m:jc m:val="center"/>
        </m:oMathParaPr>
        <m:oMath>
          <m:sSub>
            <m:e>
              <m:r>
                <w:rPr xmlns:w="http://schemas.openxmlformats.org/wordprocessingml/2006/main">
                  <w:rFonts w:ascii="Cambria Math" w:hAnsi="Cambria Math"/>
                  <w:i/>
                  <w:color w:val="000000"/>
                  <w:sz w:val="25"/>
                  <w:szCs w:val="25"/>
                </w:rPr>
                <m:t>I</m:t>
              </m:r>
            </m:e>
            <m:sub>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u</m:t>
              </m:r>
              <m:r>
                <w:rPr xmlns:w="http://schemas.openxmlformats.org/wordprocessingml/2006/main">
                  <w:rFonts w:ascii="Cambria Math" w:hAnsi="Cambria Math"/>
                  <w:i/>
                  <w:color w:val="000000"/>
                  <w:sz w:val="25"/>
                  <w:szCs w:val="25"/>
                </w:rPr>
                <m:t>t</m:t>
              </m:r>
            </m:sub>
          </m:sSub>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R</m:t>
              </m:r>
            </m:e>
            <m:sub>
              <m:r>
                <w:rPr xmlns:w="http://schemas.openxmlformats.org/wordprocessingml/2006/main">
                  <w:rFonts w:ascii="Cambria Math" w:hAnsi="Cambria Math"/>
                  <w:i/>
                  <w:color w:val="000000"/>
                  <w:sz w:val="25"/>
                  <w:szCs w:val="25"/>
                </w:rPr>
                <m:t>c</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l</m:t>
              </m:r>
            </m:sub>
          </m:sSub>
          <m:sSub>
            <m:e>
              <m:r>
                <w:rPr xmlns:w="http://schemas.openxmlformats.org/wordprocessingml/2006/main">
                  <w:rFonts w:ascii="Cambria Math" w:hAnsi="Cambria Math"/>
                  <w:i/>
                  <w:color w:val="000000"/>
                  <w:sz w:val="25"/>
                  <w:szCs w:val="25"/>
                </w:rPr>
                <m:t>V</m:t>
              </m:r>
            </m:e>
            <m:sub>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n</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2</m:t>
          </m:r>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m:t>
          </m:r>
          <m:r>
            <w:rPr xmlns:w="http://schemas.openxmlformats.org/wordprocessingml/2006/main">
              <w:rFonts w:ascii="Cambria Math" w:hAnsi="Cambria Math"/>
              <w:i/>
              <w:color w:val="000000"/>
              <w:sz w:val="25"/>
              <w:szCs w:val="25"/>
            </w:rPr>
            <m:t>)</m:t>
          </m:r>
        </m:oMath>
      </m:oMathPara>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3.3. PCB Layout and Thermal Management</w:t>
      </w:r>
      <w:r>
        <w:rPr>
          <w:rFonts w:ascii="Times Roman" w:hAnsi="Times Roman"/>
          <w:rtl w:val="0"/>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printed circuit board (PCB) was designed using KiCAD EDA and fabricated with a four-layer stackup utilizing 1 oz copper layers (JLCPCB). Because 1 oz copper presents thermal and resistive challenges at a continuous 15 A per H-bridge, large internal ground and power pours were utilized to minimize trace resistance and aid in heat dissipation. Extensive via stitching was implemented to transfer current loads and thermal energy across the four layers safely. Thermal pads were placed directly beneath the MOSFET and H-bridge packages, connecting them to the bottom copper layer for enhanced heat radiation. Under continuous operation, this design maintained a stable board temperature of approximately 25</w:t>
      </w:r>
      <w:r>
        <w:rPr>
          <w:rFonts w:ascii="Times Roman" w:hAnsi="Times Roman" w:hint="default"/>
          <w:rtl w:val="0"/>
          <w:lang w:val="it-IT"/>
        </w:rPr>
        <w:t>°</w:t>
      </w:r>
      <w:r>
        <w:rPr>
          <w:rFonts w:ascii="Times Roman" w:hAnsi="Times Roman"/>
          <w:rtl w:val="0"/>
          <w:lang w:val="it-IT"/>
        </w:rPr>
        <w:t>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mitigate electromagnetic interference (EMI) and switching noise, the logic and power ground planes were isolated on the PCB and connected via a single-point off-board star ground at the power supply. High-current connections utilized XT60 connectors for the power supply and XT30 connectors for the coil clusters, providing a necessary balance of low contact resistance, high thermal performance, and resistance to mechanical vibration.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Mechanical support for the coils was provided by a 3D-printed resin plate. To prevent thermal deformation from coil heating during continuous operation, the resin baseplate was structurally reinforced with a high-temperature PETG frame.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3.4. Microcontroller and Signal Routing</w:t>
      </w:r>
      <w:r>
        <w:rPr>
          <w:rFonts w:ascii="Times Roman" w:hAnsi="Times Roman"/>
          <w:rtl w:val="0"/>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 ESP32-S3 microcontroller (Espressif Systems) was selected for its 240 MHz clock speed, dual-core architecture, and ample general-purpose input/output (GPIO) pins. Two GPIO pins were dedicated to each coil cluster: one to generate the modulating envelope wave, and a second to provide the 10 kHz hardware pulse-width modulated (PWM) carrier frequency.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control signals (INA and INB) for the H-bridge were driven by a &gt;2.2 V differential signal pair generated by the microcontroller, satisfying the VNH5019's 2.2 V logic-high threshold. The signal was inverted using an NC7SZ04P5X inverter (onsemi) to generate the complementary inputs required to set the envelope frequency and govern the magnetic field's spin rate.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3.5. Firmware and Synchronization Architecture</w:t>
      </w:r>
      <w:r>
        <w:rPr>
          <w:rFonts w:ascii="Times Roman" w:hAnsi="Times Roman"/>
          <w:rtl w:val="0"/>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Firmware was developed in C++ using the PlatformIO framework, leveraging both Arduino and ESP-IDF libraries. The control scheme required independently adjustable phase shifts and globally adjustable frequencies across a highly scalable number of output channels. To maximize maintainability and simplify the test platform, a software-based PWM generation method was implemented rather than relying strictly on hardware timers or FPGA logic. GPIO states were manually toggled utilizing the internal system clock, with switching intervals dynamically calculated based on the required phase shift. This approach empirically achieved a precision of </w:t>
      </w:r>
      <w:r>
        <w:rPr>
          <w:rFonts w:ascii="Times Roman" w:hAnsi="Times Roman" w:hint="default"/>
          <w:rtl w:val="1"/>
        </w:rPr>
        <w:t>±</w:t>
      </w:r>
      <w:r>
        <w:rPr>
          <w:rFonts w:ascii="Times Roman" w:hAnsi="Times Roman"/>
          <w:rtl w:val="0"/>
        </w:rPr>
        <w:t xml:space="preserve">2 Hz and </w:t>
      </w:r>
      <w:r>
        <w:rPr>
          <w:rFonts w:ascii="Times Roman" w:hAnsi="Times Roman" w:hint="default"/>
          <w:rtl w:val="1"/>
        </w:rPr>
        <w:t xml:space="preserve">± </w:t>
      </w:r>
      <w:r>
        <w:rPr>
          <w:rFonts w:ascii="Times Roman" w:hAnsi="Times Roman"/>
          <w:rtl w:val="0"/>
          <w:lang w:val="en-US"/>
        </w:rPr>
        <w:t>2 degrees for frequency and phase angle, respectively, at an operational frequency of 300 Hz.</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To enable multi-node scalability, a controller-client synchronization architecture was developed. The controller node generated a hardware PWM 0-shift calibration signal at the desired global frequency. Client nodes monitored this signal via hardware interrupts, subsequently applying localized duty cycles and phase delays to their respective outputs. This synchronization mechanism achieved a phase delay precision of </w:t>
      </w:r>
      <w:r>
        <w:rPr>
          <w:rFonts w:ascii="Times Roman" w:hAnsi="Times Roman" w:hint="default"/>
          <w:rtl w:val="1"/>
        </w:rPr>
        <w:t xml:space="preserve">± </w:t>
      </w:r>
      <w:r>
        <w:rPr>
          <w:rFonts w:ascii="Times Roman" w:hAnsi="Times Roman"/>
          <w:rtl w:val="0"/>
          <w:lang w:val="en-US"/>
        </w:rPr>
        <w:t>0.5 degrees at 300 Hz across multiple client nodes. The dual-core architecture of the ESP32-S3 reserves computing overhead for future parallel implementation of real-time communication protocols (e.g., CAN bus) alongside the PWM synchronization tasks.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3.6. Output Measurement and Characterization</w:t>
      </w:r>
      <w:r>
        <w:rPr>
          <w:rFonts w:ascii="Times Roman" w:hAnsi="Times Roman"/>
          <w:rtl w:val="0"/>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Current characterization was performed with the coils and capacitors fully integrated into the system. A 1 </w:t>
      </w:r>
      <w:r>
        <w:rPr>
          <w:rFonts w:ascii="Times Roman" w:hAnsi="Times Roman" w:hint="default"/>
          <w:rtl w:val="0"/>
        </w:rPr>
        <w:t xml:space="preserve">Ω </w:t>
      </w:r>
      <w:r>
        <w:rPr>
          <w:rFonts w:ascii="Times Roman" w:hAnsi="Times Roman"/>
          <w:rtl w:val="0"/>
          <w:lang w:val="en-US"/>
        </w:rPr>
        <w:t>precision current-shunt resistor was placed in series with the RLC circuit. The voltage drop across the shunt resistor was measured to derive the current waveform using a PicoScope 5443D Mixed-Signal Oscilloscope (MSO). Measurements were conducted at 6 V and 4 A, routed to a single H-bridge channel with the secondary channel disconnected to isolate the performance of the active circuit.</w:t>
      </w:r>
    </w:p>
    <w:p>
      <w:pPr>
        <w:pStyle w:val="Default"/>
        <w:suppressAutoHyphens w:val="1"/>
        <w:spacing w:before="0" w:after="240" w:line="240" w:lineRule="auto"/>
      </w:pPr>
      <w:r>
        <w:rPr>
          <w:rFonts w:ascii="Times Roman" w:hAnsi="Times Roman"/>
          <w:rtl w:val="0"/>
          <w:lang w:val="en-US"/>
        </w:rPr>
        <w:t>Because the modulated square wave output contains higher-order harmonics, the resulting current waveform deviated slightly from an ideal sinusoid. An approximate simulation utilizing the first five harmonics of the square wave closely matched the experimental data recorded by the MSO.</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