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F47F" w14:textId="19CC55AC" w:rsidR="008007ED" w:rsidRPr="004F51F9" w:rsidRDefault="00A73ABF" w:rsidP="008007ED">
      <w:pPr>
        <w:widowControl/>
        <w:suppressAutoHyphens/>
        <w:spacing w:line="480" w:lineRule="auto"/>
        <w:jc w:val="center"/>
        <w:rPr>
          <w:rFonts w:ascii="Times New Roman" w:eastAsia="Yu Mincho" w:hAnsi="Times New Roman" w:cs="Times New Roman"/>
          <w:spacing w:val="-10"/>
          <w:kern w:val="28"/>
          <w:sz w:val="24"/>
          <w:szCs w:val="24"/>
          <w:lang w:eastAsia="ja-JP"/>
        </w:rPr>
      </w:pPr>
      <w:r w:rsidRPr="004F51F9">
        <w:rPr>
          <w:rFonts w:ascii="Times New Roman" w:eastAsia="黑体" w:hAnsi="Times New Roman" w:cs="Times New Roman"/>
          <w:spacing w:val="-10"/>
          <w:kern w:val="28"/>
          <w:sz w:val="24"/>
          <w:szCs w:val="24"/>
          <w:lang w:eastAsia="ja-JP"/>
        </w:rPr>
        <w:t>R</w:t>
      </w:r>
      <w:r w:rsidRPr="004F51F9">
        <w:rPr>
          <w:rFonts w:ascii="Times New Roman" w:eastAsia="黑体" w:hAnsi="Times New Roman" w:cs="Times New Roman"/>
          <w:spacing w:val="-10"/>
          <w:kern w:val="28"/>
          <w:sz w:val="24"/>
          <w:szCs w:val="24"/>
        </w:rPr>
        <w:t>eading</w:t>
      </w:r>
      <w:r w:rsidRPr="004F51F9">
        <w:rPr>
          <w:rFonts w:ascii="Times New Roman" w:eastAsia="黑体" w:hAnsi="Times New Roman" w:cs="Times New Roman"/>
          <w:spacing w:val="-10"/>
          <w:kern w:val="28"/>
          <w:sz w:val="24"/>
          <w:szCs w:val="24"/>
          <w:lang w:eastAsia="ja-JP"/>
        </w:rPr>
        <w:t xml:space="preserve"> note </w:t>
      </w:r>
      <w:r w:rsidR="00FE31F1">
        <w:rPr>
          <w:rFonts w:ascii="Times New Roman" w:eastAsia="黑体" w:hAnsi="Times New Roman" w:cs="Times New Roman"/>
          <w:spacing w:val="-10"/>
          <w:kern w:val="28"/>
          <w:sz w:val="24"/>
          <w:szCs w:val="24"/>
          <w:lang w:eastAsia="ja-JP"/>
        </w:rPr>
        <w:t>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B37908" w14:paraId="3C81EDC4" w14:textId="77777777" w:rsidTr="0031071F">
        <w:tc>
          <w:tcPr>
            <w:tcW w:w="0" w:type="auto"/>
            <w:shd w:val="clear" w:color="auto" w:fill="auto"/>
            <w:vAlign w:val="center"/>
            <w:hideMark/>
          </w:tcPr>
          <w:p w14:paraId="289A24C9" w14:textId="77777777" w:rsidR="0031071F" w:rsidRDefault="0031071F">
            <w:pPr>
              <w:widowControl/>
              <w:jc w:val="left"/>
            </w:pPr>
          </w:p>
        </w:tc>
      </w:tr>
    </w:tbl>
    <w:p w14:paraId="514C94FB" w14:textId="4F0B52E2" w:rsidR="001D3738" w:rsidRPr="00384F46" w:rsidRDefault="00A73ABF" w:rsidP="00384F46">
      <w:pPr>
        <w:spacing w:after="160"/>
        <w:rPr>
          <w:rFonts w:ascii="Times New Roman" w:hAnsi="Times New Roman" w:cs="Times New Roman"/>
          <w:kern w:val="0"/>
          <w:sz w:val="22"/>
        </w:rPr>
      </w:pPr>
      <w:r w:rsidRPr="00384F46">
        <w:rPr>
          <w:rFonts w:ascii="Times New Roman" w:hAnsi="Times New Roman" w:cs="Times New Roman"/>
          <w:kern w:val="0"/>
          <w:sz w:val="22"/>
        </w:rPr>
        <w:t>While both s</w:t>
      </w:r>
      <w:r w:rsidRPr="00384F46">
        <w:rPr>
          <w:rFonts w:ascii="Times New Roman" w:hAnsi="Times New Roman" w:cs="Times New Roman" w:hint="eastAsia"/>
          <w:kern w:val="0"/>
          <w:sz w:val="22"/>
        </w:rPr>
        <w:t>cholars</w:t>
      </w:r>
      <w:r w:rsidRPr="00384F46">
        <w:rPr>
          <w:rFonts w:ascii="Times New Roman" w:hAnsi="Times New Roman" w:cs="Times New Roman"/>
          <w:kern w:val="0"/>
          <w:sz w:val="22"/>
        </w:rPr>
        <w:t xml:space="preserve"> </w:t>
      </w:r>
      <w:r w:rsidRPr="00384F46">
        <w:rPr>
          <w:rFonts w:ascii="Times New Roman" w:hAnsi="Times New Roman" w:cs="Times New Roman" w:hint="eastAsia"/>
          <w:kern w:val="0"/>
          <w:sz w:val="22"/>
        </w:rPr>
        <w:t>a</w:t>
      </w:r>
      <w:r w:rsidRPr="00384F46">
        <w:rPr>
          <w:rFonts w:ascii="Times New Roman" w:hAnsi="Times New Roman" w:cs="Times New Roman"/>
          <w:kern w:val="0"/>
          <w:sz w:val="22"/>
        </w:rPr>
        <w:t>nd policymakers are concerned about the solutions to the increasing medical expenditures</w:t>
      </w:r>
      <w:r w:rsidRPr="00384F46">
        <w:rPr>
          <w:rFonts w:ascii="Times New Roman" w:hAnsi="Times New Roman" w:cs="Times New Roman"/>
          <w:kern w:val="0"/>
          <w:sz w:val="22"/>
        </w:rPr>
        <w:t>,</w:t>
      </w:r>
      <w:r w:rsidRPr="00384F46">
        <w:rPr>
          <w:rFonts w:ascii="Times New Roman" w:hAnsi="Times New Roman" w:cs="Times New Roman"/>
          <w:kern w:val="0"/>
          <w:sz w:val="22"/>
        </w:rPr>
        <w:t xml:space="preserve"> </w:t>
      </w:r>
      <w:r w:rsidRPr="00384F46">
        <w:rPr>
          <w:rFonts w:ascii="Times New Roman" w:hAnsi="Times New Roman" w:cs="Times New Roman"/>
          <w:kern w:val="0"/>
          <w:sz w:val="22"/>
        </w:rPr>
        <w:t>t</w:t>
      </w:r>
      <w:r w:rsidRPr="00384F46">
        <w:rPr>
          <w:rFonts w:ascii="Times New Roman" w:hAnsi="Times New Roman" w:cs="Times New Roman"/>
          <w:kern w:val="0"/>
          <w:sz w:val="22"/>
        </w:rPr>
        <w:t xml:space="preserve">his paper proposes a "top-up" health insurance policy that requires consumers to pay an incremental cost </w:t>
      </w:r>
      <w:r w:rsidR="00181780" w:rsidRPr="00384F46">
        <w:rPr>
          <w:rFonts w:ascii="Times New Roman" w:hAnsi="Times New Roman" w:cs="Times New Roman"/>
          <w:kern w:val="0"/>
          <w:sz w:val="22"/>
        </w:rPr>
        <w:t xml:space="preserve">for more expensive medical methods and thus bring the whole society higher welfare. </w:t>
      </w:r>
      <w:r w:rsidR="002167A4" w:rsidRPr="00384F46">
        <w:rPr>
          <w:rFonts w:ascii="Times New Roman" w:hAnsi="Times New Roman" w:cs="Times New Roman"/>
          <w:kern w:val="0"/>
          <w:sz w:val="22"/>
        </w:rPr>
        <w:t xml:space="preserve">To clarify this, the author firstly </w:t>
      </w:r>
      <w:r w:rsidR="00721EF9" w:rsidRPr="00384F46">
        <w:rPr>
          <w:rFonts w:ascii="Times New Roman" w:hAnsi="Times New Roman" w:cs="Times New Roman"/>
          <w:kern w:val="0"/>
          <w:sz w:val="22"/>
        </w:rPr>
        <w:t>draws</w:t>
      </w:r>
      <w:r w:rsidR="00FA0E54" w:rsidRPr="00384F46">
        <w:rPr>
          <w:rFonts w:ascii="Times New Roman" w:hAnsi="Times New Roman" w:cs="Times New Roman"/>
          <w:kern w:val="0"/>
          <w:sz w:val="22"/>
        </w:rPr>
        <w:t xml:space="preserve"> a demand curve visualizing the relationship between the incremental price of the more expensive </w:t>
      </w:r>
      <w:r w:rsidR="00C14947" w:rsidRPr="00384F46">
        <w:rPr>
          <w:rFonts w:ascii="Times New Roman" w:hAnsi="Times New Roman" w:cs="Times New Roman"/>
          <w:kern w:val="0"/>
          <w:sz w:val="22"/>
        </w:rPr>
        <w:t>therapy (</w:t>
      </w:r>
      <w:r w:rsidR="00FA0E54" w:rsidRPr="00384F46">
        <w:rPr>
          <w:rFonts w:ascii="Times New Roman" w:hAnsi="Times New Roman" w:cs="Times New Roman" w:hint="eastAsia"/>
          <w:kern w:val="0"/>
          <w:sz w:val="22"/>
        </w:rPr>
        <w:t>L</w:t>
      </w:r>
      <w:r w:rsidR="00560B81" w:rsidRPr="00384F46">
        <w:rPr>
          <w:rFonts w:ascii="Times New Roman" w:hAnsi="Times New Roman" w:cs="Times New Roman"/>
          <w:kern w:val="0"/>
          <w:sz w:val="22"/>
        </w:rPr>
        <w:t>umpectomy</w:t>
      </w:r>
      <w:r w:rsidR="00FA0E54" w:rsidRPr="00384F46">
        <w:rPr>
          <w:rFonts w:ascii="Times New Roman" w:hAnsi="Times New Roman" w:cs="Times New Roman"/>
          <w:kern w:val="0"/>
          <w:sz w:val="22"/>
        </w:rPr>
        <w:t xml:space="preserve">) and the share of choosing L under different </w:t>
      </w:r>
      <w:r w:rsidR="00E61EBB" w:rsidRPr="00384F46">
        <w:rPr>
          <w:rFonts w:ascii="Times New Roman" w:hAnsi="Times New Roman" w:cs="Times New Roman"/>
          <w:kern w:val="0"/>
          <w:sz w:val="22"/>
        </w:rPr>
        <w:t>policy design</w:t>
      </w:r>
      <w:r w:rsidR="00FA0E54" w:rsidRPr="00384F46">
        <w:rPr>
          <w:rFonts w:ascii="Times New Roman" w:hAnsi="Times New Roman" w:cs="Times New Roman"/>
          <w:kern w:val="0"/>
          <w:sz w:val="22"/>
        </w:rPr>
        <w:t xml:space="preserve">s. </w:t>
      </w:r>
      <w:r w:rsidR="000C4549" w:rsidRPr="00384F46">
        <w:rPr>
          <w:rFonts w:ascii="Times New Roman" w:hAnsi="Times New Roman" w:cs="Times New Roman"/>
          <w:kern w:val="0"/>
          <w:sz w:val="22"/>
        </w:rPr>
        <w:t>Then the author quantifies the demand curve to estimate</w:t>
      </w:r>
      <w:r w:rsidR="00EB0DD2" w:rsidRPr="00384F46">
        <w:rPr>
          <w:rFonts w:ascii="Times New Roman" w:hAnsi="Times New Roman" w:cs="Times New Roman"/>
          <w:kern w:val="0"/>
          <w:sz w:val="22"/>
        </w:rPr>
        <w:t xml:space="preserve"> </w:t>
      </w:r>
      <w:r w:rsidR="00902D0F" w:rsidRPr="00384F46">
        <w:rPr>
          <w:rFonts w:ascii="Times New Roman" w:hAnsi="Times New Roman" w:cs="Times New Roman"/>
          <w:kern w:val="0"/>
          <w:sz w:val="22"/>
        </w:rPr>
        <w:t xml:space="preserve">i) </w:t>
      </w:r>
      <w:r w:rsidR="00EB0DD2" w:rsidRPr="00384F46">
        <w:rPr>
          <w:rFonts w:ascii="Times New Roman" w:hAnsi="Times New Roman" w:cs="Times New Roman"/>
          <w:kern w:val="0"/>
          <w:sz w:val="22"/>
        </w:rPr>
        <w:t>the</w:t>
      </w:r>
      <w:r w:rsidR="00560B81" w:rsidRPr="00384F46">
        <w:rPr>
          <w:rFonts w:ascii="Times New Roman" w:hAnsi="Times New Roman" w:cs="Times New Roman"/>
          <w:kern w:val="0"/>
          <w:sz w:val="22"/>
        </w:rPr>
        <w:t xml:space="preserve"> relative demand given different nearest distances to the radiation facility and </w:t>
      </w:r>
      <w:r w:rsidR="00902D0F" w:rsidRPr="00384F46">
        <w:rPr>
          <w:rFonts w:ascii="Times New Roman" w:hAnsi="Times New Roman" w:cs="Times New Roman"/>
          <w:kern w:val="0"/>
          <w:sz w:val="22"/>
        </w:rPr>
        <w:t xml:space="preserve">ii) </w:t>
      </w:r>
      <w:r w:rsidR="00560B81" w:rsidRPr="00384F46">
        <w:rPr>
          <w:rFonts w:ascii="Times New Roman" w:hAnsi="Times New Roman" w:cs="Times New Roman"/>
          <w:kern w:val="0"/>
          <w:sz w:val="22"/>
        </w:rPr>
        <w:t>the</w:t>
      </w:r>
      <w:r w:rsidR="00EB0DD2" w:rsidRPr="00384F46">
        <w:rPr>
          <w:rFonts w:ascii="Times New Roman" w:hAnsi="Times New Roman" w:cs="Times New Roman"/>
          <w:kern w:val="0"/>
          <w:sz w:val="22"/>
        </w:rPr>
        <w:t xml:space="preserve"> ex-post (For </w:t>
      </w:r>
      <w:r w:rsidR="002F622C" w:rsidRPr="00384F46">
        <w:rPr>
          <w:rFonts w:ascii="Times New Roman" w:hAnsi="Times New Roman" w:cs="Times New Roman"/>
          <w:kern w:val="0"/>
          <w:sz w:val="22"/>
        </w:rPr>
        <w:t>patients) welfare</w:t>
      </w:r>
      <w:r w:rsidR="00EB0DD2" w:rsidRPr="00384F46">
        <w:rPr>
          <w:rFonts w:ascii="Times New Roman" w:hAnsi="Times New Roman" w:cs="Times New Roman"/>
          <w:kern w:val="0"/>
          <w:sz w:val="22"/>
        </w:rPr>
        <w:t xml:space="preserve"> effects of "top-up" design.</w:t>
      </w:r>
      <w:r w:rsidR="00A924F5" w:rsidRPr="00384F46">
        <w:rPr>
          <w:rFonts w:ascii="Times New Roman" w:hAnsi="Times New Roman" w:cs="Times New Roman"/>
          <w:kern w:val="0"/>
          <w:sz w:val="22"/>
        </w:rPr>
        <w:t xml:space="preserve"> Finally</w:t>
      </w:r>
      <w:r w:rsidR="00A924F5" w:rsidRPr="00384F46">
        <w:rPr>
          <w:rFonts w:ascii="Times New Roman" w:hAnsi="Times New Roman" w:cs="Times New Roman" w:hint="eastAsia"/>
          <w:kern w:val="0"/>
          <w:sz w:val="22"/>
        </w:rPr>
        <w:t>,</w:t>
      </w:r>
      <w:r w:rsidR="00A924F5" w:rsidRPr="00384F46">
        <w:rPr>
          <w:rFonts w:ascii="Times New Roman" w:hAnsi="Times New Roman" w:cs="Times New Roman"/>
          <w:kern w:val="0"/>
          <w:sz w:val="22"/>
        </w:rPr>
        <w:t xml:space="preserve"> the paper considers the differential risk exposure in the ex-ante perspective and concludes that the top-up policy</w:t>
      </w:r>
      <w:r w:rsidR="00885C55">
        <w:rPr>
          <w:rFonts w:ascii="Times New Roman" w:hAnsi="Times New Roman" w:cs="Times New Roman"/>
          <w:kern w:val="0"/>
          <w:sz w:val="22"/>
        </w:rPr>
        <w:t xml:space="preserve"> does not necessarily outweigh the full coverage under higher risk aversion</w:t>
      </w:r>
      <w:r w:rsidR="00A924F5" w:rsidRPr="00384F46">
        <w:rPr>
          <w:rFonts w:ascii="Times New Roman" w:hAnsi="Times New Roman" w:cs="Times New Roman"/>
          <w:kern w:val="0"/>
          <w:sz w:val="22"/>
        </w:rPr>
        <w:t>.</w:t>
      </w:r>
      <w:r w:rsidR="007F0A69" w:rsidRPr="00384F46">
        <w:rPr>
          <w:rFonts w:ascii="Times New Roman" w:hAnsi="Times New Roman" w:cs="Times New Roman"/>
          <w:kern w:val="0"/>
          <w:sz w:val="22"/>
        </w:rPr>
        <w:t xml:space="preserve"> </w:t>
      </w:r>
      <w:r w:rsidR="008830C0" w:rsidRPr="00384F46">
        <w:rPr>
          <w:rFonts w:ascii="Times New Roman" w:hAnsi="Times New Roman" w:cs="Times New Roman"/>
          <w:kern w:val="0"/>
          <w:sz w:val="22"/>
        </w:rPr>
        <w:t xml:space="preserve">The analysis provides a </w:t>
      </w:r>
      <w:r w:rsidR="00560B81" w:rsidRPr="00384F46">
        <w:rPr>
          <w:rFonts w:ascii="Times New Roman" w:hAnsi="Times New Roman" w:cs="Times New Roman"/>
          <w:kern w:val="0"/>
          <w:sz w:val="22"/>
        </w:rPr>
        <w:t xml:space="preserve">systematic perspective to </w:t>
      </w:r>
      <w:r w:rsidR="00902D0F" w:rsidRPr="00384F46">
        <w:rPr>
          <w:rFonts w:ascii="Times New Roman" w:hAnsi="Times New Roman" w:cs="Times New Roman"/>
          <w:kern w:val="0"/>
          <w:sz w:val="22"/>
        </w:rPr>
        <w:t>measure the</w:t>
      </w:r>
      <w:r w:rsidR="002475E6" w:rsidRPr="00384F46">
        <w:rPr>
          <w:rFonts w:ascii="Times New Roman" w:hAnsi="Times New Roman" w:cs="Times New Roman"/>
          <w:kern w:val="0"/>
          <w:sz w:val="22"/>
        </w:rPr>
        <w:t xml:space="preserve"> willingness to pay for L and use the demand curve to </w:t>
      </w:r>
      <w:r w:rsidRPr="00384F46">
        <w:rPr>
          <w:rFonts w:ascii="Times New Roman" w:hAnsi="Times New Roman" w:cs="Times New Roman"/>
          <w:kern w:val="0"/>
          <w:sz w:val="22"/>
        </w:rPr>
        <w:t>evaluate the welfare effect.</w:t>
      </w:r>
    </w:p>
    <w:p w14:paraId="2E4A5613" w14:textId="37DA383C" w:rsidR="0007619B" w:rsidRPr="00384F46" w:rsidRDefault="00A73ABF" w:rsidP="00384F46">
      <w:pPr>
        <w:spacing w:after="160"/>
        <w:rPr>
          <w:rFonts w:ascii="Times New Roman" w:hAnsi="Times New Roman" w:cs="Times New Roman"/>
          <w:kern w:val="0"/>
          <w:sz w:val="22"/>
        </w:rPr>
      </w:pPr>
      <w:r w:rsidRPr="00384F46">
        <w:rPr>
          <w:rFonts w:ascii="Times New Roman" w:hAnsi="Times New Roman" w:cs="Times New Roman"/>
          <w:kern w:val="0"/>
          <w:sz w:val="22"/>
        </w:rPr>
        <w:t>Th</w:t>
      </w:r>
      <w:r w:rsidR="00B159EB" w:rsidRPr="00384F46">
        <w:rPr>
          <w:rFonts w:ascii="Times New Roman" w:hAnsi="Times New Roman" w:cs="Times New Roman"/>
          <w:kern w:val="0"/>
          <w:sz w:val="22"/>
        </w:rPr>
        <w:t>is paper first shows</w:t>
      </w:r>
      <w:r w:rsidRPr="00384F46">
        <w:rPr>
          <w:rFonts w:ascii="Times New Roman" w:hAnsi="Times New Roman" w:cs="Times New Roman"/>
          <w:kern w:val="0"/>
          <w:sz w:val="22"/>
        </w:rPr>
        <w:t xml:space="preserve"> </w:t>
      </w:r>
      <w:r w:rsidR="00C14947" w:rsidRPr="00384F46">
        <w:rPr>
          <w:rFonts w:ascii="Times New Roman" w:hAnsi="Times New Roman" w:cs="Times New Roman"/>
          <w:kern w:val="0"/>
          <w:sz w:val="22"/>
        </w:rPr>
        <w:t xml:space="preserve">the cost </w:t>
      </w:r>
      <w:r w:rsidR="00290BAD" w:rsidRPr="00384F46">
        <w:rPr>
          <w:rFonts w:ascii="Times New Roman" w:hAnsi="Times New Roman" w:cs="Times New Roman"/>
          <w:kern w:val="0"/>
          <w:sz w:val="22"/>
        </w:rPr>
        <w:t>difference (</w:t>
      </w:r>
      <w:r w:rsidR="00C14947" w:rsidRPr="00384F46">
        <w:rPr>
          <w:rFonts w:ascii="Times New Roman" w:hAnsi="Times New Roman" w:cs="Times New Roman"/>
          <w:kern w:val="0"/>
          <w:sz w:val="22"/>
        </w:rPr>
        <w:t xml:space="preserve">including Medicare payment and time cost) between mastectomy(M) and lumpectomy(L), which provides the base for the </w:t>
      </w:r>
      <w:r w:rsidR="00C14947" w:rsidRPr="00CD0D04">
        <w:rPr>
          <w:rFonts w:ascii="Times New Roman" w:hAnsi="Times New Roman" w:cs="Times New Roman"/>
          <w:b/>
          <w:bCs/>
          <w:kern w:val="0"/>
          <w:sz w:val="22"/>
        </w:rPr>
        <w:t>important assumption</w:t>
      </w:r>
      <w:r w:rsidR="00C14947" w:rsidRPr="00384F46">
        <w:rPr>
          <w:rFonts w:ascii="Times New Roman" w:hAnsi="Times New Roman" w:cs="Times New Roman"/>
          <w:kern w:val="0"/>
          <w:sz w:val="22"/>
        </w:rPr>
        <w:t xml:space="preserve"> for the </w:t>
      </w:r>
      <w:r w:rsidR="00290BAD" w:rsidRPr="00384F46">
        <w:rPr>
          <w:rFonts w:ascii="Times New Roman" w:hAnsi="Times New Roman" w:cs="Times New Roman"/>
          <w:kern w:val="0"/>
          <w:sz w:val="22"/>
        </w:rPr>
        <w:t>demand curve</w:t>
      </w:r>
      <w:r w:rsidR="00C14947" w:rsidRPr="00384F46">
        <w:rPr>
          <w:rFonts w:ascii="Times New Roman" w:hAnsi="Times New Roman" w:cs="Times New Roman"/>
          <w:kern w:val="0"/>
          <w:sz w:val="22"/>
        </w:rPr>
        <w:t xml:space="preserve"> that the travel time can be </w:t>
      </w:r>
      <w:r w:rsidR="00290BAD" w:rsidRPr="00384F46">
        <w:rPr>
          <w:rFonts w:ascii="Times New Roman" w:hAnsi="Times New Roman" w:cs="Times New Roman"/>
          <w:kern w:val="0"/>
          <w:sz w:val="22"/>
        </w:rPr>
        <w:t>monetized,</w:t>
      </w:r>
      <w:r w:rsidR="00EB00B4" w:rsidRPr="00384F46">
        <w:rPr>
          <w:rFonts w:ascii="Times New Roman" w:hAnsi="Times New Roman" w:cs="Times New Roman"/>
          <w:kern w:val="0"/>
          <w:sz w:val="22"/>
        </w:rPr>
        <w:t xml:space="preserve"> and</w:t>
      </w:r>
      <w:r w:rsidR="00C17C4F" w:rsidRPr="00384F46">
        <w:rPr>
          <w:rFonts w:ascii="Times New Roman" w:hAnsi="Times New Roman" w:cs="Times New Roman"/>
          <w:kern w:val="0"/>
          <w:sz w:val="22"/>
        </w:rPr>
        <w:t xml:space="preserve"> that</w:t>
      </w:r>
      <w:r w:rsidR="00EB00B4" w:rsidRPr="00384F46">
        <w:rPr>
          <w:rFonts w:ascii="Times New Roman" w:hAnsi="Times New Roman" w:cs="Times New Roman"/>
          <w:kern w:val="0"/>
          <w:sz w:val="22"/>
        </w:rPr>
        <w:t xml:space="preserve"> </w:t>
      </w:r>
      <w:r w:rsidR="00C17C4F" w:rsidRPr="00384F46">
        <w:rPr>
          <w:rFonts w:ascii="Times New Roman" w:hAnsi="Times New Roman" w:cs="Times New Roman"/>
          <w:kern w:val="0"/>
          <w:sz w:val="22"/>
        </w:rPr>
        <w:t xml:space="preserve">people have the same willingness to reduce either the time cost or any other </w:t>
      </w:r>
      <w:r>
        <w:rPr>
          <w:rFonts w:ascii="Times New Roman" w:hAnsi="Times New Roman" w:cs="Times New Roman"/>
          <w:kern w:val="0"/>
          <w:sz w:val="22"/>
        </w:rPr>
        <w:t>price</w:t>
      </w:r>
      <w:r w:rsidR="00C17C4F" w:rsidRPr="00384F46">
        <w:rPr>
          <w:rFonts w:ascii="Times New Roman" w:hAnsi="Times New Roman" w:cs="Times New Roman"/>
          <w:kern w:val="0"/>
          <w:sz w:val="22"/>
        </w:rPr>
        <w:t xml:space="preserve"> difference, thus allowing </w:t>
      </w:r>
      <w:r w:rsidR="00290BAD" w:rsidRPr="00384F46">
        <w:rPr>
          <w:rFonts w:ascii="Times New Roman" w:hAnsi="Times New Roman" w:cs="Times New Roman"/>
          <w:kern w:val="0"/>
          <w:sz w:val="22"/>
        </w:rPr>
        <w:t xml:space="preserve">the </w:t>
      </w:r>
      <w:r w:rsidR="00C17C4F" w:rsidRPr="00384F46">
        <w:rPr>
          <w:rFonts w:ascii="Times New Roman" w:hAnsi="Times New Roman" w:cs="Times New Roman"/>
          <w:kern w:val="0"/>
          <w:sz w:val="22"/>
        </w:rPr>
        <w:t xml:space="preserve">author to use the variation in the distance </w:t>
      </w:r>
      <w:r w:rsidR="00290BAD" w:rsidRPr="00384F46">
        <w:rPr>
          <w:rFonts w:ascii="Times New Roman" w:hAnsi="Times New Roman" w:cs="Times New Roman"/>
          <w:kern w:val="0"/>
          <w:sz w:val="22"/>
        </w:rPr>
        <w:t>as variation in the incremental price for L.</w:t>
      </w:r>
      <w:r w:rsidR="00C17C4F" w:rsidRPr="00384F46">
        <w:rPr>
          <w:rFonts w:ascii="Times New Roman" w:hAnsi="Times New Roman" w:cs="Times New Roman"/>
          <w:kern w:val="0"/>
          <w:sz w:val="22"/>
        </w:rPr>
        <w:t xml:space="preserve"> </w:t>
      </w:r>
      <w:r w:rsidR="00290BAD" w:rsidRPr="00384F46">
        <w:rPr>
          <w:rFonts w:ascii="Times New Roman" w:hAnsi="Times New Roman" w:cs="Times New Roman"/>
          <w:kern w:val="0"/>
          <w:sz w:val="22"/>
        </w:rPr>
        <w:t xml:space="preserve">Combining the data from CCR (patient level data) and IMV(radiation treatment facility location), the author restrict the data to female breast cancer </w:t>
      </w:r>
      <w:r w:rsidR="00AF107B" w:rsidRPr="00384F46">
        <w:rPr>
          <w:rFonts w:ascii="Times New Roman" w:hAnsi="Times New Roman" w:cs="Times New Roman"/>
          <w:kern w:val="0"/>
          <w:sz w:val="22"/>
        </w:rPr>
        <w:t>patients choosing either M or L( focus on binary option)</w:t>
      </w:r>
      <w:r w:rsidR="00503037">
        <w:rPr>
          <w:rFonts w:ascii="Times New Roman" w:hAnsi="Times New Roman" w:cs="Times New Roman"/>
          <w:kern w:val="0"/>
          <w:sz w:val="22"/>
        </w:rPr>
        <w:t xml:space="preserve"> and do the empirical part</w:t>
      </w:r>
      <w:r w:rsidR="00AF107B" w:rsidRPr="00384F46">
        <w:rPr>
          <w:rFonts w:ascii="Times New Roman" w:hAnsi="Times New Roman" w:cs="Times New Roman"/>
          <w:kern w:val="0"/>
          <w:sz w:val="22"/>
        </w:rPr>
        <w:t>.</w:t>
      </w:r>
    </w:p>
    <w:p w14:paraId="2E6F912B" w14:textId="36AD6BF7" w:rsidR="002F622C" w:rsidRPr="00384F46" w:rsidRDefault="00A73ABF" w:rsidP="00384F46">
      <w:pPr>
        <w:spacing w:after="16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framework and strategy used by the paper are as follows: t</w:t>
      </w:r>
      <w:r w:rsidR="00B159EB" w:rsidRPr="00384F46">
        <w:rPr>
          <w:rFonts w:ascii="Times New Roman" w:hAnsi="Times New Roman" w:cs="Times New Roman"/>
          <w:kern w:val="0"/>
          <w:sz w:val="22"/>
        </w:rPr>
        <w:t>he article starts its proof by drawing the demand curve</w:t>
      </w:r>
      <w:r w:rsidR="00506CC6" w:rsidRPr="00384F46">
        <w:rPr>
          <w:rFonts w:ascii="Times New Roman" w:hAnsi="Times New Roman" w:cs="Times New Roman"/>
          <w:kern w:val="0"/>
          <w:sz w:val="22"/>
        </w:rPr>
        <w:t xml:space="preserve"> that</w:t>
      </w:r>
      <w:r w:rsidR="00B159EB" w:rsidRPr="00384F46">
        <w:rPr>
          <w:rFonts w:ascii="Times New Roman" w:hAnsi="Times New Roman" w:cs="Times New Roman"/>
          <w:kern w:val="0"/>
          <w:sz w:val="22"/>
        </w:rPr>
        <w:t xml:space="preserve"> describ</w:t>
      </w:r>
      <w:r w:rsidR="00506CC6" w:rsidRPr="00384F46">
        <w:rPr>
          <w:rFonts w:ascii="Times New Roman" w:hAnsi="Times New Roman" w:cs="Times New Roman"/>
          <w:kern w:val="0"/>
          <w:sz w:val="22"/>
        </w:rPr>
        <w:t>es</w:t>
      </w:r>
      <w:r w:rsidR="00B159EB" w:rsidRPr="00384F46">
        <w:rPr>
          <w:rFonts w:ascii="Times New Roman" w:hAnsi="Times New Roman" w:cs="Times New Roman"/>
          <w:kern w:val="0"/>
          <w:sz w:val="22"/>
        </w:rPr>
        <w:t xml:space="preserve"> the relationship between the incremental price of L</w:t>
      </w:r>
      <w:r w:rsidR="00506CC6" w:rsidRPr="00384F46">
        <w:rPr>
          <w:rFonts w:ascii="Times New Roman" w:hAnsi="Times New Roman" w:cs="Times New Roman"/>
          <w:kern w:val="0"/>
          <w:sz w:val="22"/>
        </w:rPr>
        <w:t xml:space="preserve"> and the share of choosing L, leading to the finding that the efficient allocation is given by "top-up" design while "no top-up" and "full coverage" design both </w:t>
      </w:r>
      <w:r>
        <w:rPr>
          <w:rFonts w:ascii="Times New Roman" w:hAnsi="Times New Roman" w:cs="Times New Roman"/>
          <w:kern w:val="0"/>
          <w:sz w:val="22"/>
        </w:rPr>
        <w:t>causes</w:t>
      </w:r>
      <w:r w:rsidR="00506CC6" w:rsidRPr="00384F46">
        <w:rPr>
          <w:rFonts w:ascii="Times New Roman" w:hAnsi="Times New Roman" w:cs="Times New Roman"/>
          <w:kern w:val="0"/>
          <w:sz w:val="22"/>
        </w:rPr>
        <w:t xml:space="preserve"> welfare loss. </w:t>
      </w:r>
      <w:r w:rsidR="00F3054F">
        <w:rPr>
          <w:rFonts w:ascii="Times New Roman" w:hAnsi="Times New Roman" w:cs="Times New Roman"/>
          <w:kern w:val="0"/>
          <w:sz w:val="22"/>
        </w:rPr>
        <w:t>Given the framework above, this paper then proposes the utility function</w:t>
      </w:r>
      <w:r w:rsidR="005160EF" w:rsidRPr="00384F46">
        <w:rPr>
          <w:rFonts w:ascii="Times New Roman" w:hAnsi="Times New Roman" w:cs="Times New Roman"/>
          <w:kern w:val="0"/>
          <w:sz w:val="22"/>
        </w:rPr>
        <w:t xml:space="preserve"> including incremental price p and time cost (patient-specific)</w:t>
      </w:r>
      <w:r w:rsidR="006965DB">
        <w:rPr>
          <w:rFonts w:ascii="Times New Roman" w:hAnsi="Times New Roman" w:cs="Times New Roman"/>
          <w:kern w:val="0"/>
          <w:sz w:val="22"/>
        </w:rPr>
        <w:t xml:space="preserve"> based on the assumption </w:t>
      </w:r>
      <w:r w:rsidR="00CD0D04">
        <w:rPr>
          <w:rFonts w:ascii="Times New Roman" w:hAnsi="Times New Roman" w:cs="Times New Roman"/>
          <w:kern w:val="0"/>
          <w:sz w:val="22"/>
        </w:rPr>
        <w:t>mentioned above. Then the author could estimate alpha and beta using the variation in the distance by standard logit regression and random-coefficient logit model, a model that takes heterogeneity of the population into account.</w:t>
      </w:r>
    </w:p>
    <w:p w14:paraId="50759DB6" w14:textId="3613B334" w:rsidR="002F622C" w:rsidRDefault="00A73ABF" w:rsidP="00384F46">
      <w:pPr>
        <w:spacing w:after="16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In line with the framework and strategy,</w:t>
      </w:r>
      <w:r w:rsidR="00E14E1A">
        <w:rPr>
          <w:rFonts w:ascii="Times New Roman" w:hAnsi="Times New Roman" w:cs="Times New Roman"/>
          <w:kern w:val="0"/>
          <w:sz w:val="22"/>
        </w:rPr>
        <w:t xml:space="preserve"> 1)</w:t>
      </w:r>
      <w:r>
        <w:rPr>
          <w:rFonts w:ascii="Times New Roman" w:hAnsi="Times New Roman" w:cs="Times New Roman"/>
          <w:kern w:val="0"/>
          <w:sz w:val="22"/>
        </w:rPr>
        <w:t xml:space="preserve"> t</w:t>
      </w:r>
      <w:r w:rsidR="00CD0D04">
        <w:rPr>
          <w:rFonts w:ascii="Times New Roman" w:hAnsi="Times New Roman" w:cs="Times New Roman"/>
          <w:kern w:val="0"/>
          <w:sz w:val="22"/>
        </w:rPr>
        <w:t xml:space="preserve">he initial evidence from the data shows that </w:t>
      </w:r>
      <w:r w:rsidR="00277510">
        <w:rPr>
          <w:rFonts w:ascii="Times New Roman" w:hAnsi="Times New Roman" w:cs="Times New Roman"/>
          <w:kern w:val="0"/>
          <w:sz w:val="22"/>
        </w:rPr>
        <w:t>the longer the distance to radiation facilities, the more likely the woman to choose M, and this relationship is not very sensitive to the inclusion of difference</w:t>
      </w:r>
      <w:r>
        <w:rPr>
          <w:rFonts w:ascii="Times New Roman" w:hAnsi="Times New Roman" w:cs="Times New Roman"/>
          <w:kern w:val="0"/>
          <w:sz w:val="22"/>
        </w:rPr>
        <w:t xml:space="preserve">s in demographic or hearth characteristics. </w:t>
      </w:r>
      <w:r w:rsidR="00E14E1A">
        <w:rPr>
          <w:rFonts w:ascii="Times New Roman" w:hAnsi="Times New Roman" w:cs="Times New Roman"/>
          <w:kern w:val="0"/>
          <w:sz w:val="22"/>
        </w:rPr>
        <w:t>2)</w:t>
      </w:r>
      <w:r>
        <w:rPr>
          <w:rFonts w:ascii="Times New Roman" w:hAnsi="Times New Roman" w:cs="Times New Roman"/>
          <w:kern w:val="0"/>
          <w:sz w:val="22"/>
        </w:rPr>
        <w:t>Then the paper use</w:t>
      </w:r>
      <w:r w:rsidR="00C757FE">
        <w:rPr>
          <w:rFonts w:ascii="Times New Roman" w:hAnsi="Times New Roman" w:cs="Times New Roman"/>
          <w:kern w:val="0"/>
          <w:sz w:val="22"/>
        </w:rPr>
        <w:t>s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 w:rsidR="00C757FE">
        <w:rPr>
          <w:rFonts w:ascii="Times New Roman" w:hAnsi="Times New Roman" w:cs="Times New Roman"/>
          <w:kern w:val="0"/>
          <w:sz w:val="22"/>
        </w:rPr>
        <w:t>two types of</w:t>
      </w:r>
      <w:r>
        <w:rPr>
          <w:rFonts w:ascii="Times New Roman" w:hAnsi="Times New Roman" w:cs="Times New Roman"/>
          <w:kern w:val="0"/>
          <w:sz w:val="22"/>
        </w:rPr>
        <w:t xml:space="preserve"> logit </w:t>
      </w:r>
      <w:r w:rsidR="001F765A">
        <w:rPr>
          <w:rFonts w:ascii="Times New Roman" w:hAnsi="Times New Roman" w:cs="Times New Roman"/>
          <w:kern w:val="0"/>
          <w:sz w:val="22"/>
        </w:rPr>
        <w:t>model (</w:t>
      </w:r>
      <w:r w:rsidR="00C757FE">
        <w:rPr>
          <w:rFonts w:ascii="Times New Roman" w:hAnsi="Times New Roman" w:cs="Times New Roman"/>
          <w:kern w:val="0"/>
          <w:sz w:val="22"/>
        </w:rPr>
        <w:t>Homogeneous logit and heterogeneous logit)</w:t>
      </w:r>
      <w:r>
        <w:rPr>
          <w:rFonts w:ascii="Times New Roman" w:hAnsi="Times New Roman" w:cs="Times New Roman"/>
          <w:kern w:val="0"/>
          <w:sz w:val="22"/>
        </w:rPr>
        <w:t xml:space="preserve"> to quantify the relationship</w:t>
      </w:r>
      <w:r w:rsidR="00C757FE">
        <w:rPr>
          <w:rFonts w:ascii="Times New Roman" w:hAnsi="Times New Roman" w:cs="Times New Roman"/>
          <w:kern w:val="0"/>
          <w:sz w:val="22"/>
        </w:rPr>
        <w:t xml:space="preserve">, where the explained variable is a binary variable </w:t>
      </w:r>
      <w:r w:rsidR="001F765A">
        <w:rPr>
          <w:rFonts w:ascii="Times New Roman" w:hAnsi="Times New Roman" w:cs="Times New Roman"/>
          <w:kern w:val="0"/>
          <w:sz w:val="22"/>
        </w:rPr>
        <w:t>that</w:t>
      </w:r>
      <w:r w:rsidR="00C757FE">
        <w:rPr>
          <w:rFonts w:ascii="Times New Roman" w:hAnsi="Times New Roman" w:cs="Times New Roman"/>
          <w:kern w:val="0"/>
          <w:sz w:val="22"/>
        </w:rPr>
        <w:t xml:space="preserve"> equals 1 if the patient chooses L</w:t>
      </w:r>
      <w:r w:rsidR="001F765A">
        <w:rPr>
          <w:rFonts w:ascii="Times New Roman" w:hAnsi="Times New Roman" w:cs="Times New Roman"/>
          <w:kern w:val="0"/>
          <w:sz w:val="22"/>
        </w:rPr>
        <w:t xml:space="preserve"> and the concerned explaining variable is distance. </w:t>
      </w:r>
      <w:r w:rsidR="004C3EAD">
        <w:rPr>
          <w:rFonts w:ascii="Times New Roman" w:hAnsi="Times New Roman" w:cs="Times New Roman"/>
          <w:kern w:val="0"/>
          <w:sz w:val="22"/>
        </w:rPr>
        <w:t xml:space="preserve">The homogeneous logit includes controls variables that </w:t>
      </w:r>
      <w:r w:rsidR="00D349D9">
        <w:rPr>
          <w:rFonts w:ascii="Times New Roman" w:hAnsi="Times New Roman" w:cs="Times New Roman"/>
          <w:kern w:val="0"/>
          <w:sz w:val="22"/>
        </w:rPr>
        <w:t>do not affect</w:t>
      </w:r>
      <w:r w:rsidR="004C3EAD">
        <w:rPr>
          <w:rFonts w:ascii="Times New Roman" w:hAnsi="Times New Roman" w:cs="Times New Roman"/>
          <w:kern w:val="0"/>
          <w:sz w:val="22"/>
        </w:rPr>
        <w:t xml:space="preserve"> beta while the heterogeneous logit model then </w:t>
      </w:r>
      <w:r w:rsidR="00D349D9">
        <w:rPr>
          <w:rFonts w:ascii="Times New Roman" w:hAnsi="Times New Roman" w:cs="Times New Roman"/>
          <w:kern w:val="0"/>
          <w:sz w:val="22"/>
        </w:rPr>
        <w:t>adds the</w:t>
      </w:r>
      <w:r w:rsidR="004C3EAD">
        <w:rPr>
          <w:rFonts w:ascii="Times New Roman" w:hAnsi="Times New Roman" w:cs="Times New Roman"/>
          <w:kern w:val="0"/>
          <w:sz w:val="22"/>
        </w:rPr>
        <w:t xml:space="preserve"> </w:t>
      </w:r>
      <w:r w:rsidR="00D349D9">
        <w:rPr>
          <w:rFonts w:ascii="Times New Roman" w:hAnsi="Times New Roman" w:cs="Times New Roman"/>
          <w:kern w:val="0"/>
          <w:sz w:val="22"/>
        </w:rPr>
        <w:t xml:space="preserve">interaction (beta changes) and other random coefficients (assumes that beta follows a lognormal distribution). </w:t>
      </w:r>
      <w:r w:rsidR="00E14E1A">
        <w:rPr>
          <w:rFonts w:ascii="Times New Roman" w:hAnsi="Times New Roman" w:cs="Times New Roman"/>
          <w:kern w:val="0"/>
          <w:sz w:val="22"/>
        </w:rPr>
        <w:t>3)</w:t>
      </w:r>
      <w:r w:rsidR="001F765A">
        <w:rPr>
          <w:rFonts w:ascii="Times New Roman" w:hAnsi="Times New Roman" w:cs="Times New Roman"/>
          <w:kern w:val="0"/>
          <w:sz w:val="22"/>
        </w:rPr>
        <w:t xml:space="preserve">After getting a reasonably robust result, </w:t>
      </w:r>
      <w:r w:rsidR="00E14E1A">
        <w:rPr>
          <w:rFonts w:ascii="Times New Roman" w:hAnsi="Times New Roman" w:cs="Times New Roman"/>
          <w:kern w:val="0"/>
          <w:sz w:val="22"/>
        </w:rPr>
        <w:t xml:space="preserve">the paper then draws the implied demand system for L based on the estimates </w:t>
      </w:r>
      <w:r w:rsidR="00126822">
        <w:rPr>
          <w:rFonts w:ascii="Times New Roman" w:hAnsi="Times New Roman" w:cs="Times New Roman"/>
          <w:kern w:val="0"/>
          <w:sz w:val="22"/>
        </w:rPr>
        <w:t xml:space="preserve">from the previous models. </w:t>
      </w:r>
      <w:r w:rsidR="005C342E">
        <w:rPr>
          <w:rFonts w:ascii="Times New Roman" w:hAnsi="Times New Roman" w:cs="Times New Roman"/>
          <w:kern w:val="0"/>
          <w:sz w:val="22"/>
        </w:rPr>
        <w:t>In the implied demand curve given by model 1 with no controls, compared to the “top-up” design, the “full coverage” design raise the share of L from</w:t>
      </w:r>
      <w:r w:rsidR="002E4484">
        <w:rPr>
          <w:rFonts w:ascii="Times New Roman" w:hAnsi="Times New Roman" w:cs="Times New Roman"/>
          <w:kern w:val="0"/>
          <w:sz w:val="22"/>
        </w:rPr>
        <w:t xml:space="preserve"> 21% to </w:t>
      </w:r>
      <w:r w:rsidR="002E4484">
        <w:rPr>
          <w:rFonts w:ascii="Times New Roman" w:hAnsi="Times New Roman" w:cs="Times New Roman"/>
          <w:kern w:val="0"/>
          <w:sz w:val="22"/>
        </w:rPr>
        <w:lastRenderedPageBreak/>
        <w:t xml:space="preserve">58% </w:t>
      </w:r>
      <w:r w:rsidR="00555D5C">
        <w:rPr>
          <w:rFonts w:ascii="Times New Roman" w:hAnsi="Times New Roman" w:cs="Times New Roman"/>
          <w:kern w:val="0"/>
          <w:sz w:val="22"/>
        </w:rPr>
        <w:t xml:space="preserve">and thus reduces the whole welfare by about </w:t>
      </w:r>
      <w:r w:rsidR="003E7985">
        <w:rPr>
          <w:rFonts w:ascii="Times New Roman" w:hAnsi="Times New Roman" w:cs="Times New Roman"/>
          <w:kern w:val="0"/>
          <w:sz w:val="22"/>
        </w:rPr>
        <w:t xml:space="preserve">$2000 per patient </w:t>
      </w:r>
      <w:r w:rsidR="002E4484">
        <w:rPr>
          <w:rFonts w:ascii="Times New Roman" w:hAnsi="Times New Roman" w:cs="Times New Roman"/>
          <w:kern w:val="0"/>
          <w:sz w:val="22"/>
        </w:rPr>
        <w:t>while the “no top-up” design drops the share of L from 21% to nearly 0%</w:t>
      </w:r>
      <w:r w:rsidR="003E7985">
        <w:rPr>
          <w:rFonts w:ascii="Times New Roman" w:hAnsi="Times New Roman" w:cs="Times New Roman"/>
          <w:kern w:val="0"/>
          <w:sz w:val="22"/>
        </w:rPr>
        <w:t xml:space="preserve"> and thus reduces the whole welfare about $1400 per patient</w:t>
      </w:r>
      <w:r w:rsidR="002E4484">
        <w:rPr>
          <w:rFonts w:ascii="Times New Roman" w:hAnsi="Times New Roman" w:cs="Times New Roman"/>
          <w:kern w:val="0"/>
          <w:sz w:val="22"/>
        </w:rPr>
        <w:t xml:space="preserve">. For the implied demand curve given by model 6 with random </w:t>
      </w:r>
      <w:r w:rsidR="006E053F">
        <w:rPr>
          <w:rFonts w:ascii="Times New Roman" w:hAnsi="Times New Roman" w:cs="Times New Roman"/>
          <w:kern w:val="0"/>
          <w:sz w:val="22"/>
        </w:rPr>
        <w:t>coefficients, compared to the “top-up” design, the “full coverage” design rai</w:t>
      </w:r>
      <w:r w:rsidR="00555D5C">
        <w:rPr>
          <w:rFonts w:ascii="Times New Roman" w:hAnsi="Times New Roman" w:cs="Times New Roman"/>
          <w:kern w:val="0"/>
          <w:sz w:val="22"/>
        </w:rPr>
        <w:t>s</w:t>
      </w:r>
      <w:r w:rsidR="006E053F">
        <w:rPr>
          <w:rFonts w:ascii="Times New Roman" w:hAnsi="Times New Roman" w:cs="Times New Roman"/>
          <w:kern w:val="0"/>
          <w:sz w:val="22"/>
        </w:rPr>
        <w:t>e</w:t>
      </w:r>
      <w:r w:rsidR="00555D5C">
        <w:rPr>
          <w:rFonts w:ascii="Times New Roman" w:hAnsi="Times New Roman" w:cs="Times New Roman"/>
          <w:kern w:val="0"/>
          <w:sz w:val="22"/>
        </w:rPr>
        <w:t>s</w:t>
      </w:r>
      <w:r w:rsidR="006E053F">
        <w:rPr>
          <w:rFonts w:ascii="Times New Roman" w:hAnsi="Times New Roman" w:cs="Times New Roman"/>
          <w:kern w:val="0"/>
          <w:sz w:val="22"/>
        </w:rPr>
        <w:t xml:space="preserve"> the share of L from 48% to 58%</w:t>
      </w:r>
      <w:r w:rsidR="00555D5C">
        <w:rPr>
          <w:rFonts w:ascii="Times New Roman" w:hAnsi="Times New Roman" w:cs="Times New Roman"/>
          <w:kern w:val="0"/>
          <w:sz w:val="22"/>
        </w:rPr>
        <w:t xml:space="preserve"> and thus reduces the whole welfare $</w:t>
      </w:r>
      <w:r w:rsidR="003E7985">
        <w:rPr>
          <w:rFonts w:ascii="Times New Roman" w:hAnsi="Times New Roman" w:cs="Times New Roman"/>
          <w:kern w:val="0"/>
          <w:sz w:val="22"/>
        </w:rPr>
        <w:t>710</w:t>
      </w:r>
      <w:r w:rsidR="00555D5C">
        <w:rPr>
          <w:rFonts w:ascii="Times New Roman" w:hAnsi="Times New Roman" w:cs="Times New Roman"/>
          <w:kern w:val="0"/>
          <w:sz w:val="22"/>
        </w:rPr>
        <w:t xml:space="preserve"> per patient</w:t>
      </w:r>
      <w:r w:rsidR="006E053F">
        <w:rPr>
          <w:rFonts w:ascii="Times New Roman" w:hAnsi="Times New Roman" w:cs="Times New Roman"/>
          <w:kern w:val="0"/>
          <w:sz w:val="22"/>
        </w:rPr>
        <w:t xml:space="preserve"> while the “no top-up” design drops the share of L from 48% to 43.5%</w:t>
      </w:r>
      <w:r w:rsidR="00555D5C">
        <w:rPr>
          <w:rFonts w:ascii="Times New Roman" w:hAnsi="Times New Roman" w:cs="Times New Roman"/>
          <w:kern w:val="0"/>
          <w:sz w:val="22"/>
        </w:rPr>
        <w:t xml:space="preserve"> and thus reduces the welfare about $</w:t>
      </w:r>
      <w:r w:rsidR="003E7985">
        <w:rPr>
          <w:rFonts w:ascii="Times New Roman" w:hAnsi="Times New Roman" w:cs="Times New Roman"/>
          <w:kern w:val="0"/>
          <w:sz w:val="22"/>
        </w:rPr>
        <w:t>800</w:t>
      </w:r>
      <w:r w:rsidR="00555D5C">
        <w:rPr>
          <w:rFonts w:ascii="Times New Roman" w:hAnsi="Times New Roman" w:cs="Times New Roman"/>
          <w:kern w:val="0"/>
          <w:sz w:val="22"/>
        </w:rPr>
        <w:t xml:space="preserve"> per patient</w:t>
      </w:r>
      <w:r w:rsidR="006E053F">
        <w:rPr>
          <w:rFonts w:ascii="Times New Roman" w:hAnsi="Times New Roman" w:cs="Times New Roman"/>
          <w:kern w:val="0"/>
          <w:sz w:val="22"/>
        </w:rPr>
        <w:t xml:space="preserve">. </w:t>
      </w:r>
      <w:r w:rsidR="005D5E49">
        <w:rPr>
          <w:rFonts w:ascii="Times New Roman" w:hAnsi="Times New Roman" w:cs="Times New Roman"/>
          <w:kern w:val="0"/>
          <w:sz w:val="22"/>
        </w:rPr>
        <w:t xml:space="preserve">As a result, given a different logit model, the paper lists the reduction in demand given certain charging </w:t>
      </w:r>
      <w:r w:rsidR="00555D5C">
        <w:rPr>
          <w:rFonts w:ascii="Times New Roman" w:hAnsi="Times New Roman" w:cs="Times New Roman"/>
          <w:kern w:val="0"/>
          <w:sz w:val="22"/>
        </w:rPr>
        <w:t>prices (</w:t>
      </w:r>
      <w:r w:rsidR="005D5E49">
        <w:rPr>
          <w:rFonts w:ascii="Times New Roman" w:hAnsi="Times New Roman" w:cs="Times New Roman"/>
          <w:kern w:val="0"/>
          <w:sz w:val="22"/>
        </w:rPr>
        <w:t>which can be transferred by travel times), change in consumer surplus, change in insurer profits, and the change in the sum of both parties</w:t>
      </w:r>
      <w:r w:rsidR="003E7985">
        <w:rPr>
          <w:rFonts w:ascii="Times New Roman" w:hAnsi="Times New Roman" w:cs="Times New Roman"/>
          <w:kern w:val="0"/>
          <w:sz w:val="22"/>
        </w:rPr>
        <w:t>’</w:t>
      </w:r>
      <w:r w:rsidR="005D5E49">
        <w:rPr>
          <w:rFonts w:ascii="Times New Roman" w:hAnsi="Times New Roman" w:cs="Times New Roman"/>
          <w:kern w:val="0"/>
          <w:sz w:val="22"/>
        </w:rPr>
        <w:t xml:space="preserve"> welfare</w:t>
      </w:r>
      <w:r w:rsidR="003E7985">
        <w:rPr>
          <w:rFonts w:ascii="Times New Roman" w:hAnsi="Times New Roman" w:cs="Times New Roman"/>
          <w:kern w:val="0"/>
          <w:sz w:val="22"/>
        </w:rPr>
        <w:t>.</w:t>
      </w:r>
    </w:p>
    <w:p w14:paraId="5234F261" w14:textId="1F6182BE" w:rsidR="00885C55" w:rsidRDefault="00A73ABF" w:rsidP="00384F46">
      <w:pPr>
        <w:spacing w:after="16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While the </w:t>
      </w:r>
      <w:r w:rsidR="00B9266B">
        <w:rPr>
          <w:rFonts w:ascii="Times New Roman" w:hAnsi="Times New Roman" w:cs="Times New Roman"/>
          <w:kern w:val="0"/>
          <w:sz w:val="22"/>
        </w:rPr>
        <w:t>previous part stands as a patient's risk exposure, the next step considers ex-ante utility. Here the utility model is CARA function including risk aversion r an annual probability of illness.</w:t>
      </w:r>
      <w:r>
        <w:rPr>
          <w:rFonts w:ascii="Times New Roman" w:hAnsi="Times New Roman" w:cs="Times New Roman"/>
          <w:kern w:val="0"/>
          <w:sz w:val="22"/>
        </w:rPr>
        <w:t xml:space="preserve"> The resu</w:t>
      </w:r>
      <w:r>
        <w:rPr>
          <w:rFonts w:ascii="Times New Roman" w:hAnsi="Times New Roman" w:cs="Times New Roman"/>
          <w:kern w:val="0"/>
          <w:sz w:val="22"/>
        </w:rPr>
        <w:t xml:space="preserve">lts show that the top-up design does not dominate the full coverage policy when the value of the risk aversion is higher. Then other two designs are introduced by the paper. </w:t>
      </w:r>
      <w:r w:rsidR="00860DFF">
        <w:rPr>
          <w:rFonts w:ascii="Times New Roman" w:hAnsi="Times New Roman" w:cs="Times New Roman"/>
          <w:kern w:val="0"/>
          <w:sz w:val="22"/>
        </w:rPr>
        <w:t xml:space="preserve">1) </w:t>
      </w:r>
      <w:r>
        <w:rPr>
          <w:rFonts w:ascii="Times New Roman" w:hAnsi="Times New Roman" w:cs="Times New Roman"/>
          <w:kern w:val="0"/>
          <w:sz w:val="22"/>
        </w:rPr>
        <w:t xml:space="preserve">The first one is the "first-best" policy </w:t>
      </w:r>
      <w:r w:rsidR="007C107A">
        <w:rPr>
          <w:rFonts w:ascii="Times New Roman" w:hAnsi="Times New Roman" w:cs="Times New Roman"/>
          <w:kern w:val="0"/>
          <w:sz w:val="22"/>
        </w:rPr>
        <w:t xml:space="preserve">which provides a continuum of indemnity insurance policies, leaving individuals unexposed to risk. Although the first best insurance </w:t>
      </w:r>
      <w:r w:rsidR="00860DFF">
        <w:rPr>
          <w:rFonts w:ascii="Times New Roman" w:hAnsi="Times New Roman" w:cs="Times New Roman"/>
          <w:kern w:val="0"/>
          <w:sz w:val="22"/>
        </w:rPr>
        <w:t xml:space="preserve">dominates full coverage policy in welfare, it is impractical since the market offers discrete coverage. 2) The more practical way, is to offer partial "top-up" coverage and to search for the maximum efficiency point. </w:t>
      </w:r>
    </w:p>
    <w:p w14:paraId="7AE1758E" w14:textId="4F6A1503" w:rsidR="00860DFF" w:rsidRDefault="00A73ABF" w:rsidP="00384F46">
      <w:pPr>
        <w:spacing w:after="16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T</w:t>
      </w:r>
      <w:r>
        <w:rPr>
          <w:rFonts w:ascii="Times New Roman" w:hAnsi="Times New Roman" w:cs="Times New Roman"/>
          <w:kern w:val="0"/>
          <w:sz w:val="22"/>
        </w:rPr>
        <w:t xml:space="preserve">o sum up, the paper uses the framework to quantify the welfare effect </w:t>
      </w:r>
      <w:r w:rsidR="000F68DE">
        <w:rPr>
          <w:rFonts w:ascii="Times New Roman" w:hAnsi="Times New Roman" w:cs="Times New Roman"/>
          <w:kern w:val="0"/>
          <w:sz w:val="22"/>
        </w:rPr>
        <w:t xml:space="preserve">and thus demonstrate the superiority of the top-up design. Then the author considers the ex-ante efficiency and finds that the top-up policy cannot necessarily dominate the full coverage design since the top-up policy exposes the individual to ex-ante risk while the full coverage does not. The application does not only limit to two </w:t>
      </w:r>
      <w:r w:rsidR="008C510F">
        <w:rPr>
          <w:rFonts w:ascii="Times New Roman" w:hAnsi="Times New Roman" w:cs="Times New Roman"/>
          <w:kern w:val="0"/>
          <w:sz w:val="22"/>
        </w:rPr>
        <w:t>options</w:t>
      </w:r>
      <w:r w:rsidR="000F68DE">
        <w:rPr>
          <w:rFonts w:ascii="Times New Roman" w:hAnsi="Times New Roman" w:cs="Times New Roman"/>
          <w:kern w:val="0"/>
          <w:sz w:val="22"/>
        </w:rPr>
        <w:t xml:space="preserve"> with the same benefits but can also expand to the alternative treatment that takes incremental </w:t>
      </w:r>
      <w:r w:rsidR="008C510F">
        <w:rPr>
          <w:rFonts w:ascii="Times New Roman" w:hAnsi="Times New Roman" w:cs="Times New Roman"/>
          <w:kern w:val="0"/>
          <w:sz w:val="22"/>
        </w:rPr>
        <w:t xml:space="preserve">benefit. Nevertheless, this paper assumes the two medical treatments have the same benefit but may ignore the possible benefit such as </w:t>
      </w:r>
      <w:r>
        <w:rPr>
          <w:rFonts w:ascii="Times New Roman" w:hAnsi="Times New Roman" w:cs="Times New Roman"/>
          <w:kern w:val="0"/>
          <w:sz w:val="22"/>
        </w:rPr>
        <w:t>body</w:t>
      </w:r>
      <w:r w:rsidR="008C510F">
        <w:rPr>
          <w:rFonts w:ascii="Times New Roman" w:hAnsi="Times New Roman" w:cs="Times New Roman"/>
          <w:kern w:val="0"/>
          <w:sz w:val="22"/>
        </w:rPr>
        <w:t xml:space="preserve"> integrity.</w:t>
      </w:r>
      <w:r w:rsidR="000F68DE">
        <w:rPr>
          <w:rFonts w:ascii="Times New Roman" w:hAnsi="Times New Roman" w:cs="Times New Roman"/>
          <w:kern w:val="0"/>
          <w:sz w:val="22"/>
        </w:rPr>
        <w:t xml:space="preserve"> </w:t>
      </w:r>
    </w:p>
    <w:p w14:paraId="75B48CD7" w14:textId="054DFBB0" w:rsidR="00172949" w:rsidRDefault="00A73ABF" w:rsidP="008007ED">
      <w:pPr>
        <w:widowControl/>
        <w:spacing w:line="480" w:lineRule="auto"/>
        <w:ind w:firstLine="720"/>
        <w:jc w:val="left"/>
        <w:rPr>
          <w:rFonts w:ascii="Times New Roman" w:eastAsia="等线" w:hAnsi="Times New Roman" w:cs="Times New Roman"/>
          <w:kern w:val="0"/>
          <w:szCs w:val="21"/>
        </w:rPr>
      </w:pPr>
      <w:r>
        <w:rPr>
          <w:rFonts w:ascii="Times New Roman" w:eastAsia="等线" w:hAnsi="Times New Roman" w:cs="Times New Roman"/>
          <w:kern w:val="0"/>
          <w:szCs w:val="21"/>
        </w:rPr>
        <w:t xml:space="preserve"> </w:t>
      </w:r>
    </w:p>
    <w:sectPr w:rsidR="0017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5D"/>
    <w:multiLevelType w:val="hybridMultilevel"/>
    <w:tmpl w:val="628E3B0E"/>
    <w:lvl w:ilvl="0" w:tplc="6E148D3A">
      <w:start w:val="1"/>
      <w:numFmt w:val="lowerRoman"/>
      <w:lvlText w:val="%1."/>
      <w:lvlJc w:val="right"/>
      <w:pPr>
        <w:ind w:left="1140" w:hanging="420"/>
      </w:pPr>
    </w:lvl>
    <w:lvl w:ilvl="1" w:tplc="675459BE" w:tentative="1">
      <w:start w:val="1"/>
      <w:numFmt w:val="lowerLetter"/>
      <w:lvlText w:val="%2)"/>
      <w:lvlJc w:val="left"/>
      <w:pPr>
        <w:ind w:left="1560" w:hanging="420"/>
      </w:pPr>
    </w:lvl>
    <w:lvl w:ilvl="2" w:tplc="1F58EA80" w:tentative="1">
      <w:start w:val="1"/>
      <w:numFmt w:val="lowerRoman"/>
      <w:lvlText w:val="%3."/>
      <w:lvlJc w:val="right"/>
      <w:pPr>
        <w:ind w:left="1980" w:hanging="420"/>
      </w:pPr>
    </w:lvl>
    <w:lvl w:ilvl="3" w:tplc="D1DCA072" w:tentative="1">
      <w:start w:val="1"/>
      <w:numFmt w:val="decimal"/>
      <w:lvlText w:val="%4."/>
      <w:lvlJc w:val="left"/>
      <w:pPr>
        <w:ind w:left="2400" w:hanging="420"/>
      </w:pPr>
    </w:lvl>
    <w:lvl w:ilvl="4" w:tplc="A8A2E03C" w:tentative="1">
      <w:start w:val="1"/>
      <w:numFmt w:val="lowerLetter"/>
      <w:lvlText w:val="%5)"/>
      <w:lvlJc w:val="left"/>
      <w:pPr>
        <w:ind w:left="2820" w:hanging="420"/>
      </w:pPr>
    </w:lvl>
    <w:lvl w:ilvl="5" w:tplc="F1B8B3C4" w:tentative="1">
      <w:start w:val="1"/>
      <w:numFmt w:val="lowerRoman"/>
      <w:lvlText w:val="%6."/>
      <w:lvlJc w:val="right"/>
      <w:pPr>
        <w:ind w:left="3240" w:hanging="420"/>
      </w:pPr>
    </w:lvl>
    <w:lvl w:ilvl="6" w:tplc="E14E1CE4" w:tentative="1">
      <w:start w:val="1"/>
      <w:numFmt w:val="decimal"/>
      <w:lvlText w:val="%7."/>
      <w:lvlJc w:val="left"/>
      <w:pPr>
        <w:ind w:left="3660" w:hanging="420"/>
      </w:pPr>
    </w:lvl>
    <w:lvl w:ilvl="7" w:tplc="AADADC38" w:tentative="1">
      <w:start w:val="1"/>
      <w:numFmt w:val="lowerLetter"/>
      <w:lvlText w:val="%8)"/>
      <w:lvlJc w:val="left"/>
      <w:pPr>
        <w:ind w:left="4080" w:hanging="420"/>
      </w:pPr>
    </w:lvl>
    <w:lvl w:ilvl="8" w:tplc="0E400FEC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D444A4B"/>
    <w:multiLevelType w:val="hybridMultilevel"/>
    <w:tmpl w:val="D59A0556"/>
    <w:lvl w:ilvl="0" w:tplc="5F304E6A">
      <w:start w:val="1"/>
      <w:numFmt w:val="lowerRoman"/>
      <w:lvlText w:val="%1."/>
      <w:lvlJc w:val="right"/>
      <w:pPr>
        <w:ind w:left="420" w:hanging="420"/>
      </w:pPr>
    </w:lvl>
    <w:lvl w:ilvl="1" w:tplc="8CD401FE" w:tentative="1">
      <w:start w:val="1"/>
      <w:numFmt w:val="lowerLetter"/>
      <w:lvlText w:val="%2)"/>
      <w:lvlJc w:val="left"/>
      <w:pPr>
        <w:ind w:left="840" w:hanging="420"/>
      </w:pPr>
    </w:lvl>
    <w:lvl w:ilvl="2" w:tplc="E6608E06" w:tentative="1">
      <w:start w:val="1"/>
      <w:numFmt w:val="lowerRoman"/>
      <w:lvlText w:val="%3."/>
      <w:lvlJc w:val="right"/>
      <w:pPr>
        <w:ind w:left="1260" w:hanging="420"/>
      </w:pPr>
    </w:lvl>
    <w:lvl w:ilvl="3" w:tplc="14C66480" w:tentative="1">
      <w:start w:val="1"/>
      <w:numFmt w:val="decimal"/>
      <w:lvlText w:val="%4."/>
      <w:lvlJc w:val="left"/>
      <w:pPr>
        <w:ind w:left="1680" w:hanging="420"/>
      </w:pPr>
    </w:lvl>
    <w:lvl w:ilvl="4" w:tplc="0BCE51E4" w:tentative="1">
      <w:start w:val="1"/>
      <w:numFmt w:val="lowerLetter"/>
      <w:lvlText w:val="%5)"/>
      <w:lvlJc w:val="left"/>
      <w:pPr>
        <w:ind w:left="2100" w:hanging="420"/>
      </w:pPr>
    </w:lvl>
    <w:lvl w:ilvl="5" w:tplc="FD6A638E" w:tentative="1">
      <w:start w:val="1"/>
      <w:numFmt w:val="lowerRoman"/>
      <w:lvlText w:val="%6."/>
      <w:lvlJc w:val="right"/>
      <w:pPr>
        <w:ind w:left="2520" w:hanging="420"/>
      </w:pPr>
    </w:lvl>
    <w:lvl w:ilvl="6" w:tplc="B2D2A7F8" w:tentative="1">
      <w:start w:val="1"/>
      <w:numFmt w:val="decimal"/>
      <w:lvlText w:val="%7."/>
      <w:lvlJc w:val="left"/>
      <w:pPr>
        <w:ind w:left="2940" w:hanging="420"/>
      </w:pPr>
    </w:lvl>
    <w:lvl w:ilvl="7" w:tplc="7CE02EF0" w:tentative="1">
      <w:start w:val="1"/>
      <w:numFmt w:val="lowerLetter"/>
      <w:lvlText w:val="%8)"/>
      <w:lvlJc w:val="left"/>
      <w:pPr>
        <w:ind w:left="3360" w:hanging="420"/>
      </w:pPr>
    </w:lvl>
    <w:lvl w:ilvl="8" w:tplc="244E37AA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ED"/>
    <w:rsid w:val="000148F0"/>
    <w:rsid w:val="0007619B"/>
    <w:rsid w:val="000C3FDF"/>
    <w:rsid w:val="000C4549"/>
    <w:rsid w:val="000F68DE"/>
    <w:rsid w:val="00126822"/>
    <w:rsid w:val="00172949"/>
    <w:rsid w:val="00181780"/>
    <w:rsid w:val="001A7F50"/>
    <w:rsid w:val="001D3738"/>
    <w:rsid w:val="001F765A"/>
    <w:rsid w:val="002167A4"/>
    <w:rsid w:val="00217E1A"/>
    <w:rsid w:val="002475E6"/>
    <w:rsid w:val="00277510"/>
    <w:rsid w:val="00290BAD"/>
    <w:rsid w:val="002D3B73"/>
    <w:rsid w:val="002E4484"/>
    <w:rsid w:val="002F32C4"/>
    <w:rsid w:val="002F622C"/>
    <w:rsid w:val="0031071F"/>
    <w:rsid w:val="00350CE4"/>
    <w:rsid w:val="00384F46"/>
    <w:rsid w:val="003E7985"/>
    <w:rsid w:val="003F759D"/>
    <w:rsid w:val="0042325E"/>
    <w:rsid w:val="004C3EAD"/>
    <w:rsid w:val="004E22A2"/>
    <w:rsid w:val="004E3E4D"/>
    <w:rsid w:val="004F4F32"/>
    <w:rsid w:val="004F51F9"/>
    <w:rsid w:val="00503037"/>
    <w:rsid w:val="00506CC6"/>
    <w:rsid w:val="005151BF"/>
    <w:rsid w:val="005160EF"/>
    <w:rsid w:val="00530BCE"/>
    <w:rsid w:val="00555D5C"/>
    <w:rsid w:val="00560B81"/>
    <w:rsid w:val="00566B63"/>
    <w:rsid w:val="005941F1"/>
    <w:rsid w:val="005A22E3"/>
    <w:rsid w:val="005C04F3"/>
    <w:rsid w:val="005C29FA"/>
    <w:rsid w:val="005C342E"/>
    <w:rsid w:val="005D5E49"/>
    <w:rsid w:val="00617494"/>
    <w:rsid w:val="00661203"/>
    <w:rsid w:val="0067466C"/>
    <w:rsid w:val="00684009"/>
    <w:rsid w:val="006965DB"/>
    <w:rsid w:val="006B096C"/>
    <w:rsid w:val="006E053F"/>
    <w:rsid w:val="00721EF9"/>
    <w:rsid w:val="007419C6"/>
    <w:rsid w:val="0075046D"/>
    <w:rsid w:val="00790038"/>
    <w:rsid w:val="007C107A"/>
    <w:rsid w:val="007D296B"/>
    <w:rsid w:val="007F06A0"/>
    <w:rsid w:val="007F0A69"/>
    <w:rsid w:val="008007ED"/>
    <w:rsid w:val="00860DFF"/>
    <w:rsid w:val="008830C0"/>
    <w:rsid w:val="00885C55"/>
    <w:rsid w:val="008C510F"/>
    <w:rsid w:val="00902D0F"/>
    <w:rsid w:val="009421AC"/>
    <w:rsid w:val="0094335E"/>
    <w:rsid w:val="00A73ABF"/>
    <w:rsid w:val="00A924F5"/>
    <w:rsid w:val="00AF107B"/>
    <w:rsid w:val="00B00D7F"/>
    <w:rsid w:val="00B159EB"/>
    <w:rsid w:val="00B36586"/>
    <w:rsid w:val="00B37908"/>
    <w:rsid w:val="00B9266B"/>
    <w:rsid w:val="00C14947"/>
    <w:rsid w:val="00C17C4F"/>
    <w:rsid w:val="00C3566C"/>
    <w:rsid w:val="00C52A2C"/>
    <w:rsid w:val="00C757FE"/>
    <w:rsid w:val="00C8796D"/>
    <w:rsid w:val="00C913FE"/>
    <w:rsid w:val="00C9765C"/>
    <w:rsid w:val="00CD0D04"/>
    <w:rsid w:val="00D172E8"/>
    <w:rsid w:val="00D349D9"/>
    <w:rsid w:val="00D93206"/>
    <w:rsid w:val="00DC40EC"/>
    <w:rsid w:val="00DD01CF"/>
    <w:rsid w:val="00E14E1A"/>
    <w:rsid w:val="00E25032"/>
    <w:rsid w:val="00E61EBB"/>
    <w:rsid w:val="00E84C07"/>
    <w:rsid w:val="00E84D49"/>
    <w:rsid w:val="00EB00B4"/>
    <w:rsid w:val="00EB0DD2"/>
    <w:rsid w:val="00ED6735"/>
    <w:rsid w:val="00F25DFA"/>
    <w:rsid w:val="00F3054F"/>
    <w:rsid w:val="00FA0E54"/>
    <w:rsid w:val="00FD05A1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C94A"/>
  <w15:chartTrackingRefBased/>
  <w15:docId w15:val="{8949251B-BE31-48FB-BAFD-FFFEF736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71F"/>
    <w:rPr>
      <w:sz w:val="18"/>
      <w:szCs w:val="18"/>
    </w:rPr>
  </w:style>
  <w:style w:type="paragraph" w:styleId="a7">
    <w:name w:val="List Paragraph"/>
    <w:basedOn w:val="a"/>
    <w:uiPriority w:val="34"/>
    <w:qFormat/>
    <w:rsid w:val="005C2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F3AB6-18A4-443F-8B1D-BC948F41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颖</dc:creator>
  <cp:lastModifiedBy>刘 颖</cp:lastModifiedBy>
  <cp:revision>3</cp:revision>
  <dcterms:created xsi:type="dcterms:W3CDTF">2022-02-23T22:09:00Z</dcterms:created>
  <dcterms:modified xsi:type="dcterms:W3CDTF">2022-02-24T02:51:00Z</dcterms:modified>
</cp:coreProperties>
</file>