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8457C">
      <w:pPr>
        <w:spacing w:before="1700"/>
        <w:jc w:val="center"/>
      </w:pPr>
      <w:r>
        <w:rPr>
          <w:rFonts w:ascii="Times New Roman" w:hAnsi="Times New Roman" w:eastAsia="宋体"/>
          <w:b/>
          <w:color w:val="16324F"/>
          <w:sz w:val="54"/>
        </w:rPr>
        <w:t>基于三离子通道的药物心脏毒性预测</w:t>
      </w:r>
      <w:r>
        <w:rPr>
          <w:rFonts w:ascii="Times New Roman" w:hAnsi="Times New Roman" w:eastAsia="宋体"/>
          <w:b/>
          <w:color w:val="16324F"/>
          <w:sz w:val="54"/>
        </w:rPr>
        <w:br w:type="textWrapping"/>
      </w:r>
      <w:r>
        <w:rPr>
          <w:rFonts w:ascii="Times New Roman" w:hAnsi="Times New Roman" w:eastAsia="宋体"/>
          <w:b/>
          <w:color w:val="16324F"/>
          <w:sz w:val="54"/>
        </w:rPr>
        <w:t>与分子优化 Agent 系统</w:t>
      </w:r>
    </w:p>
    <w:p w14:paraId="5437A46C">
      <w:pPr>
        <w:spacing w:after="100" w:line="300" w:lineRule="auto"/>
        <w:rPr>
          <w:rFonts w:ascii="Times New Roman" w:hAnsi="Times New Roman" w:eastAsia="宋体"/>
          <w:i w:val="0"/>
        </w:rPr>
      </w:pPr>
    </w:p>
    <w:p w14:paraId="67AE3DC6">
      <w:pPr>
        <w:spacing w:after="100" w:line="300" w:lineRule="auto"/>
        <w:rPr>
          <w:rFonts w:hint="eastAsia" w:ascii="Times New Roman" w:hAnsi="Times New Roman" w:eastAsia="宋体" w:cstheme="majorBidi"/>
          <w:b/>
          <w:bCs/>
          <w:color w:val="17212B"/>
          <w:sz w:val="36"/>
          <w:szCs w:val="28"/>
          <w:lang w:val="en-US" w:eastAsia="zh-CN" w:bidi="ar-SA"/>
        </w:rPr>
      </w:pPr>
      <w:r>
        <w:rPr>
          <w:rFonts w:hint="eastAsia" w:ascii="Times New Roman" w:hAnsi="Times New Roman" w:eastAsia="宋体" w:cstheme="majorBidi"/>
          <w:b/>
          <w:bCs/>
          <w:color w:val="17212B"/>
          <w:sz w:val="36"/>
          <w:szCs w:val="28"/>
          <w:lang w:val="en-US" w:eastAsia="zh-CN" w:bidi="ar-SA"/>
        </w:rPr>
        <w:t>背景：</w:t>
      </w:r>
    </w:p>
    <w:p w14:paraId="630FF451">
      <w:pPr>
        <w:spacing w:after="100" w:line="300" w:lineRule="auto"/>
        <w:rPr>
          <w:rFonts w:hint="eastAsia" w:ascii="Times New Roman" w:hAnsi="Times New Roman" w:eastAsia="宋体"/>
          <w:i w:val="0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近年来, 众多药物由于心脏突发死亡事件而被撤出市场 。在药物临床前研究阶段，24%的药物由于心血管毒副作用终止开发, 45%的药物由于引起心脏毒副作用而撤市。药物引起心脏毒性的主要原因为: 阻断心脏的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"https://zhida.zhihu.com/search?content_id=133291494&amp;content_type=Article&amp;match_order=1&amp;q=%E5%BF%AB%E9%80%9F%E5%BB%B6%E8%BF%9F%E6%95%B4%E6%B5%81%E7%94%B5%E6%B5%81&amp;zhida_source=entity"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13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快速延迟整流电流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 xml:space="preserve"> (IKr), 造成心脏动作电位时程中 QT 间期延长, 进而诱发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"https://zhida.zhihu.com/search?content_id=133291494&amp;content_type=Article&amp;match_order=1&amp;q=%E5%B0%96%E7%AB%AF%E6%89%AD%E8%BD%AC%E6%80%A7%E5%AE%A4%E6%80%A7%E5%BF%83%E5%8A%A8%E8%BF%87%E9%80%9F&amp;zhida_source=entity"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135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尖端扭转性室性心动过速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 xml:space="preserve"> (TdP), 严重时可引起突然死亡。</w:t>
      </w:r>
    </w:p>
    <w:p w14:paraId="5432D2D2">
      <w:pPr>
        <w:spacing w:after="100" w:line="300" w:lineRule="auto"/>
        <w:rPr>
          <w:rFonts w:ascii="Times New Roman" w:hAnsi="Times New Roman" w:eastAsia="宋体"/>
          <w:i w:val="0"/>
        </w:rPr>
      </w:pPr>
    </w:p>
    <w:p w14:paraId="6043271C">
      <w:pPr>
        <w:spacing w:after="100" w:line="300" w:lineRule="auto"/>
      </w:pPr>
      <w:r>
        <w:rPr>
          <w:rFonts w:ascii="Times New Roman" w:hAnsi="Times New Roman" w:eastAsia="宋体"/>
          <w:i w:val="0"/>
        </w:rPr>
        <w:t>课题前期把 hERG 作为心脏毒性筛查终点。hERG 介导心室复极相关的 IKr 电流，药物阻滞后可能造成复极延迟、QT 间期延长，并增加 TdP 风险。</w:t>
      </w:r>
    </w:p>
    <w:p w14:paraId="1BDC39A0">
      <w:pPr>
        <w:spacing w:after="60"/>
        <w:jc w:val="center"/>
      </w:pPr>
      <w:r>
        <w:drawing>
          <wp:inline distT="0" distB="0" distL="114300" distR="114300">
            <wp:extent cx="5939790" cy="2969895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92A9">
      <w:pPr>
        <w:pStyle w:val="16"/>
        <w:spacing w:after="80" w:line="283" w:lineRule="auto"/>
      </w:pPr>
      <w:r>
        <w:rPr>
          <w:rFonts w:ascii="Times New Roman" w:hAnsi="Times New Roman" w:eastAsia="宋体"/>
        </w:rPr>
        <w:t>指纹分支：Morgan 2048 位与 MACCS 167 位，表示分子子结构模式。</w:t>
      </w:r>
    </w:p>
    <w:p w14:paraId="7F54D85D">
      <w:pPr>
        <w:pStyle w:val="16"/>
        <w:spacing w:after="80" w:line="283" w:lineRule="auto"/>
      </w:pPr>
      <w:r>
        <w:rPr>
          <w:rFonts w:ascii="Times New Roman" w:hAnsi="Times New Roman" w:eastAsia="宋体"/>
        </w:rPr>
        <w:t>描述符分支：RDKit 理化描述符经清洗和筛选后保留 173 维。</w:t>
      </w:r>
    </w:p>
    <w:p w14:paraId="76E21F05">
      <w:pPr>
        <w:pStyle w:val="16"/>
        <w:spacing w:after="80" w:line="283" w:lineRule="auto"/>
      </w:pPr>
      <w:r>
        <w:rPr>
          <w:rFonts w:ascii="Times New Roman" w:hAnsi="Times New Roman" w:eastAsia="宋体"/>
        </w:rPr>
        <w:t>三个分支融合后输出 hERG 阻滞概率</w:t>
      </w:r>
    </w:p>
    <w:p w14:paraId="0C76E6E1">
      <w:r>
        <w:rPr>
          <w:rFonts w:ascii="Times New Roman" w:hAnsi="Times New Roman" w:eastAsia="宋体"/>
        </w:rPr>
        <w:t>模型结果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13B9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48EC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1"/>
              </w:rPr>
              <w:t>项目</w:t>
            </w:r>
          </w:p>
        </w:tc>
        <w:tc>
          <w:tcPr>
            <w:tcW w:w="5556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A979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1"/>
              </w:rPr>
              <w:t>结果</w:t>
            </w:r>
          </w:p>
        </w:tc>
      </w:tr>
      <w:tr w14:paraId="1C2D4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E400E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清洗后分子数</w:t>
            </w:r>
          </w:p>
        </w:tc>
        <w:tc>
          <w:tcPr>
            <w:tcW w:w="55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5CD1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12,445</w:t>
            </w:r>
          </w:p>
        </w:tc>
      </w:tr>
      <w:tr w14:paraId="51E8B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D29B92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阴性 / 阳性</w:t>
            </w:r>
          </w:p>
        </w:tc>
        <w:tc>
          <w:tcPr>
            <w:tcW w:w="5556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ACDB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5,879 / 6,566</w:t>
            </w:r>
          </w:p>
        </w:tc>
      </w:tr>
      <w:tr w14:paraId="7E355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B6B0B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训练集 / 验证集</w:t>
            </w:r>
          </w:p>
        </w:tc>
        <w:tc>
          <w:tcPr>
            <w:tcW w:w="55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F433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9,956 / 2,489</w:t>
            </w:r>
          </w:p>
        </w:tc>
      </w:tr>
      <w:tr w14:paraId="0EEEC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5C60B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数据划分</w:t>
            </w:r>
          </w:p>
        </w:tc>
        <w:tc>
          <w:tcPr>
            <w:tcW w:w="5556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756E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随机种子 42，分层 80/20</w:t>
            </w:r>
          </w:p>
        </w:tc>
      </w:tr>
    </w:tbl>
    <w:p w14:paraId="58CA9A41">
      <w:pPr>
        <w:spacing w:after="60"/>
        <w:jc w:val="center"/>
      </w:pPr>
      <w:r>
        <w:drawing>
          <wp:inline distT="0" distB="0" distL="114300" distR="114300">
            <wp:extent cx="6259195" cy="2541270"/>
            <wp:effectExtent l="0" t="0" r="4445" b="381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919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644"/>
        <w:gridCol w:w="1644"/>
        <w:gridCol w:w="1644"/>
        <w:gridCol w:w="1644"/>
        <w:gridCol w:w="1644"/>
      </w:tblGrid>
      <w:tr w14:paraId="22604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91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436F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1"/>
              </w:rPr>
              <w:t>ROC-AUC</w:t>
            </w:r>
          </w:p>
        </w:tc>
        <w:tc>
          <w:tcPr>
            <w:tcW w:w="1491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94D9D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1"/>
              </w:rPr>
              <w:t>PR-AUC</w:t>
            </w:r>
          </w:p>
        </w:tc>
        <w:tc>
          <w:tcPr>
            <w:tcW w:w="1491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58A1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1"/>
              </w:rPr>
              <w:t>Accuracy</w:t>
            </w:r>
          </w:p>
        </w:tc>
        <w:tc>
          <w:tcPr>
            <w:tcW w:w="1491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825B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1"/>
              </w:rPr>
              <w:t>F1</w:t>
            </w:r>
          </w:p>
        </w:tc>
        <w:tc>
          <w:tcPr>
            <w:tcW w:w="1491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007F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1"/>
              </w:rPr>
              <w:t>Precision</w:t>
            </w:r>
          </w:p>
        </w:tc>
        <w:tc>
          <w:tcPr>
            <w:tcW w:w="1491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D7FE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1"/>
              </w:rPr>
              <w:t>Recall</w:t>
            </w:r>
          </w:p>
        </w:tc>
      </w:tr>
      <w:tr w14:paraId="1B40E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AD896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0.911</w:t>
            </w:r>
          </w:p>
        </w:tc>
        <w:tc>
          <w:tcPr>
            <w:tcW w:w="14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07FF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0.916</w:t>
            </w:r>
          </w:p>
        </w:tc>
        <w:tc>
          <w:tcPr>
            <w:tcW w:w="14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000B6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0.839</w:t>
            </w:r>
          </w:p>
        </w:tc>
        <w:tc>
          <w:tcPr>
            <w:tcW w:w="14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BDF6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0.843</w:t>
            </w:r>
          </w:p>
        </w:tc>
        <w:tc>
          <w:tcPr>
            <w:tcW w:w="14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81CF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0.867</w:t>
            </w:r>
          </w:p>
        </w:tc>
        <w:tc>
          <w:tcPr>
            <w:tcW w:w="149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766F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0.821</w:t>
            </w:r>
          </w:p>
        </w:tc>
      </w:tr>
    </w:tbl>
    <w:p w14:paraId="50E8FAD7">
      <w:pPr>
        <w:spacing w:after="100" w:line="300" w:lineRule="auto"/>
        <w:rPr>
          <w:rFonts w:hint="eastAsia" w:ascii="Times New Roman" w:hAnsi="Times New Roman" w:eastAsia="宋体" w:cstheme="majorBidi"/>
          <w:b/>
          <w:bCs/>
          <w:color w:val="17212B"/>
          <w:sz w:val="36"/>
          <w:szCs w:val="28"/>
          <w:lang w:val="en-US" w:eastAsia="zh-CN" w:bidi="ar-SA"/>
        </w:rPr>
      </w:pPr>
    </w:p>
    <w:p w14:paraId="6F5EDE13">
      <w:pPr>
        <w:spacing w:after="100" w:line="300" w:lineRule="auto"/>
        <w:rPr>
          <w:rFonts w:hint="eastAsia" w:ascii="Times New Roman" w:hAnsi="Times New Roman" w:eastAsia="宋体" w:cstheme="majorBidi"/>
          <w:b/>
          <w:bCs/>
          <w:color w:val="17212B"/>
          <w:sz w:val="36"/>
          <w:szCs w:val="28"/>
          <w:lang w:val="en-US" w:eastAsia="zh-CN" w:bidi="ar-SA"/>
        </w:rPr>
      </w:pPr>
    </w:p>
    <w:p w14:paraId="2D4F0958">
      <w:pPr>
        <w:spacing w:after="100" w:line="300" w:lineRule="auto"/>
        <w:rPr>
          <w:rFonts w:hint="eastAsia" w:ascii="Times New Roman" w:hAnsi="Times New Roman" w:eastAsia="宋体" w:cstheme="majorBidi"/>
          <w:b/>
          <w:bCs/>
          <w:color w:val="17212B"/>
          <w:sz w:val="36"/>
          <w:szCs w:val="28"/>
          <w:lang w:val="en-US" w:eastAsia="zh-CN" w:bidi="ar-SA"/>
        </w:rPr>
      </w:pPr>
      <w:r>
        <w:rPr>
          <w:rFonts w:hint="eastAsia" w:ascii="Times New Roman" w:hAnsi="Times New Roman" w:eastAsia="宋体" w:cstheme="majorBidi"/>
          <w:b/>
          <w:bCs/>
          <w:color w:val="17212B"/>
          <w:sz w:val="36"/>
          <w:szCs w:val="28"/>
          <w:lang w:val="en-US" w:eastAsia="zh-CN" w:bidi="ar-SA"/>
        </w:rPr>
        <w:t>单 hERG 模型留下的问题</w:t>
      </w:r>
    </w:p>
    <w:p w14:paraId="0AB2779D">
      <w:pPr>
        <w:pStyle w:val="16"/>
        <w:spacing w:after="80" w:line="283" w:lineRule="auto"/>
      </w:pPr>
      <w:r>
        <w:rPr>
          <w:rFonts w:ascii="Times New Roman" w:hAnsi="Times New Roman" w:eastAsia="宋体"/>
        </w:rPr>
        <w:t>输出只有 hERG 二分类，不能描述药物对其他心脏离子通道的作用。</w:t>
      </w:r>
    </w:p>
    <w:p w14:paraId="71F55A54">
      <w:pPr>
        <w:pStyle w:val="16"/>
        <w:spacing w:after="80" w:line="283" w:lineRule="auto"/>
      </w:pPr>
      <w:r>
        <w:rPr>
          <w:rFonts w:ascii="Times New Roman" w:hAnsi="Times New Roman" w:eastAsia="宋体"/>
        </w:rPr>
        <w:t>hERG 阳性是危险信号，但不等于一定延长 QT，更不等于一定发生 TdP。</w:t>
      </w:r>
    </w:p>
    <w:p w14:paraId="50C4D1B4">
      <w:pPr>
        <w:pStyle w:val="16"/>
        <w:spacing w:after="80" w:line="283" w:lineRule="auto"/>
      </w:pPr>
      <w:r>
        <w:rPr>
          <w:rFonts w:ascii="Times New Roman" w:hAnsi="Times New Roman" w:eastAsia="宋体"/>
        </w:rPr>
        <w:t>部分药物同时阻滞 Cav1.2 等内向电流，可能减弱单纯 hERG 阻滞造成的复极延迟。</w:t>
      </w:r>
    </w:p>
    <w:p w14:paraId="3FE199E3">
      <w:pPr>
        <w:pStyle w:val="16"/>
        <w:spacing w:after="80" w:line="283" w:lineRule="auto"/>
      </w:pPr>
      <w:r>
        <w:rPr>
          <w:rFonts w:ascii="Times New Roman" w:hAnsi="Times New Roman" w:eastAsia="宋体"/>
        </w:rPr>
        <w:t>单 hERG 模型无法评估 Nav1.5 阻滞所对应的传导减慢和 QRS 延长风险。</w:t>
      </w:r>
    </w:p>
    <w:p w14:paraId="31CC8C2C">
      <w:pPr>
        <w:pStyle w:val="3"/>
        <w:spacing w:before="0" w:after="60"/>
        <w:rPr>
          <w:rFonts w:ascii="Times New Roman" w:hAnsi="Times New Roman" w:eastAsia="宋体"/>
        </w:rPr>
      </w:pPr>
    </w:p>
    <w:p w14:paraId="4E4A9AE7">
      <w:pPr>
        <w:pStyle w:val="3"/>
        <w:spacing w:before="0" w:after="60"/>
        <w:rPr>
          <w:rFonts w:ascii="Times New Roman" w:hAnsi="Times New Roman" w:eastAsia="宋体"/>
        </w:rPr>
      </w:pPr>
    </w:p>
    <w:p w14:paraId="3B7A9370">
      <w:pPr>
        <w:pStyle w:val="3"/>
        <w:spacing w:before="0" w:after="60"/>
        <w:rPr>
          <w:rFonts w:ascii="Times New Roman" w:hAnsi="Times New Roman" w:eastAsia="宋体"/>
        </w:rPr>
      </w:pPr>
    </w:p>
    <w:p w14:paraId="2D5DA1C6">
      <w:pPr>
        <w:pStyle w:val="3"/>
        <w:spacing w:before="0" w:after="60"/>
        <w:rPr>
          <w:rFonts w:ascii="Times New Roman" w:hAnsi="Times New Roman" w:eastAsia="宋体"/>
        </w:rPr>
      </w:pPr>
    </w:p>
    <w:p w14:paraId="087ABB74">
      <w:pPr>
        <w:pStyle w:val="3"/>
        <w:spacing w:before="0" w:after="60"/>
      </w:pPr>
      <w:r>
        <w:rPr>
          <w:rFonts w:ascii="Times New Roman" w:hAnsi="Times New Roman" w:eastAsia="宋体"/>
        </w:rPr>
        <w:t>扩展到三个通道</w:t>
      </w:r>
    </w:p>
    <w:p w14:paraId="0E9BF828">
      <w:pPr>
        <w:spacing w:after="60"/>
        <w:jc w:val="center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1A336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47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AA8A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0"/>
              </w:rPr>
              <w:t>通道</w:t>
            </w:r>
          </w:p>
        </w:tc>
        <w:tc>
          <w:tcPr>
            <w:tcW w:w="2268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7C8D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0"/>
              </w:rPr>
              <w:t>主要作用</w:t>
            </w:r>
          </w:p>
        </w:tc>
        <w:tc>
          <w:tcPr>
            <w:tcW w:w="2494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594A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0"/>
              </w:rPr>
              <w:t>阻滞后关注什么</w:t>
            </w:r>
          </w:p>
        </w:tc>
        <w:tc>
          <w:tcPr>
            <w:tcW w:w="2948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8C25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0"/>
              </w:rPr>
              <w:t>用法</w:t>
            </w:r>
          </w:p>
        </w:tc>
      </w:tr>
      <w:tr w14:paraId="45E13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78527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hERG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A6D8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帮助心室复极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96D1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QT 延长、TdP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9AB8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与 Cav1.2 共同评估复极风险</w:t>
            </w:r>
          </w:p>
        </w:tc>
      </w:tr>
      <w:tr w14:paraId="6DBC7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86F18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Cav1.2</w:t>
            </w:r>
          </w:p>
        </w:tc>
        <w:tc>
          <w:tcPr>
            <w:tcW w:w="2268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1976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维持动作电位平台期</w:t>
            </w:r>
          </w:p>
        </w:tc>
        <w:tc>
          <w:tcPr>
            <w:tcW w:w="2494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AF63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改变平台期和钙内流</w:t>
            </w:r>
          </w:p>
        </w:tc>
        <w:tc>
          <w:tcPr>
            <w:tcW w:w="2948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1364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修正只看 hERG 产生的误判</w:t>
            </w:r>
          </w:p>
        </w:tc>
      </w:tr>
      <w:tr w14:paraId="70FB7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C0EC1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Nav1.5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023A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快速去极化和传导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5E66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传导减慢、QRS 延长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4EF1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作为分子改造的不恶化约束</w:t>
            </w:r>
          </w:p>
        </w:tc>
      </w:tr>
    </w:tbl>
    <w:p w14:paraId="2E15FA26">
      <w:pPr>
        <w:spacing w:after="120" w:line="300" w:lineRule="auto"/>
        <w:ind w:left="198"/>
        <w:rPr>
          <w:rFonts w:ascii="Times New Roman" w:hAnsi="Times New Roman" w:eastAsia="宋体"/>
          <w:sz w:val="24"/>
        </w:rPr>
      </w:pPr>
    </w:p>
    <w:p w14:paraId="3F980CB1">
      <w:pPr>
        <w:pStyle w:val="3"/>
        <w:spacing w:before="0" w:after="60"/>
      </w:pPr>
      <w:r>
        <w:rPr>
          <w:rFonts w:ascii="Times New Roman" w:hAnsi="Times New Roman" w:eastAsia="宋体"/>
        </w:rPr>
        <w:t>MICE Model 5 的作用</w:t>
      </w:r>
    </w:p>
    <w:p w14:paraId="672FA300">
      <w:pPr>
        <w:spacing w:after="200"/>
      </w:pPr>
      <w:r>
        <w:rPr>
          <w:rFonts w:ascii="Times New Roman" w:hAnsi="Times New Roman" w:eastAsia="宋体"/>
          <w:color w:val="5B6570"/>
          <w:sz w:val="22"/>
        </w:rPr>
        <w:t>用 hERG 与 Cav1.2 的相对阻滞效力减少单 hERG 误判</w:t>
      </w:r>
    </w:p>
    <w:p w14:paraId="5FA7A14D">
      <w:pPr>
        <w:spacing w:after="100" w:line="300" w:lineRule="auto"/>
      </w:pPr>
      <w:r>
        <w:rPr>
          <w:rFonts w:ascii="Times New Roman" w:hAnsi="Times New Roman" w:eastAsia="宋体"/>
          <w:i w:val="0"/>
        </w:rPr>
        <w:t>Kramer 等测定了 55 个药物对 hERG、Cav1.2 和 Nav1.5 的 IC50，并建立多组 Logistic 回归模型。结果显示，表现最好的 Model 5 主要依赖 hERG 与 Cav1.2 的相对阻滞效力，而 Nav1.5 没有进入最终公式。</w:t>
      </w:r>
    </w:p>
    <w:p w14:paraId="1B006D7B">
      <w:pPr>
        <w:spacing w:after="60"/>
        <w:jc w:val="center"/>
      </w:pPr>
      <w:r>
        <w:drawing>
          <wp:inline distT="0" distB="0" distL="114300" distR="114300">
            <wp:extent cx="6258560" cy="2623185"/>
            <wp:effectExtent l="0" t="0" r="5080" b="13335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856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BF8E0">
      <w:pPr>
        <w:spacing w:after="120" w:line="300" w:lineRule="auto"/>
      </w:pPr>
      <w:r>
        <w:rPr>
          <w:rFonts w:ascii="Times New Roman" w:hAnsi="Times New Roman" w:eastAsia="宋体"/>
          <w:sz w:val="24"/>
        </w:rPr>
        <w:t>MICE Model 5 是使用通道 IC50 的下游风险模型，不是从 SMILES 直接预测毒性的模型。用 QSAR 预测 IC50，再将预测值交给 MICE 进行初步风险分流。</w:t>
      </w:r>
    </w:p>
    <w:p w14:paraId="76CFBD33">
      <w:r>
        <w:br w:type="page"/>
      </w:r>
    </w:p>
    <w:p w14:paraId="61AEC081">
      <w:pPr>
        <w:spacing w:after="60"/>
        <w:jc w:val="center"/>
      </w:pPr>
      <w:r>
        <w:drawing>
          <wp:inline distT="0" distB="0" distL="114300" distR="114300">
            <wp:extent cx="5939790" cy="2969895"/>
            <wp:effectExtent l="0" t="0" r="381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6AC0">
      <w:pPr>
        <w:spacing w:after="120"/>
        <w:jc w:val="center"/>
      </w:pPr>
      <w:r>
        <w:rPr>
          <w:rFonts w:ascii="Times New Roman" w:hAnsi="Times New Roman" w:eastAsia="宋体"/>
          <w:i/>
          <w:color w:val="5B6570"/>
          <w:sz w:val="21"/>
        </w:rPr>
        <w:t>图 6  当前三通道特征、模型及统一输出接口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</w:tblGrid>
      <w:tr w14:paraId="622F9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66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8D3A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0"/>
              </w:rPr>
              <w:t>通道</w:t>
            </w:r>
          </w:p>
        </w:tc>
        <w:tc>
          <w:tcPr>
            <w:tcW w:w="2466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89E0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0"/>
              </w:rPr>
              <w:t>样本量</w:t>
            </w:r>
          </w:p>
        </w:tc>
        <w:tc>
          <w:tcPr>
            <w:tcW w:w="2466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5CD9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0"/>
              </w:rPr>
              <w:t>阻滞剂 / 非阻滞剂</w:t>
            </w:r>
          </w:p>
        </w:tc>
      </w:tr>
      <w:tr w14:paraId="700AD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9FDC0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hERG</w:t>
            </w:r>
          </w:p>
        </w:tc>
        <w:tc>
          <w:tcPr>
            <w:tcW w:w="24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F8F8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9,628</w:t>
            </w:r>
          </w:p>
        </w:tc>
        <w:tc>
          <w:tcPr>
            <w:tcW w:w="24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BB4C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6,509 / 3,119</w:t>
            </w:r>
          </w:p>
        </w:tc>
      </w:tr>
      <w:tr w14:paraId="1BD81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3176B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Cav1.2</w:t>
            </w:r>
          </w:p>
        </w:tc>
        <w:tc>
          <w:tcPr>
            <w:tcW w:w="2466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B3CC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1,139</w:t>
            </w:r>
          </w:p>
        </w:tc>
        <w:tc>
          <w:tcPr>
            <w:tcW w:w="2466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41FE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699 / 440</w:t>
            </w:r>
          </w:p>
        </w:tc>
      </w:tr>
      <w:tr w14:paraId="226C5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349C5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Nav1.5</w:t>
            </w:r>
          </w:p>
        </w:tc>
        <w:tc>
          <w:tcPr>
            <w:tcW w:w="24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35A3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4,585</w:t>
            </w:r>
          </w:p>
        </w:tc>
        <w:tc>
          <w:tcPr>
            <w:tcW w:w="24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3D2E2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2,950 / 1,635</w:t>
            </w:r>
          </w:p>
        </w:tc>
      </w:tr>
    </w:tbl>
    <w:p w14:paraId="6FCE0A65">
      <w:pPr>
        <w:spacing w:after="100" w:line="300" w:lineRule="auto"/>
      </w:pPr>
      <w:r>
        <w:rPr>
          <w:rFonts w:ascii="Times New Roman" w:hAnsi="Times New Roman" w:eastAsia="宋体"/>
          <w:i w:val="0"/>
        </w:rPr>
        <w:t>三个通道均使用 Morgan（2048 位）+ MACCS（167 位）+ 18 项 RDKit 理化描述符，共 2233 维。每个通道分别训练 XGBoost 分类和回归模型，统一输出阻滞概率、pIC50 和 IC50（μM）。</w:t>
      </w:r>
    </w:p>
    <w:p w14:paraId="7F29F85F">
      <w:pPr>
        <w:pStyle w:val="3"/>
        <w:spacing w:before="0" w:after="60"/>
        <w:rPr>
          <w:rFonts w:ascii="Times New Roman" w:hAnsi="Times New Roman" w:eastAsia="宋体"/>
          <w:lang w:val="en-US" w:eastAsia="en-US"/>
        </w:rPr>
      </w:pPr>
      <w:r>
        <w:rPr>
          <w:rFonts w:ascii="Times New Roman" w:hAnsi="Times New Roman" w:eastAsia="宋体"/>
        </w:rPr>
        <w:t>模</w:t>
      </w:r>
      <w:r>
        <w:rPr>
          <w:rFonts w:ascii="Times New Roman" w:hAnsi="Times New Roman" w:eastAsia="宋体"/>
          <w:lang w:val="en-US" w:eastAsia="en-US"/>
        </w:rPr>
        <w:t>型结果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644"/>
        <w:gridCol w:w="1644"/>
        <w:gridCol w:w="1644"/>
        <w:gridCol w:w="1644"/>
        <w:gridCol w:w="1644"/>
      </w:tblGrid>
      <w:tr w14:paraId="62B99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091A0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1"/>
              </w:rPr>
              <w:t>通道</w:t>
            </w:r>
          </w:p>
        </w:tc>
        <w:tc>
          <w:tcPr>
            <w:tcW w:w="1587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7097F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1"/>
              </w:rPr>
              <w:t>样本量</w:t>
            </w:r>
          </w:p>
        </w:tc>
        <w:tc>
          <w:tcPr>
            <w:tcW w:w="1531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BED0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1"/>
              </w:rPr>
              <w:t>ROC-AUC</w:t>
            </w:r>
          </w:p>
        </w:tc>
        <w:tc>
          <w:tcPr>
            <w:tcW w:w="1417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88AC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1"/>
              </w:rPr>
              <w:t>R²</w:t>
            </w:r>
          </w:p>
        </w:tc>
        <w:tc>
          <w:tcPr>
            <w:tcW w:w="1474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A328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1"/>
              </w:rPr>
              <w:t>RMSE</w:t>
            </w:r>
          </w:p>
        </w:tc>
        <w:tc>
          <w:tcPr>
            <w:tcW w:w="1531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29AA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1"/>
              </w:rPr>
              <w:t>MAE</w:t>
            </w:r>
          </w:p>
        </w:tc>
      </w:tr>
      <w:tr w14:paraId="1E2D8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E9393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hERG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1EBF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9,628</w:t>
            </w:r>
          </w:p>
        </w:tc>
        <w:tc>
          <w:tcPr>
            <w:tcW w:w="153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3EDB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0.828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E4A9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0.564</w:t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9B0B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0.566</w:t>
            </w:r>
          </w:p>
        </w:tc>
        <w:tc>
          <w:tcPr>
            <w:tcW w:w="153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1810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0.417</w:t>
            </w:r>
          </w:p>
        </w:tc>
      </w:tr>
      <w:tr w14:paraId="51F60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7E43F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Cav1.2</w:t>
            </w:r>
          </w:p>
        </w:tc>
        <w:tc>
          <w:tcPr>
            <w:tcW w:w="1587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A65B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1,139</w:t>
            </w:r>
          </w:p>
        </w:tc>
        <w:tc>
          <w:tcPr>
            <w:tcW w:w="1531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5795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0.954</w:t>
            </w:r>
          </w:p>
        </w:tc>
        <w:tc>
          <w:tcPr>
            <w:tcW w:w="1417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18E2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0.902</w:t>
            </w:r>
          </w:p>
        </w:tc>
        <w:tc>
          <w:tcPr>
            <w:tcW w:w="1474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D471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0.460</w:t>
            </w:r>
          </w:p>
        </w:tc>
        <w:tc>
          <w:tcPr>
            <w:tcW w:w="1531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50BD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0.306</w:t>
            </w:r>
          </w:p>
        </w:tc>
      </w:tr>
      <w:tr w14:paraId="10C83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42A43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Nav1.5</w:t>
            </w:r>
          </w:p>
        </w:tc>
        <w:tc>
          <w:tcPr>
            <w:tcW w:w="15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358D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4,585</w:t>
            </w:r>
          </w:p>
        </w:tc>
        <w:tc>
          <w:tcPr>
            <w:tcW w:w="153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3FD3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0.953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A709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0.880</w:t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87CC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0.368</w:t>
            </w:r>
          </w:p>
        </w:tc>
        <w:tc>
          <w:tcPr>
            <w:tcW w:w="153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C2CA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0.243</w:t>
            </w:r>
          </w:p>
        </w:tc>
      </w:tr>
    </w:tbl>
    <w:p w14:paraId="5BDAB9C5"/>
    <w:p w14:paraId="547E283A">
      <w:pPr>
        <w:pStyle w:val="3"/>
        <w:spacing w:before="0" w:after="60"/>
      </w:pPr>
      <w:r>
        <w:rPr>
          <w:rFonts w:ascii="Times New Roman" w:hAnsi="Times New Roman" w:eastAsia="宋体"/>
        </w:rPr>
        <w:t>Agent 工作流</w:t>
      </w:r>
    </w:p>
    <w:p w14:paraId="59A8E07B">
      <w:pPr>
        <w:spacing w:after="60"/>
        <w:jc w:val="center"/>
      </w:pPr>
      <w:r>
        <w:drawing>
          <wp:inline distT="0" distB="0" distL="114300" distR="114300">
            <wp:extent cx="5939790" cy="2969895"/>
            <wp:effectExtent l="0" t="0" r="381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42651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79B9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0"/>
              </w:rPr>
              <w:t>节点</w:t>
            </w:r>
          </w:p>
        </w:tc>
        <w:tc>
          <w:tcPr>
            <w:tcW w:w="4139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7855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0"/>
              </w:rPr>
              <w:t>当前职责</w:t>
            </w:r>
          </w:p>
        </w:tc>
        <w:tc>
          <w:tcPr>
            <w:tcW w:w="3231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BCE6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0"/>
              </w:rPr>
              <w:t>主要输出</w:t>
            </w:r>
          </w:p>
        </w:tc>
      </w:tr>
      <w:tr w14:paraId="0D059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0FF9C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预测</w:t>
            </w:r>
          </w:p>
        </w:tc>
        <w:tc>
          <w:tcPr>
            <w:tcW w:w="413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5DEE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调用本地三通道模型和 MICE 规则</w:t>
            </w:r>
          </w:p>
        </w:tc>
        <w:tc>
          <w:tcPr>
            <w:tcW w:w="323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DC04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三通道结果与初步风险等级</w:t>
            </w:r>
          </w:p>
        </w:tc>
      </w:tr>
      <w:tr w14:paraId="01A25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984DC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改造</w:t>
            </w:r>
          </w:p>
        </w:tc>
        <w:tc>
          <w:tcPr>
            <w:tcW w:w="4139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FD33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GPT-5.6-sol 根据约束提出候选</w:t>
            </w:r>
          </w:p>
        </w:tc>
        <w:tc>
          <w:tcPr>
            <w:tcW w:w="3231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4F2B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候选 SMILES 和改造理由</w:t>
            </w:r>
          </w:p>
        </w:tc>
      </w:tr>
      <w:tr w14:paraId="04494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C5FFF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复评</w:t>
            </w:r>
          </w:p>
        </w:tc>
        <w:tc>
          <w:tcPr>
            <w:tcW w:w="413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174E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对候选再次执行三通道预测</w:t>
            </w:r>
          </w:p>
        </w:tc>
        <w:tc>
          <w:tcPr>
            <w:tcW w:w="323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3C59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更新后的 IC50 和风险</w:t>
            </w:r>
          </w:p>
        </w:tc>
      </w:tr>
      <w:tr w14:paraId="74F78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E95DF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复审</w:t>
            </w:r>
          </w:p>
        </w:tc>
        <w:tc>
          <w:tcPr>
            <w:tcW w:w="4139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0CFF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执行多目标规则</w:t>
            </w:r>
          </w:p>
        </w:tc>
        <w:tc>
          <w:tcPr>
            <w:tcW w:w="3231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E5E0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19"/>
              </w:rPr>
              <w:t>通过、继续优化或达到轮次上限</w:t>
            </w:r>
          </w:p>
        </w:tc>
      </w:tr>
    </w:tbl>
    <w:p w14:paraId="6CE4B515"/>
    <w:p w14:paraId="42EAE870"/>
    <w:p w14:paraId="43B0BD80">
      <w:bookmarkStart w:id="0" w:name="_GoBack"/>
      <w:r>
        <w:drawing>
          <wp:inline distT="0" distB="0" distL="114300" distR="114300">
            <wp:extent cx="5617845" cy="2589530"/>
            <wp:effectExtent l="0" t="0" r="571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784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24E784C"/>
    <w:p w14:paraId="4F60C885">
      <w:r>
        <w:drawing>
          <wp:inline distT="0" distB="0" distL="114300" distR="114300">
            <wp:extent cx="5353050" cy="3211195"/>
            <wp:effectExtent l="0" t="0" r="1143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24652">
      <w:r>
        <w:drawing>
          <wp:inline distT="0" distB="0" distL="114300" distR="114300">
            <wp:extent cx="5373370" cy="2861945"/>
            <wp:effectExtent l="0" t="0" r="6350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337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3753E">
      <w:r>
        <w:drawing>
          <wp:inline distT="0" distB="0" distL="114300" distR="114300">
            <wp:extent cx="5355590" cy="2872105"/>
            <wp:effectExtent l="0" t="0" r="8890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9EA41"/>
    <w:p w14:paraId="63429193"/>
    <w:p w14:paraId="450305E4"/>
    <w:p w14:paraId="037E01F1">
      <w:pPr>
        <w:pStyle w:val="3"/>
        <w:spacing w:before="0" w:after="60"/>
      </w:pPr>
      <w:r>
        <w:rPr>
          <w:rFonts w:ascii="Times New Roman" w:hAnsi="Times New Roman" w:eastAsia="宋体"/>
        </w:rPr>
        <w:t>多目标复审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59800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64753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1"/>
              </w:rPr>
              <w:t>目标</w:t>
            </w:r>
          </w:p>
        </w:tc>
        <w:tc>
          <w:tcPr>
            <w:tcW w:w="3458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E8B6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1"/>
              </w:rPr>
              <w:t>当前规则</w:t>
            </w:r>
          </w:p>
        </w:tc>
        <w:tc>
          <w:tcPr>
            <w:tcW w:w="3742" w:type="dxa"/>
            <w:shd w:val="clear" w:color="auto" w:fill="D9E1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125D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17212B"/>
                <w:sz w:val="21"/>
              </w:rPr>
              <w:t>说明</w:t>
            </w:r>
          </w:p>
        </w:tc>
      </w:tr>
      <w:tr w14:paraId="4D3C9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A521F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复极/TdP 风险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2146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RiskD 分级为 low</w:t>
            </w:r>
          </w:p>
        </w:tc>
        <w:tc>
          <w:tcPr>
            <w:tcW w:w="374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C571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基于 hERG 与 Cav1.2 的相对效力</w:t>
            </w:r>
          </w:p>
        </w:tc>
      </w:tr>
      <w:tr w14:paraId="6C129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6E98F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hERG</w:t>
            </w:r>
          </w:p>
        </w:tc>
        <w:tc>
          <w:tcPr>
            <w:tcW w:w="3458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BFF7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候选 IC50 高于原分子</w:t>
            </w:r>
          </w:p>
        </w:tc>
        <w:tc>
          <w:tcPr>
            <w:tcW w:w="3742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C018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降低 hERG 阻滞倾向</w:t>
            </w:r>
          </w:p>
        </w:tc>
      </w:tr>
      <w:tr w14:paraId="2AEC7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AC165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Nav1.5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FFC93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候选 IC50 不低于原分子</w:t>
            </w:r>
          </w:p>
        </w:tc>
        <w:tc>
          <w:tcPr>
            <w:tcW w:w="374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907B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避免新增传导和 QRS 风险</w:t>
            </w:r>
          </w:p>
        </w:tc>
      </w:tr>
      <w:tr w14:paraId="45353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C8CA2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类药性</w:t>
            </w:r>
          </w:p>
        </w:tc>
        <w:tc>
          <w:tcPr>
            <w:tcW w:w="3458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59EB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QED ≥ 0.40；Lipinski 违例 ≤ 1</w:t>
            </w:r>
          </w:p>
        </w:tc>
        <w:tc>
          <w:tcPr>
            <w:tcW w:w="3742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7C45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保持基本成药性</w:t>
            </w:r>
          </w:p>
        </w:tc>
      </w:tr>
      <w:tr w14:paraId="6A132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353CD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结构相似性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BCBB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Morgan-Tanimoto ≥ 0.40</w:t>
            </w:r>
          </w:p>
        </w:tc>
        <w:tc>
          <w:tcPr>
            <w:tcW w:w="374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C89A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只是活性保持代理，不是真实活性预测</w:t>
            </w:r>
          </w:p>
        </w:tc>
      </w:tr>
      <w:tr w14:paraId="303D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6E831">
            <w:pPr>
              <w:spacing w:after="0"/>
              <w:jc w:val="left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合成可行性</w:t>
            </w:r>
          </w:p>
        </w:tc>
        <w:tc>
          <w:tcPr>
            <w:tcW w:w="3458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41E9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SA Score &lt; 7</w:t>
            </w:r>
          </w:p>
        </w:tc>
        <w:tc>
          <w:tcPr>
            <w:tcW w:w="3742" w:type="dxa"/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2070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color w:val="17212B"/>
                <w:sz w:val="21"/>
              </w:rPr>
              <w:t>排除明显难合成候选</w:t>
            </w:r>
          </w:p>
        </w:tc>
      </w:tr>
    </w:tbl>
    <w:p w14:paraId="52C101D6">
      <w:pPr>
        <w:pStyle w:val="3"/>
        <w:spacing w:before="0" w:after="60"/>
        <w:rPr>
          <w:rFonts w:ascii="Times New Roman" w:hAnsi="Times New Roman" w:eastAsia="宋体"/>
        </w:rPr>
      </w:pPr>
    </w:p>
    <w:p w14:paraId="4A8AD4FB">
      <w:pPr>
        <w:pStyle w:val="3"/>
        <w:spacing w:before="0" w:after="60"/>
        <w:rPr>
          <w:rFonts w:hint="eastAsia" w:ascii="Times New Roman" w:hAnsi="Times New Roman" w:eastAsia="宋体"/>
          <w:lang w:eastAsia="zh-CN"/>
        </w:rPr>
      </w:pPr>
      <w:r>
        <w:rPr>
          <w:rFonts w:ascii="Times New Roman" w:hAnsi="Times New Roman" w:eastAsia="宋体"/>
        </w:rPr>
        <w:t>后续计划</w:t>
      </w:r>
      <w:r>
        <w:rPr>
          <w:rFonts w:hint="eastAsia" w:ascii="Times New Roman" w:hAnsi="Times New Roman" w:eastAsia="宋体"/>
          <w:lang w:eastAsia="zh-CN"/>
        </w:rPr>
        <w:t>：</w:t>
      </w:r>
    </w:p>
    <w:p w14:paraId="1DA1E393">
      <w:pPr>
        <w:numPr>
          <w:ilvl w:val="0"/>
          <w:numId w:val="7"/>
        </w:numPr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多任务学习</w:t>
      </w:r>
    </w:p>
    <w:p w14:paraId="051E7BD9">
      <w:pPr>
        <w:numPr>
          <w:ilvl w:val="0"/>
          <w:numId w:val="7"/>
        </w:numPr>
        <w:ind w:left="425" w:leftChars="0" w:hanging="425" w:firstLineChars="0"/>
      </w:pPr>
      <w:r>
        <w:rPr>
          <w:rFonts w:ascii="Times New Roman" w:hAnsi="Times New Roman" w:eastAsia="宋体"/>
        </w:rPr>
        <w:t>按 QSAR 五原则补可信度</w:t>
      </w:r>
    </w:p>
    <w:p w14:paraId="7CC1484B">
      <w:pPr>
        <w:spacing w:after="60"/>
        <w:jc w:val="center"/>
      </w:pPr>
      <w:r>
        <w:drawing>
          <wp:inline distT="0" distB="0" distL="114300" distR="114300">
            <wp:extent cx="5831840" cy="2915920"/>
            <wp:effectExtent l="0" t="0" r="508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CA95">
      <w:pPr>
        <w:spacing w:after="120" w:line="300" w:lineRule="auto"/>
        <w:ind w:left="198"/>
      </w:pPr>
      <w:r>
        <w:rPr>
          <w:rFonts w:ascii="Times New Roman" w:hAnsi="Times New Roman" w:eastAsia="宋体"/>
          <w:sz w:val="24"/>
        </w:rPr>
        <w:t>优先完成多任务学习及严格拆分验证，再加入 SHAP 和应用域；最后通过更多参照药和实验数据校准风险规则。</w:t>
      </w:r>
    </w:p>
    <w:p w14:paraId="54B7C690">
      <w:pPr>
        <w:spacing w:after="120" w:line="276" w:lineRule="auto"/>
      </w:pPr>
    </w:p>
    <w:sectPr>
      <w:footerReference r:id="rId5" w:type="default"/>
      <w:pgSz w:w="11906" w:h="16838"/>
      <w:pgMar w:top="935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45DEF">
    <w:pPr>
      <w:pStyle w:val="24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8DC1597"/>
    <w:multiLevelType w:val="singleLevel"/>
    <w:tmpl w:val="18DC15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BA24FA"/>
    <w:rsid w:val="145F04F1"/>
    <w:rsid w:val="16FC64CC"/>
    <w:rsid w:val="1B744D02"/>
    <w:rsid w:val="216F7C3C"/>
    <w:rsid w:val="239C25CF"/>
    <w:rsid w:val="259B47E8"/>
    <w:rsid w:val="302A213C"/>
    <w:rsid w:val="30724DD6"/>
    <w:rsid w:val="374B578D"/>
    <w:rsid w:val="385E2E31"/>
    <w:rsid w:val="3A1C2D45"/>
    <w:rsid w:val="3D976F39"/>
    <w:rsid w:val="40C463C5"/>
    <w:rsid w:val="44C53064"/>
    <w:rsid w:val="44F543D6"/>
    <w:rsid w:val="52D348F1"/>
    <w:rsid w:val="5A7D47FA"/>
    <w:rsid w:val="5A9E3659"/>
    <w:rsid w:val="62AD3E97"/>
    <w:rsid w:val="7834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Times New Roman" w:hAnsi="Times New Roman" w:eastAsia="宋体" w:cstheme="minorBidi"/>
      <w:color w:val="17212B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160" w:after="100"/>
      <w:outlineLvl w:val="0"/>
    </w:pPr>
    <w:rPr>
      <w:rFonts w:asciiTheme="majorHAnsi" w:hAnsiTheme="majorHAnsi" w:eastAsiaTheme="majorEastAsia" w:cstheme="majorBidi"/>
      <w:b/>
      <w:bCs/>
      <w:color w:val="17212B"/>
      <w:sz w:val="36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17212B"/>
      <w:sz w:val="28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keepNext/>
      <w:pBdr>
        <w:bottom w:val="single" w:color="4F81BD" w:themeColor="accent1" w:sz="8" w:space="4"/>
      </w:pBdr>
      <w:spacing w:before="160" w:after="100" w:line="240" w:lineRule="auto"/>
      <w:contextualSpacing/>
    </w:pPr>
    <w:rPr>
      <w:rFonts w:asciiTheme="majorHAnsi" w:hAnsiTheme="majorHAnsi" w:eastAsiaTheme="majorEastAsia" w:cstheme="majorBidi"/>
      <w:b/>
      <w:color w:val="17212B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1164</Words>
  <Characters>1710</Characters>
  <Lines>0</Lines>
  <Paragraphs>0</Paragraphs>
  <TotalTime>0</TotalTime>
  <ScaleCrop>false</ScaleCrop>
  <LinksUpToDate>false</LinksUpToDate>
  <CharactersWithSpaces>1876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课题组</dc:creator>
  <dc:description>generated by python-docx</dc:description>
  <cp:keywords>心脏毒性, hERG, Cav1.2, Nav1.5, MICE, CiPA, Agent</cp:keywords>
  <cp:lastModifiedBy>Ambition</cp:lastModifiedBy>
  <dcterms:modified xsi:type="dcterms:W3CDTF">2026-09-17T07:06:48Z</dcterms:modified>
  <dc:subject>组会阶段汇报</dc:subject>
  <dc:title>基于三离子通道的药物心脏毒性预测与分子优化 Agent 系统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eyJoZGlkIjoiY2E4NzcwNTBhMjQzOGM0MGZlZGUzZjcyMDQyODY5MTYiLCJ1c2VySWQiOiIxMjU4NDY4MjkyIn0=</vt:lpwstr>
  </property>
  <property fmtid="{D5CDD505-2E9C-101B-9397-08002B2CF9AE}" pid="3" name="KSOProductBuildVer">
    <vt:lpwstr>2052-12.1.0.28505</vt:lpwstr>
  </property>
  <property fmtid="{D5CDD505-2E9C-101B-9397-08002B2CF9AE}" pid="4" name="ICV">
    <vt:lpwstr>F250B3964DF74C35830122F570F6AF46_12</vt:lpwstr>
  </property>
</Properties>
</file>