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问题二 跨维度数据融合与广义标度律</w:t>
      </w:r>
    </w:p>
    <w:p>
      <w:pPr>
        <w:jc w:val="center"/>
      </w:pPr>
      <w:r>
        <w:rPr>
          <w:i/>
        </w:rPr>
        <w:t>基于 B1–B10 附件与问题一接口的完整建模报告</w:t>
      </w:r>
    </w:p>
    <w:p>
      <w:pPr>
        <w:spacing w:after="100" w:line="276" w:lineRule="auto"/>
      </w:pPr>
      <w:r>
        <w:t>本问建立参数规模、数据量、质量与语料配比共同作用下的验证损失模型，并用跨模型族、轨迹、文献和大规模估算数据检验其可迁移边界。报告中的绝对 Loss 只在 B 附件的 Pythia/Cerebras 验证集口径内比较；问题一的 The Pile Loss 不与 B 的 val_loss 直接拼接。</w:t>
      </w:r>
    </w:p>
    <w:p>
      <w:pPr>
        <w:pStyle w:val="Heading1"/>
      </w:pPr>
      <w:r>
        <w:t>1 结论摘要</w:t>
      </w:r>
    </w:p>
    <w:p>
      <w:pPr>
        <w:spacing w:after="100" w:line="276" w:lineRule="auto"/>
      </w:pPr>
      <w:r>
        <w:t>B1 的 Pythia 主拟合采用 L=c+A N^{-alpha}+B D^{-beta}，估计 alpha=0.33996、beta=0.27988。随机留出测试 R²=1.0000、MAE=0.0001，五折 CV 的 R² 均为 1.0000，说明 B1 轨迹由稳定的幂律结构生成，参数估计具有很小的抽样波动。</w:t>
      </w:r>
    </w:p>
    <w:p>
      <w:pPr>
        <w:spacing w:after="100" w:line="276" w:lineRule="auto"/>
      </w:pPr>
      <w:r>
        <w:t>跨数据源结果分成两类：B4 跨族收敛点 R²=0.6045、秩相关 0.9830；B5 文献点 R²=0.7306、秩相关 0.9588，说明尺度排序可迁移。B2 Cerebras 的绝对 Loss 受验证集和模型族偏移影响，R²=-5.0728，但秩相关仍为 0.7881，因此不把 B1 的绝对截距直接外推到 B2。</w:t>
      </w:r>
    </w:p>
    <w:p>
      <w:pPr>
        <w:spacing w:after="100" w:line="276" w:lineRule="auto"/>
      </w:pPr>
      <w:r>
        <w:t>B6–B8 使用其原生半合成 Q_score 单独拟合质量修正，R²=0.5912；Q 的边际效应随 N、D 变化。问题一接口中的 Q_star 与 ILR 配比只用于场景接口和域替代解释，未被伪装成 B6–B8 的配对监督样本。</w:t>
      </w:r>
    </w:p>
    <w:p>
      <w:pPr>
        <w:pStyle w:val="Heading1"/>
      </w:pPr>
      <w:r>
        <w:t>2 数据与口径边界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used_as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6"/>
              </w:rPr>
              <w:t>B1 primary fit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6"/>
              </w:rPr>
              <w:t>real Pythia log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6"/>
              </w:rPr>
              <w:t>classic N-D scaling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6"/>
              </w:rPr>
              <w:t>B2/B3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6"/>
              </w:rPr>
              <w:t>Cerebras / interpolated trajectories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6"/>
              </w:rPr>
              <w:t>external validation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6"/>
              </w:rPr>
              <w:t>B4/B5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6"/>
              </w:rPr>
              <w:t>cross-family / published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6"/>
              </w:rPr>
              <w:t>cross-family validation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6"/>
              </w:rPr>
              <w:t>B6-B8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6"/>
              </w:rPr>
              <w:t>semi-synthetic Q experiments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6"/>
              </w:rPr>
              <w:t>native Q effect only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6"/>
              </w:rPr>
              <w:t>B9/B10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6"/>
              </w:rPr>
              <w:t>metadata and estimated baseline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6"/>
              </w:rPr>
              <w:t>large-scale scenario extrapolation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6"/>
              </w:rPr>
              <w:t>Q1 interface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6"/>
              </w:rPr>
              <w:t>A1 ECDF Q and ILR p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6"/>
              </w:rPr>
              <w:t>cross-question scenario input; no direct Loss merge</w:t>
            </w:r>
          </w:p>
        </w:tc>
      </w:tr>
    </w:tbl>
    <w:p>
      <w:pPr>
        <w:spacing w:after="100" w:line="276" w:lineRule="auto"/>
      </w:pPr>
      <w:r>
        <w:t>B1 是真实 Pythia 训练日志，作为经典 N-D 主拟合；B2 是 Cerebras 轨迹，用于模型族外验证；B3 是插值轨迹，用于同族轨迹验证；B4/B5 分别用于跨族和文献验证；B6–B8 标记为半合成或估算，只用于识别原生 Q_score 的质量效应；B9/B10 是 100B 以上元数据与估算 Loss，只用于情景外推。A 与 B 的验证集不同，第一问接口中的 Q_star 不是 B6–B8 的 Q_score 量表。</w:t>
      </w:r>
    </w:p>
    <w:p>
      <w:pPr>
        <w:pStyle w:val="Heading1"/>
      </w:pPr>
      <w:r>
        <w:t>3 标度律模型</w:t>
      </w:r>
    </w:p>
    <w:p>
      <w:pPr>
        <w:spacing w:after="100" w:line="276" w:lineRule="auto"/>
      </w:pPr>
      <w:r>
        <w:t>对 B1 的每个观测点使用 N_params_B（单位 B）和 D_tokens_B（单位 B tokens）。主模型为：</w:t>
      </w:r>
    </w:p>
    <w:p>
      <w:pPr>
        <w:spacing w:after="100" w:line="276" w:lineRule="auto"/>
      </w:pPr>
      <w:r>
        <w:t>L(N,D)=c+A N^{-alpha}+B D^{-beta}。其中 c 是不可由本次扩展继续降低的残差基线，A、B 是两类规模项的幅度，alpha、beta 是参数量与数据量的弹性衰减指数。这个形式在 N 或 D 固定时退化为单变量幂律，在二者同时增加时给出可解释的边际收益。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40"/>
        <w:gridCol w:w="5040"/>
      </w:tblGrid>
      <w:tr>
        <w:tc>
          <w:tcPr>
            <w:tcW w:type="dxa" w:w="50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parameter</w:t>
            </w:r>
          </w:p>
        </w:tc>
        <w:tc>
          <w:tcPr>
            <w:tcW w:type="dxa" w:w="50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rPr>
                <w:sz w:val="16"/>
              </w:rPr>
              <w:t>c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rPr>
                <w:sz w:val="16"/>
              </w:rPr>
              <w:t>1.689767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  <w:t>0.354014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rPr>
                <w:sz w:val="16"/>
              </w:rPr>
              <w:t>B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rPr>
                <w:sz w:val="16"/>
              </w:rPr>
              <w:t>1.240287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6"/>
              </w:rPr>
              <w:t>alpha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6"/>
              </w:rPr>
              <w:t>0.339957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rPr>
                <w:sz w:val="16"/>
              </w:rPr>
              <w:t>beta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rPr>
                <w:sz w:val="16"/>
              </w:rPr>
              <w:t>0.279876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fold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r2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mae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rmse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alpha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beta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0.000099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0.000134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236.000000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0.339957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0.279876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2.000000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0.000106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0.000155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235.000000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0.339989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0.279887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3.000000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0.000106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0.000141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235.000000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0.339981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0.279859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4.000000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0.000112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0.000155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235.000000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0.339973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0.279870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5.000000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0.000108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0.000157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235.000000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0.339983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0.279903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4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b1_observed_predi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 B1 观测值与经典标度律预测值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b1_residu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 B1 残差随参数规模的诊断</w:t>
      </w:r>
    </w:p>
    <w:p>
      <w:pPr>
        <w:pStyle w:val="Heading1"/>
      </w:pPr>
      <w:r>
        <w:t>4 外部验证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dataset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data_status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r2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mae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rmse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spearman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B2_Cerebras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semi_external_real_family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1029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-5.0728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1.1784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1.2431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0.7881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B4_cross_family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real_cross_family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0.6045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0.2273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0.2927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0.9830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B5_published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real_literature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0.7306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0.1707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0.1976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0.9588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trajectory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r2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mae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spearman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pythia_0.070542B_trajectory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0.99995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0.00287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0.99998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6"/>
              </w:rPr>
              <w:t>pythia_0.162405B_trajectory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0.99995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0.00296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0.99999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pythia_0.409009B_trajectory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0.99995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0.00289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0.99999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6"/>
              </w:rPr>
              <w:t>pythia_1.040867B_trajectory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0.99996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0.00272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0.99998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pythia_1.416184B_trajectory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0.99995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0.00300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0.99999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6"/>
              </w:rPr>
              <w:t>pythia_11.965825B_trajectory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0.99995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0.00300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0.99998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pythia_2.782831B_trajectory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0.99995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0.00286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6"/>
              </w:rPr>
              <w:t>0.99998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6"/>
              </w:rPr>
              <w:t>pythia_6.86104B_trajectory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0.99995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0.00291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6"/>
              </w:rPr>
              <w:t>0.99998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97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b3_trajectory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 B3 八条轨迹验证，实线为观测、虚线为预测</w:t>
      </w:r>
    </w:p>
    <w:p>
      <w:pPr>
        <w:spacing w:after="100" w:line="276" w:lineRule="auto"/>
      </w:pPr>
      <w:r>
        <w:t>B3 的八条轨迹 R² 均约 0.99995，说明同一 Pythia 族内的插值路径与主模型一致。B4/B5 的绝对误差较大但秩相关高，表明跨族使用时应优先采用排序、相对改善率或重新估计截距，而不能把 B1 的绝对 Loss 当作所有模型族的共同标尺。</w:t>
      </w:r>
    </w:p>
    <w:p>
      <w:pPr>
        <w:pStyle w:val="Heading1"/>
      </w:pPr>
      <w:r>
        <w:t>5 质量扩展</w:t>
      </w:r>
    </w:p>
    <w:p>
      <w:pPr>
        <w:spacing w:after="100" w:line="276" w:lineRule="auto"/>
      </w:pPr>
      <w:r>
        <w:t>B6–B8 内部采用固定的 alpha、beta，把质量作用写成带交互的扩展：L_Q=b0+b_N N^{-alpha}+b_D D^{-beta}+b_Q(Q-Q0)+b_NQ(Q-Q0)N^{-alpha}+b_DQ(Q-Q0)D^{-beta}。Q0 为原生 Q_score 中位数 0.55，岭回归正则强度通过五折 CV 选择。该模型只解释 B6–B8 的原生 Q_score，不能直接替代问题一的 A1 ECDF Q_star。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coefficient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alpha_selected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Q0_native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r2_in_sample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mae_in_sample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intercept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0.965416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0.550000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0.591199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0.364950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6"/>
              </w:rPr>
              <w:t>N_term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0.578491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0.550000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0.591199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0.364950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D_term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0.665950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0.550000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0.591199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0.364950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6"/>
              </w:rPr>
              <w:t>Q_centered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1.409541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0.550000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0.591199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0.364950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QxN_term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-0.230201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0.550000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0.591199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6"/>
              </w:rPr>
              <w:t>0.364950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6"/>
              </w:rPr>
              <w:t>QxD_term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1.151252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1.000000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0.550000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0.591199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6"/>
              </w:rPr>
              <w:t>0.364950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994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quality_eff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4 B6–B8 原生 Q_score 与验证 Loss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N_params_B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D_tokens_B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Q_score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loss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elasticity_N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elasticity_D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marginal_quality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0.07000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2.67135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-0.18542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-0.03346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1.44541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0.07000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2.51963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-0.19659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-0.01862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1.15831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0.07000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1000.00000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2.43999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-0.20300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-0.01010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1.00760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0.07000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10000.00000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2.39818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-0.20654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-0.00539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0.92848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1.80432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-0.11116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-0.04954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1.78370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1.00000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1.65260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-0.12137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-0.02839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1.49660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1000.00000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1.57295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-0.12751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-0.01566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1.34589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1.00000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10000.00000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1.53114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-0.13100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-0.00845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1.26677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1.48403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-0.06178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-0.06023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1.90867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10.00000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1.33231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-0.06882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-0.03522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1.62157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1000.00000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1.25266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-0.07320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-0.01966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1.47086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10.00000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10000.00000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1.21085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-0.07572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-0.01068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1.39174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1.33761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-0.03134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-0.06683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1.96579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100.00000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1.18589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-0.03534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-0.03957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1.67870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1000.00000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1.10625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-0.03789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-0.02227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1.52799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100.00000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10000.00000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1.06444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-0.03938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-0.01215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1.44887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700.00000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1.27794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-0.01693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-0.06995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1.98907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700.00000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1.12623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-0.01921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-0.04166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1.70198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700.00000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1000.00000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1.04658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-0.02067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-0.02354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1.55127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6"/>
              </w:rPr>
              <w:t>700.00000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10000.00000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0.50000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1.00477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-0.02153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-0.01287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1.47215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elasticity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5 Q=0.5 时 Loss 对参数规模的弹性</w:t>
      </w:r>
    </w:p>
    <w:p>
      <w:pPr>
        <w:spacing w:after="100" w:line="276" w:lineRule="auto"/>
      </w:pPr>
      <w:r>
        <w:t>弹性为 ∂L/∂ln N 除以 L 或 ∂L/∂ln D 除以 L；数值越负，继续增加该资源带来的相对 Loss 降幅越大。质量边际项为 ∂L/∂Q，在当前半合成口径下可与参数和数据边际收益比较，但其外推必须标记为情景分析。</w:t>
      </w:r>
    </w:p>
    <w:p>
      <w:pPr>
        <w:pStyle w:val="Heading1"/>
      </w:pPr>
      <w:r>
        <w:t>6 大规模外推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dataset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data_status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r2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mae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rmse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spearman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B9_B10_large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estimated_large_scale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128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0.99999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0.00059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0.00107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6"/>
              </w:rPr>
              <w:t>0.99999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023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large_scale_extrapo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2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6 B9/B10 大规模估算点与经典模型外推</w:t>
      </w:r>
    </w:p>
    <w:p>
      <w:pPr>
        <w:spacing w:after="100" w:line="276" w:lineRule="auto"/>
      </w:pPr>
      <w:r>
        <w:t>B9/B10 的 R²=0.99999 只说明该估算表与 B1 形式高度一致，不构成独立实验验证。报告将其作为资源配置情景工具：给定 N、D 和质量水平，可以计算相对 Loss 变化，并同时保留估算数据的边界标签。</w:t>
      </w:r>
    </w:p>
    <w:p>
      <w:pPr>
        <w:pStyle w:val="Heading1"/>
      </w:pPr>
      <w:r>
        <w:t>7 问题一接口与配比替代</w:t>
      </w:r>
    </w:p>
    <w:p>
      <w:pPr>
        <w:spacing w:after="100" w:line="276" w:lineRule="auto"/>
      </w:pPr>
      <w:r>
        <w:t>问题一输出的 q2_input_interface_bundle.json 提供 17 域 Q_star、训练配方基线 Q0、ILR/替代向量和二阶组合对。本问不重新读取 A 原始质量记录，而是将其作为外部场景输入。宏观质量泛函为 Q_bar(p)=sum_i p_i Q_i_star；配比变量仍按问题一的单纯形闭合、乘性零值替换和 16 维 ILR 语义解释，系数表示相对替代而非绝对增加。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Q_star</w:t>
            </w:r>
          </w:p>
        </w:tc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t_first_order</w:t>
            </w:r>
          </w:p>
        </w:tc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6"/>
              </w:rPr>
              <w:t>Q_status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arxiv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0.73234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-0.11019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observed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6"/>
              </w:rPr>
              <w:t>freelaw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-0.17512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nih_exporter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-0.63196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6"/>
              </w:rPr>
              <w:t>pubmed_central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-0.16983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wikipedia_en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0.12386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6"/>
              </w:rPr>
              <w:t>dm_mathematics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0.23555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0.40575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0.18960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observed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6"/>
              </w:rPr>
              <w:t>philpapers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-0.37999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stackexchange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-0.24947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observed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6"/>
              </w:rPr>
              <w:t>enron_emails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-0.98501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gutenberg_pg_19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0.07413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6"/>
              </w:rPr>
              <w:t>pile_cc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0.89479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ubuntu_irc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-0.32578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6"/>
              </w:rPr>
              <w:t>europarl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1.25206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hackernews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-0.43634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6"/>
              </w:rPr>
              <w:t>pubmed_abstracts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0.29399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6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uspto_backgrounds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0.39971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6"/>
              </w:rPr>
              <w:t>median_imputed_no_document_quality</w:t>
            </w:r>
          </w:p>
        </w:tc>
      </w:tr>
    </w:tbl>
    <w:p>
      <w:pPr>
        <w:spacing w:after="100" w:line="276" w:lineRule="auto"/>
      </w:pPr>
      <w:r>
        <w:t>Q_star_status 为 observed 的域来自问题一文档级观测；其余域为问题一接口中的中位数填充，因此配比预测的不确定性主要来自这些未观测域。若第二问需要把 Q_bar(p) 代入质量扩展模型，应先做单调重标定，再将重标定后的质量值作为情景变量，不能把 A1 Q_star 直接当成 B6–B8 Q_score。</w:t>
      </w:r>
    </w:p>
    <w:p>
      <w:pPr>
        <w:pStyle w:val="Heading1"/>
      </w:pPr>
      <w:r>
        <w:t>8 资源配置解释</w:t>
      </w:r>
    </w:p>
    <w:p>
      <w:pPr>
        <w:spacing w:after="100" w:line="276" w:lineRule="auto"/>
      </w:pPr>
      <w:r>
        <w:t>模型给出三条可操作结论。第一，增加 N 或 D 的收益具有递减性，alpha 和 beta 分别控制递减速度；在固定算力约束下，应比较两者的单位成本边际下降，而不是只追求参数规模。第二，质量提升项与 N、D 交互，意味着低质量数据不能简单用更多参数补偿，质量门控适合作为先验筛选或情景约束。第三，配比影响使用 ILR 替代语义：提高一个域的比例必然从其他域挪出，二阶协同或拮抗应在固定总配比下比较。</w:t>
      </w:r>
    </w:p>
    <w:p>
      <w:pPr>
        <w:pStyle w:val="Heading1"/>
      </w:pPr>
      <w:r>
        <w:t>9 复现说明</w:t>
      </w:r>
    </w:p>
    <w:p>
      <w:pPr>
        <w:spacing w:after="100" w:line="276" w:lineRule="auto"/>
      </w:pPr>
      <w:r>
        <w:t>在项目根目录执行 `$env:PYTHONPATH='src'; .venv\Scripts\python.exe -m f_question.q2` 可重新生成 outputs/q2 下的 CSV 和 PNG。报告由 build_q2_docx.py 根据这些结果生成。原始数据集保留在本地项目中，公开仓库只提交代码、报告和小型结果产物。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