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问题二 跨维度数据融合与广义标度律</w:t>
      </w:r>
    </w:p>
    <w:p>
      <w:pPr>
        <w:jc w:val="center"/>
      </w:pPr>
      <w:r>
        <w:rPr>
          <w:i/>
        </w:rPr>
        <w:t>物理纠偏、硬指标验证与工程化接口报告</w:t>
      </w:r>
    </w:p>
    <w:p>
      <w:pPr>
        <w:spacing w:after="100" w:line="276" w:lineRule="auto"/>
      </w:pPr>
      <w:r>
        <w:t>本问在 B1--B10 附件和问题一接口上建立同时包含参数规模 N、数据量 D、质量变量和 17 域配比的标度律。所有 B 表 val_loss 均保留其 Pythia/Cerebras 原生验证集口径；The Pile Loss 与 B 表不直接混算。本文先纠正 Q_score 的物理方向，再给出结构化验证、边际技术替代率和跨语料桥接的可识别性边界。</w:t>
      </w:r>
    </w:p>
    <w:p>
      <w:pPr>
        <w:pStyle w:val="Heading1"/>
      </w:pPr>
      <w:r>
        <w:t>1 结论摘要</w:t>
      </w:r>
    </w:p>
    <w:p>
      <w:pPr>
        <w:spacing w:after="100" w:line="276" w:lineRule="auto"/>
      </w:pPr>
      <w:r>
        <w:t>B1 不是普通随机样本，而是 8 个 N 乘 147 个 D 的完整无重复解析网格。格点均值解释 Loss 方差 100%，留一 N 的结构化检验均保持极高 R²，因此应表述为“解析网格流形下的无偏参数精确辨识”，不能把 R²=1.0000 当作独立外部泛化证据。</w:t>
      </w:r>
    </w:p>
    <w:p>
      <w:pPr>
        <w:spacing w:after="100" w:line="276" w:lineRule="auto"/>
      </w:pPr>
      <w:r>
        <w:t>B6--B8 的 Q_score 是噪声缺陷率：原始相关 r=0.6067，扣除 B1 的 N-D 基线后与 Loss 残差的相关 r=0.6661；全部 2090 条观测的质量方向为正。Q_quality=1-Q_score 与 |Q-1| 在 [0,1] 上只是同一保号仿射变换，不能翻转偏导。因此主模型改为 L=c+A N^-alpha+B D^-beta+gamma Q_score^theta，其中 gamma、theta&gt;0，等价地对 Q_quality 的偏导严格为负。选择该形式的首要依据是物理正确性，不追求 R² 人为提升。</w:t>
      </w:r>
    </w:p>
    <w:p>
      <w:pPr>
        <w:spacing w:after="100" w:line="276" w:lineRule="auto"/>
      </w:pPr>
      <w:r>
        <w:t>B2 的绝对 Loss 通过同域五折仿射重标定后再评价，B4/B5 主要报告排序保序性。跨语料桥接 L_Pile=u L_Pythia+v 已提出并检验，但 High 层只有 7/75 条真正同模型同验证集配对，区间很宽，结论是“假设可检验但当前定量识别不足”，而不是预设拒绝。</w:t>
      </w:r>
    </w:p>
    <w:p>
      <w:pPr>
        <w:pStyle w:val="Heading1"/>
      </w:pPr>
      <w:r>
        <w:t>2 数据边界与接口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item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used_as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B1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real Pythia log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complete analytical N-D grid; structured diagnostics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5"/>
              </w:rPr>
              <w:t>B2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Cerebras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external ranking plus affine recalibration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B3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interpolated trajectories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same-family validation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5"/>
              </w:rPr>
              <w:t>B4/B5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cross-family/literature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ranking validation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B6-B8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native Q_score experiments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physical asymmetric defect-rate effect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5"/>
              </w:rPr>
              <w:t>B9/B10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estimated large-scale tables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scenario sensitivity only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A interface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Question 1 bridge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Q_bar(p), ILR substitution and conditional second-order effects</w:t>
            </w:r>
          </w:p>
        </w:tc>
      </w:tr>
    </w:tbl>
    <w:p>
      <w:pPr>
        <w:spacing w:after="100" w:line="276" w:lineRule="auto"/>
      </w:pPr>
      <w:r>
        <w:t>B9/B10 明确定位为超百亿参数外推的情景敏感性工具，不作为独立实验验证。问题一接口中的 Q_star、Q_bar(p) 和 ILR 替代向量仅作为场景输入；A 与 B 的质量量表和验证集不同，不能直接把 A1 的 Q_star 当作 B6--B8 的 Q_score。</w:t>
      </w:r>
    </w:p>
    <w:p>
      <w:pPr>
        <w:pStyle w:val="Heading1"/>
      </w:pPr>
      <w:r>
        <w:t>3 B1 经典标度律与网格识别</w:t>
      </w:r>
    </w:p>
    <w:p>
      <w:pPr>
        <w:spacing w:after="100" w:line="276" w:lineRule="auto"/>
      </w:pPr>
      <w:r>
        <w:t>经典模型为 L=c+A N^-alpha+B D^-beta。B1 含 1176 行，8 个参数规模和 147 个数据规模，恰好填满 8×147 网格且 (N,D) 无重复。按 (N,D) 分组计算格点均值得到 group-mean R²=1.000000；该结果说明生成结构被精确辨识，而不是新增数据上的泛化保证。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40"/>
        <w:gridCol w:w="5040"/>
      </w:tblGrid>
      <w:tr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parameter</w:t>
            </w:r>
          </w:p>
        </w:tc>
        <w:tc>
          <w:tcPr>
            <w:tcW w:type="dxa" w:w="50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5"/>
              </w:rPr>
              <w:t>c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5"/>
              </w:rPr>
              <w:t>1.689767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5"/>
              </w:rPr>
              <w:t>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5"/>
              </w:rPr>
              <w:t>0.354014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5"/>
              </w:rPr>
              <w:t>B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5"/>
              </w:rPr>
              <w:t>1.240287</w:t>
            </w:r>
          </w:p>
        </w:tc>
      </w:tr>
      <w:tr>
        <w:tc>
          <w:tcPr>
            <w:tcW w:type="dxa" w:w="5040"/>
            <w:vAlign w:val="center"/>
          </w:tcPr>
          <w:p>
            <w:r>
              <w:rPr>
                <w:sz w:val="15"/>
              </w:rPr>
              <w:t>alpha</w:t>
            </w:r>
          </w:p>
        </w:tc>
        <w:tc>
          <w:tcPr>
            <w:tcW w:type="dxa" w:w="5040"/>
            <w:vAlign w:val="center"/>
          </w:tcPr>
          <w:p>
            <w:r>
              <w:rPr>
                <w:sz w:val="15"/>
              </w:rPr>
              <w:t>0.339957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rPr>
                <w:sz w:val="15"/>
              </w:rPr>
              <w:t>beta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rPr>
                <w:sz w:val="15"/>
              </w:rPr>
              <w:t>0.279876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n_rows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n_N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n_D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expected_cartesian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unique_pairs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complete_unique_grid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group_mean_r2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1176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147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1176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1176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True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holdout_scheme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rmse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note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group_by_(N,D)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0.000105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0.000147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1176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reported deterministic grid diagnostic; no random external data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holdout_N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rmse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0.070542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0.999999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0.000169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0.000220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0.162405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0.999999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0.000137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0.000182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0.409009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0.000108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0.000135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1.040867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0.000109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0.000155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1.416184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0.000100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0.000132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2.782831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0.000082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0.000114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6.861040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0.000083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0.000135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147.000000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11.965825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0.000076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0.000102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147.000000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547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1_observed_predi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1 B1 观测值与经典标度律预测值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00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1_residua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2 B1 残差诊断</w:t>
      </w:r>
    </w:p>
    <w:p>
      <w:pPr>
        <w:pStyle w:val="Heading1"/>
      </w:pPr>
      <w:r>
        <w:t>4 B2--B5 验证与重标定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dataset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data_status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rmse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spearman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B2_Cerebras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semi_external_real_family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1029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-5.07279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1.17844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1.24308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0.78810</w:t>
            </w:r>
          </w:p>
        </w:tc>
      </w:tr>
      <w:tr>
        <w:tc>
          <w:tcPr>
            <w:tcW w:type="dxa" w:w="1440"/>
            <w:vAlign w:val="center"/>
          </w:tcPr>
          <w:p>
            <w:r>
              <w:rPr>
                <w:sz w:val="15"/>
              </w:rPr>
              <w:t>B4_cross_family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5"/>
              </w:rPr>
              <w:t>real_cross_family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5"/>
              </w:rPr>
              <w:t>57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5"/>
              </w:rPr>
              <w:t>0.60451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5"/>
              </w:rPr>
              <w:t>0.22727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5"/>
              </w:rPr>
              <w:t>0.29267</w:t>
            </w:r>
          </w:p>
        </w:tc>
        <w:tc>
          <w:tcPr>
            <w:tcW w:type="dxa" w:w="1440"/>
            <w:vAlign w:val="center"/>
          </w:tcPr>
          <w:p>
            <w:r>
              <w:rPr>
                <w:sz w:val="15"/>
              </w:rPr>
              <w:t>0.98298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B5_published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real_literature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44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0.73057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0.17072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0.19759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0.95881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fold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slope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intercept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dataset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data_status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rmse</w:t>
            </w:r>
          </w:p>
        </w:tc>
        <w:tc>
          <w:tcPr>
            <w:tcW w:type="dxa" w:w="1008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spearman</w:t>
            </w:r>
          </w:p>
        </w:tc>
      </w:tr>
      <w:tr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1.57820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-0.13268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B2_affine_calibrated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5fold_affine_recalibration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0.40362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0.27740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0.42788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0.78920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5"/>
              </w:rPr>
              <w:t>2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1.58641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-0.15671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B2_affine_calibrated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5fold_affine_recalibration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0.50585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0.25777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0.35680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0.77885</w:t>
            </w:r>
          </w:p>
        </w:tc>
      </w:tr>
      <w:tr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1.64455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-0.28406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B2_affine_calibrated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5fold_affine_recalibration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0.36002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0.25663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0.37550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0.76187</w:t>
            </w:r>
          </w:p>
        </w:tc>
      </w:tr>
      <w:tr>
        <w:tc>
          <w:tcPr>
            <w:tcW w:type="dxa" w:w="1008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206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1.58562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-0.14320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B2_affine_calibrated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5fold_affine_recalibration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0.50061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0.23132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0.33489</w:t>
            </w:r>
          </w:p>
        </w:tc>
        <w:tc>
          <w:tcPr>
            <w:tcW w:type="dxa" w:w="1008"/>
            <w:vAlign w:val="center"/>
          </w:tcPr>
          <w:p>
            <w:r>
              <w:rPr>
                <w:sz w:val="15"/>
              </w:rPr>
              <w:t>0.80123</w:t>
            </w:r>
          </w:p>
        </w:tc>
      </w:tr>
      <w:tr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205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1.58529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-0.14648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B2_affine_calibrated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5fold_affine_recalibration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0.45426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0.24757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0.37636</w:t>
            </w:r>
          </w:p>
        </w:tc>
        <w:tc>
          <w:tcPr>
            <w:tcW w:type="dxa" w:w="1008"/>
            <w:vAlign w:val="center"/>
            <w:shd w:fill="F3F6F9"/>
          </w:tcPr>
          <w:p>
            <w:r>
              <w:rPr>
                <w:sz w:val="15"/>
              </w:rPr>
              <w:t>0.81164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trajectory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dataset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data_status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rmse</w:t>
            </w:r>
          </w:p>
        </w:tc>
        <w:tc>
          <w:tcPr>
            <w:tcW w:type="dxa" w:w="12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spearman</w:t>
            </w:r>
          </w:p>
        </w:tc>
      </w:tr>
      <w:tr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pythia_0.070542B_trajectory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pythia_0.070542B_trajectory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0.00287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0.00383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0.99998</w:t>
            </w:r>
          </w:p>
        </w:tc>
      </w:tr>
      <w:tr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pythia_0.162405B_trajectory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pythia_0.162405B_trajectory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0.00296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0.00393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0.99999</w:t>
            </w:r>
          </w:p>
        </w:tc>
      </w:tr>
      <w:tr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pythia_0.409009B_trajectory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pythia_0.409009B_trajectory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0.00289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0.00386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0.99999</w:t>
            </w:r>
          </w:p>
        </w:tc>
      </w:tr>
      <w:tr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pythia_1.040867B_trajectory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pythia_1.040867B_trajectory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0.99996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0.00272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0.00357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0.99998</w:t>
            </w:r>
          </w:p>
        </w:tc>
      </w:tr>
      <w:tr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pythia_1.416184B_trajectory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pythia_1.416184B_trajectory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0.00300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0.00397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0.99999</w:t>
            </w:r>
          </w:p>
        </w:tc>
      </w:tr>
      <w:tr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pythia_11.965825B_trajectory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pythia_11.965825B_trajectory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0.00300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0.00391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0.99998</w:t>
            </w:r>
          </w:p>
        </w:tc>
      </w:tr>
      <w:tr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pythia_2.782831B_trajectory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pythia_2.782831B_trajectory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0.00286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0.00378</w:t>
            </w:r>
          </w:p>
        </w:tc>
        <w:tc>
          <w:tcPr>
            <w:tcW w:type="dxa" w:w="1260"/>
            <w:vAlign w:val="center"/>
            <w:shd w:fill="F3F6F9"/>
          </w:tcPr>
          <w:p>
            <w:r>
              <w:rPr>
                <w:sz w:val="15"/>
              </w:rPr>
              <w:t>0.99998</w:t>
            </w:r>
          </w:p>
        </w:tc>
      </w:tr>
      <w:tr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pythia_6.86104B_trajectory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pythia_6.86104B_trajectory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interpolated_trajectory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0.99995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0.00291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0.00380</w:t>
            </w:r>
          </w:p>
        </w:tc>
        <w:tc>
          <w:tcPr>
            <w:tcW w:type="dxa" w:w="1260"/>
            <w:vAlign w:val="center"/>
          </w:tcPr>
          <w:p>
            <w:r>
              <w:rPr>
                <w:sz w:val="15"/>
              </w:rPr>
              <w:t>0.99998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12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b3_trajectory_vali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12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3 B3 八条轨迹，实线为观测、虚线为预测</w:t>
      </w:r>
    </w:p>
    <w:p>
      <w:pPr>
        <w:spacing w:after="100" w:line="276" w:lineRule="auto"/>
      </w:pPr>
      <w:r>
        <w:t>B2 原始绝对 Loss 受模型族和验证集偏移影响，仿射重标定只作为同一外部数据集内的校准诊断；B4/B5 的排序相关性比绝对 R² 更稳定。因此可迁移的是相对排序和趋势，不能把 B1 截距直接当成所有模型族的共同标尺。</w:t>
      </w:r>
    </w:p>
    <w:p>
      <w:pPr>
        <w:pStyle w:val="Heading1"/>
      </w:pPr>
      <w:r>
        <w:t>5 Qscore 物理纠偏与低端饱和</w:t>
      </w:r>
    </w:p>
    <w:p>
      <w:pPr>
        <w:spacing w:after="100" w:line="276" w:lineRule="auto"/>
      </w:pPr>
      <w:r>
        <w:t>线性中心化模型和其镜像形式的预测值完全相同，镜像并不能改变偏导符号。主模型采用 q_defect=Q_score、q_quality=1-q_defect：L=c+A N^-alpha+B D^-beta+gamma q_defect^theta。于是 ∂L/∂q_defect=gamma theta q_defect^(theta-1)&gt;0，∂L/∂q_quality&lt;0；当 q_quality→1 时缺陷项趋于零，退化为经典 N-D 标度律。alpha、beta 围绕 B1 的 0.339957、0.279878 采用惩罚项松弛，lambda 取 0、0.1、1、10。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lambda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c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A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B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gamma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alpha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beta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theta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alpha_minus_B1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beta_minus_B1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8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</w:tr>
      <w:tr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0.000000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-7.302010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1.392151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7.118718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1.653806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0.132025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0.010000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0.865499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-0.207932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-0.269876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0.601225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0.384528</w:t>
            </w:r>
          </w:p>
        </w:tc>
      </w:tr>
      <w:tr>
        <w:tc>
          <w:tcPr>
            <w:tcW w:type="dxa" w:w="840"/>
            <w:vAlign w:val="center"/>
          </w:tcPr>
          <w:p>
            <w:r>
              <w:rPr>
                <w:sz w:val="15"/>
              </w:rPr>
              <w:t>0.100000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-7.301682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1.391798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7.118728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1.653808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0.132064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0.010000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0.865496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-0.207893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-0.269876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0.601225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0.384526</w:t>
            </w:r>
          </w:p>
        </w:tc>
      </w:tr>
      <w:tr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-7.298852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1.388740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7.118817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1.653818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0.132404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0.010000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0.865477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-0.207553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-0.269876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0.601225</w:t>
            </w:r>
          </w:p>
        </w:tc>
        <w:tc>
          <w:tcPr>
            <w:tcW w:type="dxa" w:w="840"/>
            <w:vAlign w:val="center"/>
            <w:shd w:fill="F3F6F9"/>
          </w:tcPr>
          <w:p>
            <w:r>
              <w:rPr>
                <w:sz w:val="15"/>
              </w:rPr>
              <w:t>0.384508</w:t>
            </w:r>
          </w:p>
        </w:tc>
      </w:tr>
      <w:tr>
        <w:tc>
          <w:tcPr>
            <w:tcW w:type="dxa" w:w="840"/>
            <w:vAlign w:val="center"/>
          </w:tcPr>
          <w:p>
            <w:r>
              <w:rPr>
                <w:sz w:val="15"/>
              </w:rPr>
              <w:t>10.000000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-7.271610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1.359225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7.119696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1.653926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0.135766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0.010000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0.865287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-0.204192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-0.269876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0.601220</w:t>
            </w:r>
          </w:p>
        </w:tc>
        <w:tc>
          <w:tcPr>
            <w:tcW w:type="dxa" w:w="840"/>
            <w:vAlign w:val="center"/>
          </w:tcPr>
          <w:p>
            <w:r>
              <w:rPr>
                <w:sz w:val="15"/>
              </w:rPr>
              <w:t>0.384332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quantity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pearson_r</w:t>
            </w:r>
          </w:p>
        </w:tc>
        <w:tc>
          <w:tcPr>
            <w:tcW w:type="dxa" w:w="336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raw Q_score vs val_loss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0.606699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2090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5"/>
              </w:rPr>
              <w:t>Q_score vs loss residual after B1 N-D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0.666110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2090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dL/dQ_score grid minimum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0.978229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2090</w:t>
            </w:r>
          </w:p>
        </w:tc>
      </w:tr>
      <w:tr>
        <w:tc>
          <w:tcPr>
            <w:tcW w:type="dxa" w:w="3360"/>
            <w:vAlign w:val="center"/>
          </w:tcPr>
          <w:p>
            <w:r>
              <w:rPr>
                <w:sz w:val="15"/>
              </w:rPr>
              <w:t>dL/dQ_score grid maximum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2.118461</w:t>
            </w:r>
          </w:p>
        </w:tc>
        <w:tc>
          <w:tcPr>
            <w:tcW w:type="dxa" w:w="3360"/>
            <w:vAlign w:val="center"/>
          </w:tcPr>
          <w:p>
            <w:r>
              <w:rPr>
                <w:sz w:val="15"/>
              </w:rPr>
              <w:t>2090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dL/dQ_score positive share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1.000000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rPr>
                <w:sz w:val="15"/>
              </w:rPr>
              <w:t>2090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978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quality_eff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4 原生 Qscore 缺陷率与验证 Loss</w:t>
      </w:r>
    </w:p>
    <w:p>
      <w:pPr>
        <w:spacing w:after="100" w:line="276" w:lineRule="auto"/>
      </w:pPr>
      <w:r>
        <w:t>低端敏感性检验共得到 138 个 Qscore=0.05/0.10 的 (N,D) 配对，其中 106 对 Loss 完全相等（76.8%）。例如 N=0.07、D=5 时两点分别为 1.0401 和 1.1624；N=1.0、D≥100 时两点均为 0.5000。该结果说明低端存在与规模相关的截断/饱和机制，不能把局部反常解释为质量方向翻转。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N_params_B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D_tokens_B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0.05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0.1</w:t>
            </w:r>
          </w:p>
        </w:tc>
        <w:tc>
          <w:tcPr>
            <w:tcW w:type="dxa" w:w="2016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equal_loss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0.0700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1.0401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1.1624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0.0700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0.9701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1.0960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0.0700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0.8910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1.0093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0.0700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0.8610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0.9621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0.0700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1000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0.8471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0.9414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0.0700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2000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0.8539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0.9243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0.1600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0.8104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0.9548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0.1600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20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0.7755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0.8548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0.1600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0.7109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0.8001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0.1600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500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0.6974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0.7769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0.1600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1000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0.6787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0.7577</w:t>
            </w:r>
          </w:p>
        </w:tc>
        <w:tc>
          <w:tcPr>
            <w:tcW w:type="dxa" w:w="2016"/>
            <w:vAlign w:val="center"/>
            <w:shd w:fill="F3F6F9"/>
          </w:tcPr>
          <w:p>
            <w:r>
              <w:rPr>
                <w:sz w:val="15"/>
              </w:rPr>
              <w:t>False</w:t>
            </w:r>
          </w:p>
        </w:tc>
      </w:tr>
      <w:tr>
        <w:tc>
          <w:tcPr>
            <w:tcW w:type="dxa" w:w="2016"/>
            <w:vAlign w:val="center"/>
          </w:tcPr>
          <w:p>
            <w:r>
              <w:rPr>
                <w:sz w:val="15"/>
              </w:rPr>
              <w:t>0.1600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2000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0.6532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0.7317</w:t>
            </w:r>
          </w:p>
        </w:tc>
        <w:tc>
          <w:tcPr>
            <w:tcW w:type="dxa" w:w="2016"/>
            <w:vAlign w:val="center"/>
          </w:tcPr>
          <w:p>
            <w:r>
              <w:rPr>
                <w:sz w:val="15"/>
              </w:rPr>
              <w:t>False</w:t>
            </w:r>
          </w:p>
        </w:tc>
      </w:tr>
    </w:tbl>
    <w:p>
      <w:pPr>
        <w:pStyle w:val="Heading1"/>
      </w:pPr>
      <w:r>
        <w:t>6 MRTS 与统一广义标度律</w:t>
      </w:r>
    </w:p>
    <w:p>
      <w:pPr>
        <w:spacing w:after="100" w:line="276" w:lineRule="auto"/>
      </w:pPr>
      <w:r>
        <w:t>将问题一的 16 维 ILR 坐标记为 z(p)，把逐域或宏观质量项写入统一形式：L_d(N,D,q,p)=c_d+A_d N^-alpha_d+B_d D^-beta_d+gamma_d q^theta+t_d^T z(p)+Delta_d^(2)。其中 Delta^(2) 是固定单纯形约束下的二阶非加性增量，系数语义为相对替代，不是绝对增加。</w:t>
      </w:r>
    </w:p>
    <w:p>
      <w:pPr>
        <w:spacing w:after="100" w:line="276" w:lineRule="auto"/>
      </w:pPr>
      <w:r>
        <w:t>全微分满足 dL=(∂L/∂lnN)dlnN+(∂L/∂lnD)dlnD+(∂L/∂q)dq+sum_i(∂L/∂p_i)dp_i=0，且 sum_i dp_i=0。质量提升令 dq&lt;0，保持 Loss 不变时 ΔlnN=-(∂L/∂q·Δq)/(∂L/∂lnN)&lt;0，ΔN%=(exp(ΔlnN)-1)×100%，N_equiv=N_base exp(ΔlnN)。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quantity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min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Q1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median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Q3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max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dL_dQ_quality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-1.648453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-1.648453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-1.648453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-1.648453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-1.648453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dL_dlnN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-0.261210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-0.213712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-0.179248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-0.156051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-0.132372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elasticity_N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-0.126509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-0.122688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-0.120113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-0.116325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-0.096431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delta_ln_N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-1.245316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-1.059187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-0.920030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-0.773511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-0.631082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delta_N_percent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-71.214995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-65.272222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-60.142293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-53.824043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-46.798441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N_equiv_B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0.037529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0.158394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0.488260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1.287022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3.444363</w:t>
            </w:r>
          </w:p>
        </w:tc>
      </w:tr>
    </w:tbl>
    <w:p>
      <w:pPr>
        <w:spacing w:after="100" w:line="276" w:lineRule="auto"/>
      </w:pPr>
      <w:r>
        <w:t>表中为完整 N-D 网格的中位数和四分位区间，避免用单点替代整体波动。当前非对称拟合在 q_quality=0.65、质量提升 0.1 的基准下给出参数替代区间；这是一种局部情景计算，不应外推为跨验证集的因果结论。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48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elasticity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4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5 参数弹性、数据弹性与有效质量边际效用的 1×3 网格</w:t>
      </w:r>
    </w:p>
    <w:p>
      <w:pPr>
        <w:pStyle w:val="Heading1"/>
      </w:pPr>
      <w:r>
        <w:t>7 17 域配比与二阶非加性</w:t>
      </w:r>
    </w:p>
    <w:p>
      <w:pPr>
        <w:spacing w:after="100" w:line="276" w:lineRule="auto"/>
      </w:pPr>
      <w:r>
        <w:t>宏观质量泛函为 Q_bar(p)=sum_i p_i Q_i_star。配比使用单纯形闭合和 16 维 ILR，提升某域必然从其他域替代。问题一接口传入的 65 条 Top-5 记录全部来自 independent test quadratic model，是二次模型的条件预测，不是实验观测。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Q_star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t_first_order</w:t>
            </w:r>
          </w:p>
        </w:tc>
        <w:tc>
          <w:tcPr>
            <w:tcW w:type="dxa" w:w="25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Q_status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arxiv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0.73234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-0.11019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observed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freelaw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-0.17512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nih_exporter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-0.63196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pubmed_central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-0.16983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wikipedia_en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0.12386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dm_mathematics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0.23555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github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0.40575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0.18960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observed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philpapers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-0.37999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stackexchange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-0.24947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observed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enron_emails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-0.98501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gutenberg_pg_19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0.07413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pile_cc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0.89479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ubuntu_irc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-0.32578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europarl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1.25206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hackernews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-0.43634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</w:tcPr>
          <w:p>
            <w:r>
              <w:rPr>
                <w:sz w:val="15"/>
              </w:rPr>
              <w:t>pubmed_abstracts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0.29399</w:t>
            </w:r>
          </w:p>
        </w:tc>
        <w:tc>
          <w:tcPr>
            <w:tcW w:type="dxa" w:w="2520"/>
            <w:vAlign w:val="center"/>
          </w:tcPr>
          <w:p>
            <w:r>
              <w:rPr>
                <w:sz w:val="15"/>
              </w:rPr>
              <w:t>median_imputed_no_document_quality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uspto_backgrounds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0.54253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0.39971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rPr>
                <w:sz w:val="15"/>
              </w:rPr>
              <w:t>median_imputed_no_document_quality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n_effects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positive_share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min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median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max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effect_source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interpretation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65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0.55385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-0.11806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0.02499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0.24866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independent test quadratic model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model-conditional nonadditive increment; not an experimental causal interaction</w:t>
            </w:r>
          </w:p>
        </w:tc>
      </w:tr>
    </w:tbl>
    <w:p>
      <w:pPr>
        <w:spacing w:after="100" w:line="276" w:lineRule="auto"/>
      </w:pPr>
      <w:r>
        <w:t>65 条非加性增量的正号占比为 55.4%，中位数约 0.025，符号近乎混合。因此本文使用“模型条件非加性增量”和“条件替代效应”，不拔高为因果协同或互补机制。</w:t>
      </w:r>
    </w:p>
    <w:p>
      <w:pPr>
        <w:pStyle w:val="Heading1"/>
      </w:pPr>
      <w:r>
        <w:t>8 跨语料仿射桥接</w:t>
      </w:r>
    </w:p>
    <w:p>
      <w:pPr>
        <w:spacing w:after="100" w:line="276" w:lineRule="auto"/>
      </w:pPr>
      <w:r>
        <w:t>提出可检验的跨语料假设 L_Pile=u L_Pythia+v，并分别在全部、High 和 Medium 层估计。High 层只有 7 条，占 75 条的 9.3%，且均为同一模型同一验证集的终检点；因此其 u 的置信区间较宽，当前只能给出不可稳定识别的定量证据。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tier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u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v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F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p_value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ci_width_u</w:t>
            </w:r>
          </w:p>
        </w:tc>
        <w:tc>
          <w:tcPr>
            <w:tcW w:type="dxa" w:w="112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identifiability</w:t>
            </w:r>
          </w:p>
        </w:tc>
      </w:tr>
      <w:tr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all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75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-20.41688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62.96091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0.26012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25.66402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0.00000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16.06437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descriptive</w:t>
            </w:r>
          </w:p>
        </w:tc>
      </w:tr>
      <w:tr>
        <w:tc>
          <w:tcPr>
            <w:tcW w:type="dxa" w:w="1120"/>
            <w:vAlign w:val="center"/>
          </w:tcPr>
          <w:p>
            <w:r>
              <w:rPr>
                <w:sz w:val="15"/>
              </w:rPr>
              <w:t>High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7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-0.88166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7.67165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0.15798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0.93810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0.37725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4.67994</w:t>
            </w:r>
          </w:p>
        </w:tc>
        <w:tc>
          <w:tcPr>
            <w:tcW w:type="dxa" w:w="1120"/>
            <w:vAlign w:val="center"/>
          </w:tcPr>
          <w:p>
            <w:r>
              <w:rPr>
                <w:sz w:val="15"/>
              </w:rPr>
              <w:t>weak; High tier is 7/75</w:t>
            </w:r>
          </w:p>
        </w:tc>
      </w:tr>
      <w:tr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Medium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68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-19.18461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61.43368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0.25250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22.29420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0.00001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16.22446</w:t>
            </w:r>
          </w:p>
        </w:tc>
        <w:tc>
          <w:tcPr>
            <w:tcW w:type="dxa" w:w="1120"/>
            <w:vAlign w:val="center"/>
            <w:shd w:fill="F3F6F9"/>
          </w:tcPr>
          <w:p>
            <w:r>
              <w:rPr>
                <w:sz w:val="15"/>
              </w:rPr>
              <w:t>descriptive</w:t>
            </w:r>
          </w:p>
        </w:tc>
      </w:tr>
    </w:tbl>
    <w:p>
      <w:pPr>
        <w:pStyle w:val="Heading1"/>
      </w:pPr>
      <w:r>
        <w:t>9 大规模外推与 A18 脱敏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dataset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data_status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n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r2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mae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rmse</w:t>
            </w:r>
          </w:p>
        </w:tc>
        <w:tc>
          <w:tcPr>
            <w:tcW w:type="dxa" w:w="144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spearman</w:t>
            </w:r>
          </w:p>
        </w:tc>
      </w:tr>
      <w:tr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B9_B10_large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estimated_large_scale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128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0.99999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0.00059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0.00107</w:t>
            </w:r>
          </w:p>
        </w:tc>
        <w:tc>
          <w:tcPr>
            <w:tcW w:type="dxa" w:w="1440"/>
            <w:vAlign w:val="center"/>
            <w:shd w:fill="F3F6F9"/>
          </w:tcPr>
          <w:p>
            <w:r>
              <w:rPr>
                <w:sz w:val="15"/>
              </w:rPr>
              <w:t>0.99999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988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q2_large_scale_extrapo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 6 B9/B10 超百亿规模情景外推</w:t>
      </w:r>
    </w:p>
    <w:p>
      <w:pPr>
        <w:spacing w:after="100" w:line="276" w:lineRule="auto"/>
      </w:pPr>
      <w:r>
        <w:t>A18 仅用于技术性定性例证，覆盖 17 个域；每域只保留域名、3 个关键词、样本量和平均字符数，不保留任何连续原文。该表不能计算 Q，也不能构造冲突标签。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keyword_1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keyword_2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keyword_3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sample_rows</w:t>
            </w:r>
          </w:p>
        </w:tc>
        <w:tc>
          <w:tcPr>
            <w:tcW w:type="dxa" w:w="1680"/>
            <w:shd w:fill="1F4E78"/>
            <w:vAlign w:val="center"/>
          </w:tcPr>
          <w:p>
            <w:r>
              <w:rPr>
                <w:b/>
                <w:color w:val="FFFFFF"/>
                <w:sz w:val="15"/>
              </w:rPr>
              <w:t>mean_text_chars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arxiv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abstract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latex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formula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1719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47031.4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dm_mathematics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problem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equation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remainder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1922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8194.0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enron_emails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email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forwarded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1010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1618.6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europarl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debate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motion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translation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157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51662.9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freelaw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statute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court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jurisdiction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5100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15762.0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github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repository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code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license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15117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5178.7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gutenberg_pg_19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novel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chapter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character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79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381179.6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hackernews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technology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comment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startup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944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5180.6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nih_exporter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research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grant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biomedical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1884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2081.3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philpapers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philosophy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argument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citation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67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73524.1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pile_cc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web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document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crawl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18191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4523.0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pubmed_abstracts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abstract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clinical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study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29895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1330.5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pubmed_central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case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method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result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2629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31268.0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stackexchange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question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answer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code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30378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2171.4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ubuntu_irc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chat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package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debugging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16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225242.8</w:t>
            </w:r>
          </w:p>
        </w:tc>
      </w:tr>
      <w:tr>
        <w:tc>
          <w:tcPr>
            <w:tcW w:type="dxa" w:w="1680"/>
            <w:vAlign w:val="center"/>
          </w:tcPr>
          <w:p>
            <w:r>
              <w:rPr>
                <w:sz w:val="15"/>
              </w:rPr>
              <w:t>uspto_backgrounds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patent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claim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invention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11415</w:t>
            </w:r>
          </w:p>
        </w:tc>
        <w:tc>
          <w:tcPr>
            <w:tcW w:type="dxa" w:w="1680"/>
            <w:vAlign w:val="center"/>
          </w:tcPr>
          <w:p>
            <w:r>
              <w:rPr>
                <w:sz w:val="15"/>
              </w:rPr>
              <w:t>4139.5</w:t>
            </w:r>
          </w:p>
        </w:tc>
      </w:tr>
      <w:tr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wikipedia_en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encyclopedia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reference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topic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17511</w:t>
            </w:r>
          </w:p>
        </w:tc>
        <w:tc>
          <w:tcPr>
            <w:tcW w:type="dxa" w:w="1680"/>
            <w:vAlign w:val="center"/>
            <w:shd w:fill="F3F6F9"/>
          </w:tcPr>
          <w:p>
            <w:r>
              <w:rPr>
                <w:sz w:val="15"/>
              </w:rPr>
              <w:t>2964.6</w:t>
            </w:r>
          </w:p>
        </w:tc>
      </w:tr>
    </w:tbl>
    <w:p>
      <w:pPr>
        <w:pStyle w:val="Heading1"/>
      </w:pPr>
      <w:r>
        <w:t>10 复现与结论</w:t>
      </w:r>
    </w:p>
    <w:p>
      <w:pPr>
        <w:spacing w:after="100" w:line="276" w:lineRule="auto"/>
      </w:pPr>
      <w:r>
        <w:t>复现命令为 $env:PYTHONPATH='src'; .venv\Scripts\python.exe -m f_question.q2，再运行 bundled Python 的 build_q2_docx.py。结论：B1 网格被精确识别；Qscore 按缺陷率建模；B2 需重标定；跨语料桥接暂不可稳定识别；二阶配比项仅作条件非加性；B9/B10 仅支持情景分析。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