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t>问题三 算力约束下的多维资源联合优化</w:t>
      </w:r>
    </w:p>
    <w:p>
      <w:pPr>
        <w:jc w:val="center"/>
      </w:pPr>
      <w:r>
        <w:rPr>
          <w:color w:val="5A5A5A"/>
          <w:sz w:val="22"/>
        </w:rPr>
        <w:t>数学建模 F 题</w:t>
      </w:r>
    </w:p>
    <w:p>
      <w:r>
        <w:br w:type="page"/>
      </w:r>
    </w:p>
    <w:p>
      <w:pPr>
        <w:pStyle w:val="Heading1"/>
        <w:spacing w:after="120" w:line="276" w:lineRule="auto"/>
      </w:pPr>
      <w:r>
        <w:rPr>
          <w:rFonts w:ascii="Microsoft YaHei" w:hAnsi="Microsoft YaHei" w:eastAsia="Microsoft YaHei"/>
          <w:sz w:val="21"/>
        </w:rPr>
        <w:t>摘要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本问在问题一的领域质量接口和问题二的标度律基础上，联合优化参数量 N、训练数据量 D、质量目标 Q 与 17 域配比 p。为满足 Q4 与 C6 的 Loss 尺度契约，对外主情景采用 B1 的 Pythia 经典项 (A,B,α,β) 与 B6–B8 λ=10 的质量项 (γ,θ) 组成的混合口径；它不是单一数据集上的联合估计。B6–B8 原生口径仍作为独立质量数据敏感性结果完整保留。预算覆盖 10^19--10^27 FLOPs，连续 Loss*(C) 仅是预算网格上的对数分段插值。Q1 的 17 域 Q 有 14 个中位数插补，Qbar 的方差相对仅观测域重闭合口径损失 91.4%，故质量—配比部分是弱证据。主情景中 Q 达到 0.95 上界，质量维度的内点权衡不可识别；部分高预算情景触及 N 上界时，只能解释为情景边界与成本函数的共同结果。</w:t>
      </w:r>
    </w:p>
    <w:p>
      <w:pPr>
        <w:pStyle w:val="Heading1"/>
        <w:spacing w:after="120" w:line="276" w:lineRule="auto"/>
      </w:pPr>
      <w:r>
        <w:rPr>
          <w:rFonts w:ascii="Microsoft YaHei" w:hAnsi="Microsoft YaHei" w:eastAsia="Microsoft YaHei"/>
          <w:sz w:val="21"/>
        </w:rPr>
        <w:t>1 问题重述与数据边界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目标是在算力预算 C 下配置 N、D、Q 和 p，使代理验证损失最小。预算覆盖 10^19、10^22、10^24、10^25、10^26、10^27 FLOPs，Lctx 采用 C7 的离散支持值。Q1 的 Qbar 插补方差损失为 91.4%，Qbar(p) 只作为弱证据。B1 与 B6–B8 的数据口径不同，因此不将单个系数拆开互换；供 Q4 使用的完整混合情景明确记录为 B1 经典项与 B6–B8 质量项的跨数据源组合。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coefficient_source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parameter_group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0.8111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0.5641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alpha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0.2334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beta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0.2625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gamma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1.5165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theta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1.0868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2.0824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1.2552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alpha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0.0661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beta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0.2762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gamma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1.5165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theta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1.0868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主情景使用 expanded: N∈[0.07,5000]、D∈[0.134,4000]；legacy 对照为 N∈[0.07,1000]、D∈[0.134,5000]。边界是用于控制外推范围的情景设定，不是题目给定或物理可达上限。Q4 前沿从 expanded 情景构造，以覆盖 10^27 FLOPs；超过已观测规模的部分仍是模型外推。</w:t>
      </w:r>
    </w:p>
    <w:p>
      <w:pPr>
        <w:pStyle w:val="Heading1"/>
        <w:spacing w:after="120" w:line="276" w:lineRule="auto"/>
      </w:pPr>
      <w:r>
        <w:rPr>
          <w:rFonts w:ascii="Microsoft YaHei" w:hAnsi="Microsoft YaHei" w:eastAsia="Microsoft YaHei"/>
          <w:sz w:val="21"/>
        </w:rPr>
        <w:t>2 符号与模型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N、D 分别以十亿参数和十亿 Token 计，p_i≥0.001 且 Σp_i=1，Q0≤Q≤0.95。配比采用带下界的 softmax 参数化，保证每个领域有最小代表量。</w:t>
      </w:r>
    </w:p>
    <w:p>
      <w:pPr>
        <w:spacing w:before="80" w:after="160"/>
        <w:jc w:val="center"/>
      </w:pPr>
      <w:r>
        <w:rPr>
          <w:rFonts w:ascii="Cambria Math" w:hAnsi="Cambria Math" w:eastAsia="Cambria Math"/>
          <w:i/>
          <w:sz w:val="21"/>
        </w:rPr>
        <w:t>C_train = 0.006 N D;   C_attn = C_train · ηL_ctx / 6;   C_Q = 10⁻¹² D [g(Q) − g(Q₀)]₊</w:t>
      </w:r>
    </w:p>
    <w:p>
      <w:pPr>
        <w:spacing w:before="80" w:after="160"/>
        <w:jc w:val="center"/>
      </w:pPr>
      <w:r>
        <w:rPr>
          <w:rFonts w:ascii="Cambria Math" w:hAnsi="Cambria Math" w:eastAsia="Cambria Math"/>
          <w:i/>
          <w:sz w:val="21"/>
        </w:rPr>
        <w:t>L = A N⁻ᵅ + B D⁻ᵝ + γ(1 − Q_eff)ᶿ + 0.08 tᵀ(p − p₀) + 0.03 Σᵢ pᵢ ln(pᵢ / p₀ᵢ)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Q_eff=1-(1-Q)Q0/Q̄(p)，Q̄(p)=Σp_iQ_i^*。p 项系相对替代效应：提高一个领域意味着从其他领域挪出相同比例。二阶表只报告独立测试二次模型的预测非加性差分，不解释为因果协同。</w:t>
      </w:r>
    </w:p>
    <w:p>
      <w:pPr>
        <w:pStyle w:val="Heading1"/>
        <w:spacing w:after="120" w:line="276" w:lineRule="auto"/>
      </w:pPr>
      <w:r>
        <w:rPr>
          <w:rFonts w:ascii="Microsoft YaHei" w:hAnsi="Microsoft YaHei" w:eastAsia="Microsoft YaHei"/>
          <w:sz w:val="21"/>
        </w:rPr>
        <w:t>3 两套参数口径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Q4 对外主情景的经典项为 B1 Pythia 联合拟合的 A=2.0824、B=1.2552、α=0.0661、β=0.2762；质量项为 B6–B8 λ=10 的 γ=1.5165、θ=1.0868。该组参数须整体读取并标注为混合口径，不应解释为同一数据集联合估计。B6–B8 原生六参数 A=0.8111、B=0.5641、α=0.2334、β=0.2625、γ=1.5165、θ=1.0868 单独保留作质量实验口径对照。γ、θ 在 λ=0 至 10 的变动小于 0.02% 和 0.04%，但此稳定性不能消除跨数据源不确定性。每套口径均完整运行六档预算、三种质量成本和五个上下文情景。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coefficient_source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budget_1e21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N_params_B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D_tokens_B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Q_target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loss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0.4211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1.8455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3.3087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26.2925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58.3963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2.1296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1045.1862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149.2104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1.6739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312.0055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1.4865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3120.0548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1.3656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4000.0000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1.3566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2.6006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0.5158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1.3642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81.0584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19.1471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0.5947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921.1991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169.2839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0.3556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3115.0107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500.7839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0.2784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3120.0548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0.2234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4000.0000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0.2191</w:t>
            </w:r>
          </w:p>
        </w:tc>
      </w:tr>
    </w:tbl>
    <w:p>
      <w:pPr>
        <w:spacing w:after="40"/>
      </w:pP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35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coefficient_sourc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两套参数口径对照</w:t>
      </w:r>
    </w:p>
    <w:p>
      <w:pPr>
        <w:pStyle w:val="Heading1"/>
        <w:spacing w:after="120" w:line="276" w:lineRule="auto"/>
      </w:pPr>
      <w:r>
        <w:rPr>
          <w:rFonts w:ascii="Microsoft YaHei" w:hAnsi="Microsoft YaHei" w:eastAsia="Microsoft YaHei"/>
          <w:sz w:val="21"/>
        </w:rPr>
        <w:t>4 结果</w:t>
      </w:r>
    </w:p>
    <w:p>
      <w:pPr>
        <w:pStyle w:val="Heading3"/>
        <w:spacing w:after="120" w:line="276" w:lineRule="auto"/>
      </w:pPr>
      <w:r>
        <w:rPr>
          <w:rFonts w:ascii="Microsoft YaHei" w:hAnsi="Microsoft YaHei" w:eastAsia="Microsoft YaHei"/>
          <w:sz w:val="21"/>
        </w:rPr>
        <w:t>4.1 主口径六档预算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budget_1e21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context_tokens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N_params_B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D_tokens_B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Q_target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loss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2048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0.4211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1.8455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3.3087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2048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26.2925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58.3963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2.1296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2048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1045.1862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149.2104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1.6739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2048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312.0055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1.4865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2048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3120.0548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1.3656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8192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4000.0000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1.3566</w:t>
            </w:r>
          </w:p>
        </w:tc>
      </w:tr>
    </w:tbl>
    <w:p>
      <w:pPr>
        <w:spacing w:before="40" w:after="80"/>
      </w:pPr>
      <w:r>
        <w:rPr>
          <w:i/>
          <w:sz w:val="16"/>
        </w:rPr>
        <w:t>宽表正文仅列前六个识别字段及代表性记录；完整逐项结果见 outputs/q3 下对应 CSV。</w:t>
      </w:r>
    </w:p>
    <w:p>
      <w:pPr>
        <w:spacing w:after="40"/>
      </w:pP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26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budget_allo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预算下的资源配置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87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budget_loss_par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预算损失 Pareto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Q 在六档预算均为 0.95，主模型没有识别到质量内点。低预算质量成本占比较高；部分高预算情景触及 5000B 上界，必须解释为边界设定加成本函数结构效应，而非架构规律。expanded 边界放宽结果见 4.4。</w:t>
      </w:r>
    </w:p>
    <w:p>
      <w:pPr>
        <w:pStyle w:val="Heading3"/>
        <w:spacing w:after="120" w:line="276" w:lineRule="auto"/>
      </w:pPr>
      <w:r>
        <w:rPr>
          <w:rFonts w:ascii="Microsoft YaHei" w:hAnsi="Microsoft YaHei" w:eastAsia="Microsoft YaHei"/>
          <w:sz w:val="21"/>
        </w:rPr>
        <w:t>4.2 质量成本与参数口径敏感性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coefficient_source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budget_1e21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cost_function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N_params_B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D_tokens_B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Q_target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0.4211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1.8455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logarithmic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0.2561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3.8403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power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0.4890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1.4808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26.2925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58.3963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logarithmic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25.7323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60.2786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power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26.5727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57.4914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1045.1862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149.2104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logarithmic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1044.6042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149.3327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power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1045.4809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149.1484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312.0055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logarithmic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312.0226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power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311.9967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3120.0548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logarithmic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3120.2258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power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3119.9672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2.6006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0.5158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logarithmic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2.2836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0.6410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power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2.7437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0.4716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81.0584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19.1471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logarithmic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80.6554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19.3076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power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81.2639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19.0662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921.1991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169.2839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logarithmic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920.7961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169.4083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power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921.4125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169.2189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3115.0107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500.7839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logarithmic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3114.6578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500.8847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power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3115.2036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500.7304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3120.0548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logarithmic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3120.2258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power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3119.9672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</w:tr>
    </w:tbl>
    <w:p>
      <w:pPr>
        <w:spacing w:after="40"/>
      </w:pP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843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quality_cost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三类质量成本函数敏感性</w:t>
      </w:r>
    </w:p>
    <w:p>
      <w:pPr>
        <w:pStyle w:val="Heading3"/>
        <w:spacing w:after="120" w:line="276" w:lineRule="auto"/>
      </w:pPr>
      <w:r>
        <w:rPr>
          <w:rFonts w:ascii="Microsoft YaHei" w:hAnsi="Microsoft YaHei" w:eastAsia="Microsoft YaHei"/>
          <w:sz w:val="21"/>
        </w:rPr>
        <w:t>4.3 上下文与注意力成本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926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context_sens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上下文敏感性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context_tokens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N_params_B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D_tokens_B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Q_target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loss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attention_cost_share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2048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26.2925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58.3963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2.1296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0.0629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4096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25.0010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57.7347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2.1365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0.1182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8192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22.7983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56.5413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2.1492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0.2112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32768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15.2250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51.5869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2.2056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0.5147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131072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7.0833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43.3081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2.3168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0.8042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由模型定义式 Lctx^crit=6/η，题设给定 η=2×10^-4 时得到 30000。η 敏感性为：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eta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critical_context_tokens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0.0001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60000.0000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0.0002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30000.0000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0.0004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15000.0000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0.0008</w:t>
            </w:r>
          </w:p>
        </w:tc>
        <w:tc>
          <w:tcPr>
            <w:tcW w:type="dxa" w:w="49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7500.0000</w:t>
            </w:r>
          </w:p>
        </w:tc>
      </w:tr>
    </w:tbl>
    <w:p>
      <w:pPr>
        <w:spacing w:after="40"/>
      </w:pP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76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attention_critical_conte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临界上下文长度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30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eta_sensi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eta 敏感性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9 个预算与成本条件的选择均落在 2048，是代理损失缺少长文本收益项导致的最短上下文边界解，不能推广为真实训练中 2048 普遍最优。</w:t>
      </w:r>
    </w:p>
    <w:p>
      <w:pPr>
        <w:pStyle w:val="Heading3"/>
        <w:spacing w:after="120" w:line="276" w:lineRule="auto"/>
      </w:pPr>
      <w:r>
        <w:rPr>
          <w:rFonts w:ascii="Microsoft YaHei" w:hAnsi="Microsoft YaHei" w:eastAsia="Microsoft YaHei"/>
          <w:sz w:val="21"/>
        </w:rPr>
        <w:t>4.4 边界放宽与结构转移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coefficient_source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budget_1e21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N_params_B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D_tokens_B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Q_target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loss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2.6006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0.5158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1.3642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81.0592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19.1469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0.5947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921.1991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169.2839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0.3556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3115.0031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500.7852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0.2784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3120.0548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0.2234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4000.0000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0.2191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0.4211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1.8455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3.3087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26.2925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58.3963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2.1296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1045.1862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149.2104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1.6739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312.0055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1.4865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3120.0548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1.3656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4000.0000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1.3566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放宽到 N≤5000、D≤4000 后，高预算解若仍贴近 N 上界，则只能说明边界依赖；若回到内点，才可把旧边界激活视为数值约束影响。成本份额的跨预算转移如下：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coefficient_source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boundary_scheme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cost_function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budget_from_1e21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budget_to_1e21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delta_N_B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expanded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25.8714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expanded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1018.8937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expanded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3954.8138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expanded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-0.0000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expanded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exponential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expanded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logarithmic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25.4762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expanded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logarithmic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1018.8719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expanded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logarithmic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3955.3958</w:t>
            </w:r>
          </w:p>
        </w:tc>
      </w:tr>
    </w:tbl>
    <w:p>
      <w:pPr>
        <w:spacing w:before="40" w:after="80"/>
      </w:pPr>
      <w:r>
        <w:rPr>
          <w:i/>
          <w:sz w:val="16"/>
        </w:rPr>
        <w:t>宽表正文仅列前六个识别字段及代表性记录；完整逐项结果见 outputs/q3 下对应 CSV。</w:t>
      </w:r>
    </w:p>
    <w:p>
      <w:pPr>
        <w:spacing w:after="40"/>
      </w:pP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092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structural_transf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预算结构转移</w:t>
      </w:r>
    </w:p>
    <w:p>
      <w:pPr>
        <w:pStyle w:val="Heading3"/>
        <w:spacing w:after="120" w:line="276" w:lineRule="auto"/>
      </w:pPr>
      <w:r>
        <w:rPr>
          <w:rFonts w:ascii="Microsoft YaHei" w:hAnsi="Microsoft YaHei" w:eastAsia="Microsoft YaHei"/>
          <w:sz w:val="21"/>
        </w:rPr>
        <w:t>4.5 配比重塑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配比使用 p_i≥0.001 的下界。下表给出基线 p0、最优 share 与倍数 share/p0：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p0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share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share_multiple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enron_emails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0.0022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0.0256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11.5815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nih_exporter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0.0059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0.0266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4.5187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hackernews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0.0117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0.0312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2.6815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philpapers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0.0055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0.0127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2.3101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arxiv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0.1130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0.2419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2.1407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ubuntu_irc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0.0196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0.0391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1.9965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stackexchange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0.0994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0.1620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1.6292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freelaw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0.0968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0.1294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1.3362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pubmed_central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0.1138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0.1499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1.3178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gutenberg_pg_19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0.0469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0.0323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0.6876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wikipedia_en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0.0751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0.0452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0.6017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dm_mathematics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0.0255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0.0114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0.4460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pubmed_abstracts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0.0662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0.0253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0.3817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github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0.1107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0.0351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0.3170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uspto_backgrounds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0.0756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0.0221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0.2927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europarl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0.0127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0.0011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0.0825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pile_cc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0.1195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0.0092</w:t>
            </w:r>
          </w:p>
        </w:tc>
        <w:tc>
          <w:tcPr>
            <w:tcW w:type="dxa" w:w="249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0.0770</w:t>
            </w:r>
          </w:p>
        </w:tc>
      </w:tr>
    </w:tbl>
    <w:p>
      <w:pPr>
        <w:spacing w:after="40"/>
      </w:pP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35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domain_m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领域配比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施加 p_i≥0.001 下界后，本次主口径实测的典型倍数由导出表给出（例如 pile_cc、europarl 约降至基线的 0.08，github 约 0.32，enron 约 11.6，arxiv 约 2.1）；下界会压缩无约束优化可能出现的极端倍数。跨预算结构高度稳定，但相对 p0 的 KL 可约 0.35 nats，二者并不矛盾。主项系数与 KL 系数分别做 1/5、1、5 倍敏感性：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078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mix_sensi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配比权重敏感性</w:t>
      </w:r>
    </w:p>
    <w:p>
      <w:pPr>
        <w:pStyle w:val="Heading3"/>
        <w:spacing w:after="120" w:line="276" w:lineRule="auto"/>
      </w:pPr>
      <w:r>
        <w:rPr>
          <w:rFonts w:ascii="Microsoft YaHei" w:hAnsi="Microsoft YaHei" w:eastAsia="Microsoft YaHei"/>
          <w:sz w:val="21"/>
        </w:rPr>
        <w:t>4.6 二阶非加性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loss_domain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domain_a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domain_b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donor_domain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nonadditive_delta_loss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metric/the_pile_github_val_loss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stackexchange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github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pile_cc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0.2487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metric/the_pile_stackexchange_val_loss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stackexchange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github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pile_cc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0.1919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metric/the_pile_arxiv_val_loss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stackexchange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arxiv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github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0.1661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metric/the_pile_wikipedia_en_val_loss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wikipedia_en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pile_cc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github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0.1299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metric/the_pile_dm_mathematics_val_loss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freelaw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pubmed_central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arxiv</w:t>
            </w:r>
          </w:p>
        </w:tc>
        <w:tc>
          <w:tcPr>
            <w:tcW w:type="dxa" w:w="199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-0.1181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这些记录来自独立测试二次模型预测的二阶差分，符号不代表实验因果机制。</w:t>
      </w:r>
    </w:p>
    <w:p>
      <w:pPr>
        <w:pStyle w:val="Heading3"/>
        <w:spacing w:after="120" w:line="276" w:lineRule="auto"/>
      </w:pPr>
      <w:r>
        <w:rPr>
          <w:rFonts w:ascii="Microsoft YaHei" w:hAnsi="Microsoft YaHei" w:eastAsia="Microsoft YaHei"/>
          <w:sz w:val="21"/>
        </w:rPr>
        <w:t>4.7 参数不确定性传播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对六参数至少 200 次抽样，传播到 N、D、Q 与三类成本份额；区间采用 2.5%--97.5% 分位数。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coefficient_source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budget_1e21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N_params_B_median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N_params_B_ci_low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N_params_B_ci_high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D_tokens_B_median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0.4214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0.3938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0.4505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1.8460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25.8462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23.5853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27.7426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59.3883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1020.1850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930.1949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1102.8181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152.8655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2.5831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2.1825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3.2364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0.5188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81.0404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69.7501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94.5649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19.1514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b6_b8_lambda10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925.7160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786.4527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1081.1216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168.4583</w:t>
            </w:r>
          </w:p>
        </w:tc>
      </w:tr>
    </w:tbl>
    <w:p>
      <w:pPr>
        <w:spacing w:before="40" w:after="80"/>
      </w:pPr>
      <w:r>
        <w:rPr>
          <w:i/>
          <w:sz w:val="16"/>
        </w:rPr>
        <w:t>宽表正文仅列前六个识别字段及代表性记录；完整逐项结果见 outputs/q3 下对应 CSV。</w:t>
      </w:r>
    </w:p>
    <w:p>
      <w:pPr>
        <w:spacing w:after="40"/>
      </w:pP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4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uncertainty_ban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不确定性区间</w:t>
      </w:r>
    </w:p>
    <w:p>
      <w:pPr>
        <w:pStyle w:val="Heading1"/>
        <w:spacing w:after="120" w:line="276" w:lineRule="auto"/>
      </w:pPr>
      <w:r>
        <w:rPr>
          <w:rFonts w:ascii="Microsoft YaHei" w:hAnsi="Microsoft YaHei" w:eastAsia="Microsoft YaHei"/>
          <w:sz w:val="21"/>
        </w:rPr>
        <w:t>5 模型检验与敏感性</w:t>
      </w:r>
    </w:p>
    <w:p>
      <w:pPr>
        <w:pStyle w:val="Heading3"/>
        <w:spacing w:after="120" w:line="276" w:lineRule="auto"/>
      </w:pPr>
      <w:r>
        <w:rPr>
          <w:rFonts w:ascii="Microsoft YaHei" w:hAnsi="Microsoft YaHei" w:eastAsia="Microsoft YaHei"/>
          <w:sz w:val="21"/>
        </w:rPr>
        <w:t>5.1 质量成本校准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当前 κ_Q=1 未由硬件实测识别，scale 网格扩展到覆盖 Q 脱离 0.95 的转折区间：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quality_cost_scale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Q_target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N_params_B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D_tokens_B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quality_cost_share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3F6B85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loss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0.3000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25.6847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60.4433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0.0049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2.1284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26.2925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58.3963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0.0159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2.1296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27.9285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53.4276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0.0436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2.1331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32.8569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42.0532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0.1144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2.1438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43.6539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27.6712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0.2257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2.1678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69.5549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13.9322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0.3789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2.2233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118.6507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6.3438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0.5175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2.3159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0.9500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230.7095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2.3820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0.6478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2.4847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0.5488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25.4178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61.3807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2.5957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0.5488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25.4177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61.3809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2.5957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30000.0000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0.5488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25.4176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61.3812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2.5957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0.5488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25.4176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61.3812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9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2.5957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1000000.0000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0.5488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25.4177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61.3810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0.0000</w:t>
            </w:r>
          </w:p>
        </w:tc>
        <w:tc>
          <w:tcPr>
            <w:tcW w:type="dxa" w:w="16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2.5957</w:t>
            </w:r>
          </w:p>
        </w:tc>
      </w:tr>
    </w:tbl>
    <w:p>
      <w:pPr>
        <w:spacing w:after="40"/>
      </w:pP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354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cost_scale_sensitiv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质量成本校准敏感性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若 Q 在全网格仍贴边，结论只能是当前校准下优先提质；候选成因包括清洗成本相对训练通量过小、收益项形式缺失、γ 量级偏大，均需额外数据验证。</w:t>
      </w:r>
    </w:p>
    <w:p>
      <w:pPr>
        <w:pStyle w:val="Heading3"/>
        <w:spacing w:after="120" w:line="276" w:lineRule="auto"/>
      </w:pPr>
      <w:r>
        <w:rPr>
          <w:rFonts w:ascii="Microsoft YaHei" w:hAnsi="Microsoft YaHei" w:eastAsia="Microsoft YaHei"/>
          <w:sz w:val="21"/>
        </w:rPr>
        <w:t>5.2 约束与接口检查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优化结果逐行检查预算约束、p 行和、p_i 下界和 Q 上界。A4 基线按行闭合后取均值；所有二阶组合均保留来源标签。B1 的 α、β 已用 bootstrap 给出区间，Q2 的 γ、θ 使用 λ=10 行的区间。</w:t>
      </w:r>
    </w:p>
    <w:p>
      <w:pPr>
        <w:pStyle w:val="Heading1"/>
        <w:spacing w:after="120" w:line="276" w:lineRule="auto"/>
      </w:pPr>
      <w:r>
        <w:rPr>
          <w:rFonts w:ascii="Microsoft YaHei" w:hAnsi="Microsoft YaHei" w:eastAsia="Microsoft YaHei"/>
          <w:sz w:val="21"/>
        </w:rPr>
        <w:t>6 局限性与推广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Q1 插补误差、Q2 口径桥接误差和硬件吞吐尚未由同一联合实验识别。下一步可用真实计时校准 η 与 κ_Q，把 Q1 质量向量的插补方差纳入层次模型，并在有成对配方观测后估计 p 的二阶项。</w:t>
      </w:r>
    </w:p>
    <w:p>
      <w:pPr>
        <w:pStyle w:val="Heading1"/>
        <w:spacing w:after="120" w:line="276" w:lineRule="auto"/>
      </w:pPr>
      <w:r>
        <w:rPr>
          <w:rFonts w:ascii="Microsoft YaHei" w:hAnsi="Microsoft YaHei" w:eastAsia="Microsoft YaHei"/>
          <w:sz w:val="21"/>
        </w:rPr>
        <w:t>7 结论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主口径重算后，Q 恒卡在 0.95，质量维度的内点权衡不可识别；部分高预算情景的 N 上界激活是边界设定和成本结构的共同结果。长上下文使注意力开销按 ηLctx/6 放大，参数规模受到更强挤压，代理模型倾向优先保数据吞吐。在本代理模型和题设成本函数条件下，得到的规律性结论是：长上下文算力挤压具有非对称性，参数规模相对更易被压缩；该判断需用长文本训练计时和收益项补充实验验证，不能作为脱离校准条件的工程定律。</w:t>
      </w:r>
    </w:p>
    <w:p>
      <w:pPr>
        <w:pStyle w:val="Heading1"/>
        <w:spacing w:after="120" w:line="276" w:lineRule="auto"/>
      </w:pPr>
      <w:r>
        <w:rPr>
          <w:rFonts w:ascii="Microsoft YaHei" w:hAnsi="Microsoft YaHei" w:eastAsia="Microsoft YaHei"/>
          <w:sz w:val="21"/>
        </w:rPr>
        <w:t>参考文献</w:t>
      </w:r>
    </w:p>
    <w:p>
      <w:pPr>
        <w:pStyle w:val="ListNumber"/>
        <w:spacing w:after="60"/>
      </w:pPr>
      <w:r>
        <w:t>Kaplan et al. Scaling Laws for Neural Language Models, 2020.</w:t>
      </w:r>
    </w:p>
    <w:p>
      <w:pPr>
        <w:pStyle w:val="ListNumber"/>
        <w:spacing w:after="60"/>
      </w:pPr>
      <w:r>
        <w:t>Hoffmann et al. Training Compute-Optimal Large Language Models, NeurIPS, 2022.</w:t>
      </w:r>
    </w:p>
    <w:p>
      <w:pPr>
        <w:pStyle w:val="ListNumber"/>
        <w:spacing w:after="60"/>
      </w:pPr>
      <w:r>
        <w:t>Xia et al. RegMix: Data Mixture as Regression for Language Model Pre-training, ICML, 2024.</w:t>
      </w:r>
    </w:p>
    <w:p>
      <w:pPr>
        <w:pStyle w:val="ListNumber"/>
        <w:spacing w:after="60"/>
      </w:pPr>
      <w:r>
        <w:t>Biderman et al. Pythia: A Suite for Analyzing Large Language Models Across Training and Scaling, ICML, 2023.</w:t>
      </w:r>
    </w:p>
    <w:p>
      <w:pPr>
        <w:pStyle w:val="ListNumber"/>
        <w:spacing w:after="60"/>
      </w:pPr>
      <w:r>
        <w:t>Bahri et al. Explaining neural scaling laws, PNAS, 2024.</w:t>
      </w:r>
    </w:p>
    <w:p>
      <w:pPr>
        <w:pStyle w:val="Heading1"/>
        <w:spacing w:after="120" w:line="276" w:lineRule="auto"/>
      </w:pPr>
      <w:r>
        <w:rPr>
          <w:rFonts w:ascii="Microsoft YaHei" w:hAnsi="Microsoft YaHei" w:eastAsia="Microsoft YaHei"/>
          <w:sz w:val="21"/>
        </w:rPr>
        <w:t>数据交付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所有 CSV、图片和本文由 f_question.q3 重跑生成，原始数据集不复制到输出目录。</w:t>
      </w:r>
    </w:p>
    <w:sectPr w:rsidR="00FC693F" w:rsidRPr="0006063C" w:rsidSect="00034616">
      <w:footerReference w:type="default" r:id="rId21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问题三  算力约束下的多维资源联合优化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问题三 算力约束下的多维资源联合优化</dc:title>
  <dc:subject>数学建模 F 题第三问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