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问题四 模型效率前沿与规模技术进步分解</w:t>
      </w:r>
    </w:p>
    <w:p>
      <w:pPr>
        <w:jc w:val="center"/>
      </w:pPr>
      <w:r>
        <w:rPr>
          <w:color w:val="5A5A5A"/>
          <w:sz w:val="22"/>
        </w:rPr>
        <w:t>数学建模 F 题</w:t>
      </w:r>
    </w:p>
    <w:p>
      <w:r>
        <w:br w:type="page"/>
      </w:r>
    </w:p>
    <w:p>
      <w:pPr>
        <w:pStyle w:val="Heading1"/>
        <w:spacing w:after="120" w:line="276" w:lineRule="auto"/>
      </w:pPr>
      <w:r>
        <w:rPr>
          <w:rFonts w:ascii="Microsoft YaHei" w:hAnsi="Microsoft YaHei" w:eastAsia="Microsoft YaHei"/>
          <w:sz w:val="21"/>
        </w:rPr>
        <w:t>摘要</w:t>
      </w:r>
    </w:p>
    <w:p>
      <w:pPr>
        <w:spacing w:after="120" w:line="276" w:lineRule="auto"/>
      </w:pPr>
      <w:r>
        <w:rPr>
          <w:rFonts w:ascii="Microsoft YaHei" w:hAnsi="Microsoft YaHei" w:eastAsia="Microsoft YaHei"/>
          <w:sz w:val="21"/>
        </w:rPr>
        <w:t>本问研究训练计算预算、模型规模与榜单能力之间的关系，并把观测到的能力提升分解为规模扩张与时间相关的非规模技术进步。Loss 到 benchmark 的桥接只使用 C6 中 7 个 High 可比 Pythia 配对点，得到仿射关系 LB_Average = 7.6717 − 0.8817 Loss，R²=0.1580，F 检验 p=0.3773。高可比样本只有 7/75，区间很宽，因此桥接可作为可检验假设和情景工具，不能视为普适定标。</w:t>
      </w:r>
    </w:p>
    <w:p>
      <w:pPr>
        <w:spacing w:after="120" w:line="276" w:lineRule="auto"/>
      </w:pPr>
      <w:r>
        <w:rPr>
          <w:rFonts w:ascii="Microsoft YaHei" w:hAnsi="Microsoft YaHei" w:eastAsia="Microsoft YaHei"/>
          <w:sz w:val="21"/>
        </w:rPr>
        <w:t>C4 中有 1,390 条记录含有效训练 FLOP，最大值为 5.000e+26。C1 严格筛选得到 333 条 pretrained 记录，其中 330 条进入规模—时间回归。该回归 R²=0.3594。以 Shapley 方差归因为主口径，规模、时间与残差份额分别为 35.2%、0.7% 与 64.1%。同时使用 C8 逐任务记录和 C3 年度榜单序列刻画任务异质性；Q3 前沿超出 Loss 桥接支持区间的预测均标为域外外推。</w:t>
      </w:r>
    </w:p>
    <w:p>
      <w:pPr>
        <w:pStyle w:val="Heading1"/>
        <w:spacing w:after="120" w:line="276" w:lineRule="auto"/>
      </w:pPr>
      <w:r>
        <w:rPr>
          <w:rFonts w:ascii="Microsoft YaHei" w:hAnsi="Microsoft YaHei" w:eastAsia="Microsoft YaHei"/>
          <w:sz w:val="21"/>
        </w:rPr>
        <w:t>1 问题重述与数据边界</w:t>
      </w:r>
    </w:p>
    <w:p>
      <w:pPr>
        <w:spacing w:after="120" w:line="276" w:lineRule="auto"/>
      </w:pPr>
      <w:r>
        <w:rPr>
          <w:rFonts w:ascii="Microsoft YaHei" w:hAnsi="Microsoft YaHei" w:eastAsia="Microsoft YaHei"/>
          <w:sz w:val="21"/>
        </w:rPr>
        <w:t>第四问把前三问显式接口接到 C1、C3、C4、C6。Q4 的 Loss 口径固定为 Pythia validation loss，并通过 outputs/q4_input_contract.json 读取 Q3 连续 Loss*(C)；The Pile Loss、Pythia val_loss 与半合成 Q_score 不直接混用。C8 共解析 1,954 份有效 JSON，聚合得到 11,784 条模型—任务分数，覆盖 1,861 个模型；其中 99.9% 的有效模型标识与 C1 精确规范化匹配。C1 原表共 4,576 条记录，严格筛选得到 333 条 pretrained 记录，其中 330 条完整记录进入规模—时间回归。</w:t>
      </w:r>
    </w:p>
    <w:p>
      <w:pPr>
        <w:spacing w:after="120" w:line="276" w:lineRule="auto"/>
      </w:pPr>
      <w:r>
        <w:rPr>
          <w:rFonts w:ascii="Microsoft YaHei" w:hAnsi="Microsoft YaHei" w:eastAsia="Microsoft YaHei"/>
          <w:sz w:val="21"/>
        </w:rPr>
        <w:t>损坏 JSON 共 4 个，均被排除。下表列出文件标识和解析错误；完整相对路径、异常类型和位置见 q4_json_exclusion_manifest.csv：</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315B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center"/>
            </w:pPr>
            <w:r>
              <w:rPr>
                <w:rFonts w:ascii="Microsoft YaHei" w:hAnsi="Microsoft YaHei" w:eastAsia="Microsoft YaHei"/>
                <w:b/>
                <w:color w:val="FFFFFF"/>
                <w:sz w:val="16"/>
              </w:rPr>
              <w:t>文件标识</w:t>
            </w:r>
          </w:p>
        </w:tc>
        <w:tc>
          <w:tcPr>
            <w:tcW w:type="dxa" w:w="4997"/>
            <w:shd w:fill="315B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center"/>
            </w:pPr>
            <w:r>
              <w:rPr>
                <w:rFonts w:ascii="Microsoft YaHei" w:hAnsi="Microsoft YaHei" w:eastAsia="Microsoft YaHei"/>
                <w:b/>
                <w:color w:val="FFFFFF"/>
                <w:sz w:val="16"/>
              </w:rPr>
              <w:t>解析失败</w:t>
            </w:r>
          </w:p>
        </w:tc>
      </w:tr>
      <w:tr>
        <w:tc>
          <w:tcPr>
            <w:tcW w:type="dxa" w:w="4997"/>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DreadPoor_Winter_Dawn-8B-TIES</w:t>
            </w:r>
          </w:p>
        </w:tc>
        <w:tc>
          <w:tcPr>
            <w:tcW w:type="dxa" w:w="4997"/>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字符串未闭合，第 1453 行</w:t>
            </w:r>
          </w:p>
        </w:tc>
      </w:tr>
      <w:tr>
        <w:tc>
          <w:tcPr>
            <w:tcW w:type="dxa" w:w="4997"/>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FINGU-AI_Chocolatine-Fusion-14B</w:t>
            </w:r>
          </w:p>
        </w:tc>
        <w:tc>
          <w:tcPr>
            <w:tcW w:type="dxa" w:w="4997"/>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字符串未闭合，第 1162 行</w:t>
            </w:r>
          </w:p>
        </w:tc>
      </w:tr>
      <w:tr>
        <w:tc>
          <w:tcPr>
            <w:tcW w:type="dxa" w:w="4997"/>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Intel_neural-chat-7b-v3-3</w:t>
            </w:r>
          </w:p>
        </w:tc>
        <w:tc>
          <w:tcPr>
            <w:tcW w:type="dxa" w:w="4997"/>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字符串未闭合，第 1194 行</w:t>
            </w:r>
          </w:p>
        </w:tc>
      </w:tr>
      <w:tr>
        <w:tc>
          <w:tcPr>
            <w:tcW w:type="dxa" w:w="4997"/>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L-RAGE_3_PRYMMAL-ECE-7B-SLERP-V1</w:t>
            </w:r>
          </w:p>
        </w:tc>
        <w:tc>
          <w:tcPr>
            <w:tcW w:type="dxa" w:w="4997"/>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对象属性名格式错误，第 1090 行</w:t>
            </w:r>
          </w:p>
        </w:tc>
      </w:tr>
    </w:tbl>
    <w:p>
      <w:pPr>
        <w:spacing w:after="40"/>
      </w:pPr>
    </w:p>
    <w:p>
      <w:pPr>
        <w:spacing w:after="120" w:line="276" w:lineRule="auto"/>
      </w:pPr>
      <w:r>
        <w:rPr>
          <w:rFonts w:ascii="Microsoft YaHei" w:hAnsi="Microsoft YaHei" w:eastAsia="Microsoft YaHei"/>
          <w:sz w:val="21"/>
        </w:rPr>
        <w:t>其余 1,954 个可解析 C8 文件进入逐任务聚合；4 个语法损坏文件从聚合中排除。C8 的 0–1 任务分数与 C3 的百分制分数分别分析，不直接合并估计。</w:t>
      </w:r>
    </w:p>
    <w:p>
      <w:pPr>
        <w:pStyle w:val="Heading1"/>
        <w:spacing w:after="120" w:line="276" w:lineRule="auto"/>
      </w:pPr>
      <w:r>
        <w:rPr>
          <w:rFonts w:ascii="Microsoft YaHei" w:hAnsi="Microsoft YaHei" w:eastAsia="Microsoft YaHei"/>
          <w:sz w:val="21"/>
        </w:rPr>
        <w:t>2 符号与假设</w:t>
      </w:r>
    </w:p>
    <w:p>
      <w:pPr>
        <w:spacing w:after="120" w:line="276" w:lineRule="auto"/>
      </w:pPr>
      <w:r>
        <w:rPr>
          <w:rFonts w:ascii="Microsoft YaHei" w:hAnsi="Microsoft YaHei" w:eastAsia="Microsoft YaHei"/>
          <w:sz w:val="21"/>
        </w:rPr>
        <w:t>令 C 为训练 FLOP，N 为参数量，D 为训练 Token 数，L 为 Pythia 验证损失，S 为 leaderboard Average。C4 的训练 FLOP 主要用于覆盖审计，Q3 给出的 Loss*(C) 是受约束代理前沿。High 配对用于桥接，Medium 配对只用于排序方向核验。</w:t>
      </w:r>
    </w:p>
    <w:p>
      <w:pPr>
        <w:pStyle w:val="Heading1"/>
        <w:spacing w:after="120" w:line="276" w:lineRule="auto"/>
      </w:pPr>
      <w:r>
        <w:rPr>
          <w:rFonts w:ascii="Microsoft YaHei" w:hAnsi="Microsoft YaHei" w:eastAsia="Microsoft YaHei"/>
          <w:sz w:val="21"/>
        </w:rPr>
        <w:t>3 Loss 与 benchmark 桥接</w:t>
      </w:r>
    </w:p>
    <w:p>
      <w:pPr>
        <w:spacing w:after="120" w:line="276" w:lineRule="auto"/>
      </w:pPr>
      <w:r>
        <w:rPr>
          <w:rFonts w:ascii="Microsoft YaHei" w:hAnsi="Microsoft YaHei" w:eastAsia="Microsoft YaHei"/>
          <w:sz w:val="21"/>
        </w:rPr>
        <w:t>模型为 S = a + bL。用 High 组 OLS 估计，残差、bootstrap 参数抽样和区间分别导出为 q4_bridge_fit.csv、q4_bridge_bootstrap.csv 和 q4_bridge_summary.csv。样本少且 benchmark 在 High 组跨度有限，故不把 p 值不显著解读为“没有关系”，而是报告识别能力不足。未来前沿表同时给出是否超出 High 组 Loss 支持区间，桥接外推不隐去。</w:t>
      </w:r>
    </w:p>
    <w:tbl>
      <w:tblPr>
        <w:tblW w:type="auto" w:w="0"/>
        <w:jc w:val="center"/>
        <w:tblLayout w:type="autofit"/>
        <w:tblLook w:firstColumn="1" w:firstRow="1" w:lastColumn="0" w:lastRow="0" w:noHBand="0" w:noVBand="1" w:val="04A0"/>
      </w:tblPr>
      <w:tblGrid>
        <w:gridCol w:w="1666"/>
        <w:gridCol w:w="1666"/>
        <w:gridCol w:w="1666"/>
        <w:gridCol w:w="1666"/>
        <w:gridCol w:w="1666"/>
        <w:gridCol w:w="1666"/>
      </w:tblGrid>
      <w:tr>
        <w:trPr>
          <w:tblHeader w:val="true"/>
        </w:trPr>
        <w:tc>
          <w:tcPr>
            <w:tcW w:type="dxa" w:w="1666"/>
            <w:shd w:fill="315B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center"/>
            </w:pPr>
            <w:r>
              <w:rPr>
                <w:rFonts w:ascii="Microsoft YaHei" w:hAnsi="Microsoft YaHei" w:eastAsia="Microsoft YaHei"/>
                <w:b/>
                <w:color w:val="FFFFFF"/>
                <w:sz w:val="16"/>
              </w:rPr>
              <w:t>n_high</w:t>
            </w:r>
          </w:p>
        </w:tc>
        <w:tc>
          <w:tcPr>
            <w:tcW w:type="dxa" w:w="1666"/>
            <w:shd w:fill="315B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center"/>
            </w:pPr>
            <w:r>
              <w:rPr>
                <w:rFonts w:ascii="Microsoft YaHei" w:hAnsi="Microsoft YaHei" w:eastAsia="Microsoft YaHei"/>
                <w:b/>
                <w:color w:val="FFFFFF"/>
                <w:sz w:val="16"/>
              </w:rPr>
              <w:t>n_all</w:t>
            </w:r>
          </w:p>
        </w:tc>
        <w:tc>
          <w:tcPr>
            <w:tcW w:type="dxa" w:w="1666"/>
            <w:shd w:fill="315B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center"/>
            </w:pPr>
            <w:r>
              <w:rPr>
                <w:rFonts w:ascii="Microsoft YaHei" w:hAnsi="Microsoft YaHei" w:eastAsia="Microsoft YaHei"/>
                <w:b/>
                <w:color w:val="FFFFFF"/>
                <w:sz w:val="16"/>
              </w:rPr>
              <w:t>intercept</w:t>
            </w:r>
          </w:p>
        </w:tc>
        <w:tc>
          <w:tcPr>
            <w:tcW w:type="dxa" w:w="1666"/>
            <w:shd w:fill="315B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center"/>
            </w:pPr>
            <w:r>
              <w:rPr>
                <w:rFonts w:ascii="Microsoft YaHei" w:hAnsi="Microsoft YaHei" w:eastAsia="Microsoft YaHei"/>
                <w:b/>
                <w:color w:val="FFFFFF"/>
                <w:sz w:val="16"/>
              </w:rPr>
              <w:t>slope</w:t>
            </w:r>
          </w:p>
        </w:tc>
        <w:tc>
          <w:tcPr>
            <w:tcW w:type="dxa" w:w="1666"/>
            <w:shd w:fill="315B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center"/>
            </w:pPr>
            <w:r>
              <w:rPr>
                <w:rFonts w:ascii="Microsoft YaHei" w:hAnsi="Microsoft YaHei" w:eastAsia="Microsoft YaHei"/>
                <w:b/>
                <w:color w:val="FFFFFF"/>
                <w:sz w:val="16"/>
              </w:rPr>
              <w:t>r2</w:t>
            </w:r>
          </w:p>
        </w:tc>
        <w:tc>
          <w:tcPr>
            <w:tcW w:type="dxa" w:w="1666"/>
            <w:shd w:fill="315B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center"/>
            </w:pPr>
            <w:r>
              <w:rPr>
                <w:rFonts w:ascii="Microsoft YaHei" w:hAnsi="Microsoft YaHei" w:eastAsia="Microsoft YaHei"/>
                <w:b/>
                <w:color w:val="FFFFFF"/>
                <w:sz w:val="16"/>
              </w:rPr>
              <w:t>f_pvalue</w:t>
            </w:r>
          </w:p>
        </w:tc>
      </w:tr>
      <w:tr>
        <w:tc>
          <w:tcPr>
            <w:tcW w:type="dxa" w:w="1666"/>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7</w:t>
            </w:r>
          </w:p>
        </w:tc>
        <w:tc>
          <w:tcPr>
            <w:tcW w:type="dxa" w:w="1666"/>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75</w:t>
            </w:r>
          </w:p>
        </w:tc>
        <w:tc>
          <w:tcPr>
            <w:tcW w:type="dxa" w:w="1666"/>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7.6717</w:t>
            </w:r>
          </w:p>
        </w:tc>
        <w:tc>
          <w:tcPr>
            <w:tcW w:type="dxa" w:w="1666"/>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-0.8817</w:t>
            </w:r>
          </w:p>
        </w:tc>
        <w:tc>
          <w:tcPr>
            <w:tcW w:type="dxa" w:w="1666"/>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0.1580</w:t>
            </w:r>
          </w:p>
        </w:tc>
        <w:tc>
          <w:tcPr>
            <w:tcW w:type="dxa" w:w="1666"/>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0.3773</w:t>
            </w:r>
          </w:p>
        </w:tc>
      </w:tr>
    </w:tbl>
    <w:p>
      <w:pPr>
        <w:spacing w:after="40"/>
      </w:pPr>
    </w:p>
    <w:p>
      <w:pPr>
        <w:spacing w:after="120" w:line="276" w:lineRule="auto"/>
      </w:pPr>
      <w:r>
        <w:rPr>
          <w:rFonts w:ascii="Microsoft YaHei" w:hAnsi="Microsoft YaHei" w:eastAsia="Microsoft YaHei"/>
          <w:sz w:val="21"/>
        </w:rPr>
        <w:t>表格续表</w:t>
      </w:r>
    </w:p>
    <w:tbl>
      <w:tblPr>
        <w:tblW w:type="auto" w:w="0"/>
        <w:jc w:val="center"/>
        <w:tblLayout w:type="autofit"/>
        <w:tblLook w:firstColumn="1" w:firstRow="1" w:lastColumn="0" w:lastRow="0" w:noHBand="0" w:noVBand="1" w:val="04A0"/>
      </w:tblPr>
      <w:tblGrid>
        <w:gridCol w:w="1999"/>
        <w:gridCol w:w="1999"/>
        <w:gridCol w:w="1999"/>
        <w:gridCol w:w="1999"/>
        <w:gridCol w:w="1999"/>
      </w:tblGrid>
      <w:tr>
        <w:trPr>
          <w:tblHeader w:val="true"/>
        </w:trPr>
        <w:tc>
          <w:tcPr>
            <w:tcW w:type="dxa" w:w="1999"/>
            <w:shd w:fill="315B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center"/>
            </w:pPr>
            <w:r>
              <w:rPr>
                <w:rFonts w:ascii="Microsoft YaHei" w:hAnsi="Microsoft YaHei" w:eastAsia="Microsoft YaHei"/>
                <w:b/>
                <w:color w:val="FFFFFF"/>
                <w:sz w:val="16"/>
              </w:rPr>
              <w:t>residual_rmse</w:t>
            </w:r>
          </w:p>
        </w:tc>
        <w:tc>
          <w:tcPr>
            <w:tcW w:type="dxa" w:w="1999"/>
            <w:shd w:fill="315B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center"/>
            </w:pPr>
            <w:r>
              <w:rPr>
                <w:rFonts w:ascii="Microsoft YaHei" w:hAnsi="Microsoft YaHei" w:eastAsia="Microsoft YaHei"/>
                <w:b/>
                <w:color w:val="FFFFFF"/>
                <w:sz w:val="16"/>
              </w:rPr>
              <w:t>slope_low</w:t>
            </w:r>
          </w:p>
        </w:tc>
        <w:tc>
          <w:tcPr>
            <w:tcW w:type="dxa" w:w="1999"/>
            <w:shd w:fill="315B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center"/>
            </w:pPr>
            <w:r>
              <w:rPr>
                <w:rFonts w:ascii="Microsoft YaHei" w:hAnsi="Microsoft YaHei" w:eastAsia="Microsoft YaHei"/>
                <w:b/>
                <w:color w:val="FFFFFF"/>
                <w:sz w:val="16"/>
              </w:rPr>
              <w:t>slope_high</w:t>
            </w:r>
          </w:p>
        </w:tc>
        <w:tc>
          <w:tcPr>
            <w:tcW w:type="dxa" w:w="1999"/>
            <w:shd w:fill="315B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center"/>
            </w:pPr>
            <w:r>
              <w:rPr>
                <w:rFonts w:ascii="Microsoft YaHei" w:hAnsi="Microsoft YaHei" w:eastAsia="Microsoft YaHei"/>
                <w:b/>
                <w:color w:val="FFFFFF"/>
                <w:sz w:val="16"/>
              </w:rPr>
              <w:t>intercept_low</w:t>
            </w:r>
          </w:p>
        </w:tc>
        <w:tc>
          <w:tcPr>
            <w:tcW w:type="dxa" w:w="1999"/>
            <w:shd w:fill="315B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center"/>
            </w:pPr>
            <w:r>
              <w:rPr>
                <w:rFonts w:ascii="Microsoft YaHei" w:hAnsi="Microsoft YaHei" w:eastAsia="Microsoft YaHei"/>
                <w:b/>
                <w:color w:val="FFFFFF"/>
                <w:sz w:val="16"/>
              </w:rPr>
              <w:t>intercept_high</w:t>
            </w:r>
          </w:p>
        </w:tc>
      </w:tr>
      <w:tr>
        <w:tc>
          <w:tcPr>
            <w:tcW w:type="dxa" w:w="199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0.3338</w:t>
            </w:r>
          </w:p>
        </w:tc>
        <w:tc>
          <w:tcPr>
            <w:tcW w:type="dxa" w:w="199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-4.4269</w:t>
            </w:r>
          </w:p>
        </w:tc>
        <w:tc>
          <w:tcPr>
            <w:tcW w:type="dxa" w:w="199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0.5349</w:t>
            </w:r>
          </w:p>
        </w:tc>
        <w:tc>
          <w:tcPr>
            <w:tcW w:type="dxa" w:w="199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4.3423</w:t>
            </w:r>
          </w:p>
        </w:tc>
        <w:tc>
          <w:tcPr>
            <w:tcW w:type="dxa" w:w="199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15.4337</w:t>
            </w:r>
          </w:p>
        </w:tc>
      </w:tr>
    </w:tbl>
    <w:p>
      <w:pPr>
        <w:spacing w:after="40"/>
      </w:pPr>
    </w:p>
    <w:p>
      <w:pPr>
        <w:jc w:val="center"/>
      </w:pPr>
      <w:r>
        <w:drawing>
          <wp:inline xmlns:a="http://schemas.openxmlformats.org/drawingml/2006/main" xmlns:pic="http://schemas.openxmlformats.org/drawingml/2006/picture">
            <wp:extent cx="5943600" cy="4208975"/>
            <wp:docPr id="1" name="Picture 1"/>
            <wp:cNvGraphicFramePr>
              <a:graphicFrameLocks noChangeAspect="1"/>
            </wp:cNvGraphicFramePr>
            <a:graphic>
              <a:graphicData uri="http://schemas.openxmlformats.org/drawingml/2006/picture">
                <pic:pic>
                  <pic:nvPicPr>
                    <pic:cNvPr id="0" name="fig_q4_loss_benchmark_bridge.png"/>
                    <pic:cNvPicPr/>
                  </pic:nvPicPr>
                  <pic:blipFill>
                    <a:blip r:embed="rId9"/>
                    <a:stretch>
                      <a:fillRect/>
                    </a:stretch>
                  </pic:blipFill>
                  <pic:spPr>
                    <a:xfrm>
                      <a:off x="0" y="0"/>
                      <a:ext cx="5943600" cy="4208975"/>
                    </a:xfrm>
                    <a:prstGeom prst="rect"/>
                  </pic:spPr>
                </pic:pic>
              </a:graphicData>
            </a:graphic>
          </wp:inline>
        </w:drawing>
      </w:r>
    </w:p>
    <w:p>
      <w:pPr>
        <w:spacing w:after="160"/>
        <w:jc w:val="center"/>
      </w:pPr>
      <w:r>
        <w:rPr>
          <w:i/>
          <w:sz w:val="18"/>
        </w:rPr>
        <w:t>Loss 与 benchmark 桥接</w:t>
      </w:r>
    </w:p>
    <w:p>
      <w:pPr>
        <w:pStyle w:val="Heading1"/>
        <w:spacing w:after="120" w:line="276" w:lineRule="auto"/>
      </w:pPr>
      <w:r>
        <w:rPr>
          <w:rFonts w:ascii="Microsoft YaHei" w:hAnsi="Microsoft YaHei" w:eastAsia="Microsoft YaHei"/>
          <w:sz w:val="21"/>
        </w:rPr>
        <w:t>4 规模与非规模技术进步</w:t>
      </w:r>
    </w:p>
    <w:p>
      <w:pPr>
        <w:spacing w:after="120" w:line="276" w:lineRule="auto"/>
      </w:pPr>
      <w:r>
        <w:rPr>
          <w:rFonts w:ascii="Microsoft YaHei" w:hAnsi="Microsoft YaHei" w:eastAsia="Microsoft YaHei"/>
          <w:sz w:val="21"/>
        </w:rPr>
        <w:t>在严格 pretrained 子样本上拟合 S = b0 + bN log10(N) + bt month。bN 描述规模扩张关联，bt 描述控制参数规模后的时间关联。主占比采用两预测量 Shapley R² 分解，残差份额定义为 1−R²；标准差比作为不同的描述性口径单列。对完整模型记录按行重抽样 2,000 次计算百分位 bootstrap 区间。该分解是统计归因，不等同于因果识别。</w:t>
      </w:r>
    </w:p>
    <w:tbl>
      <w:tblPr>
        <w:tblW w:type="auto" w:w="0"/>
        <w:jc w:val="center"/>
        <w:tblLayout w:type="autofit"/>
        <w:tblLook w:firstColumn="1" w:firstRow="1" w:lastColumn="0" w:lastRow="0" w:noHBand="0" w:noVBand="1" w:val="04A0"/>
      </w:tblPr>
      <w:tblGrid>
        <w:gridCol w:w="1666"/>
        <w:gridCol w:w="1666"/>
        <w:gridCol w:w="1666"/>
        <w:gridCol w:w="1666"/>
        <w:gridCol w:w="1666"/>
        <w:gridCol w:w="1666"/>
      </w:tblGrid>
      <w:tr>
        <w:trPr>
          <w:tblHeader w:val="true"/>
        </w:trPr>
        <w:tc>
          <w:tcPr>
            <w:tcW w:type="dxa" w:w="1666"/>
            <w:shd w:fill="315B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center"/>
            </w:pPr>
            <w:r>
              <w:rPr>
                <w:rFonts w:ascii="Microsoft YaHei" w:hAnsi="Microsoft YaHei" w:eastAsia="Microsoft YaHei"/>
                <w:b/>
                <w:color w:val="FFFFFF"/>
                <w:sz w:val="16"/>
              </w:rPr>
              <w:t>n_pretrained</w:t>
            </w:r>
          </w:p>
        </w:tc>
        <w:tc>
          <w:tcPr>
            <w:tcW w:type="dxa" w:w="1666"/>
            <w:shd w:fill="315B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center"/>
            </w:pPr>
            <w:r>
              <w:rPr>
                <w:rFonts w:ascii="Microsoft YaHei" w:hAnsi="Microsoft YaHei" w:eastAsia="Microsoft YaHei"/>
                <w:b/>
                <w:color w:val="FFFFFF"/>
                <w:sz w:val="16"/>
              </w:rPr>
              <w:t>scale_coef</w:t>
            </w:r>
          </w:p>
        </w:tc>
        <w:tc>
          <w:tcPr>
            <w:tcW w:type="dxa" w:w="1666"/>
            <w:shd w:fill="315B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center"/>
            </w:pPr>
            <w:r>
              <w:rPr>
                <w:rFonts w:ascii="Microsoft YaHei" w:hAnsi="Microsoft YaHei" w:eastAsia="Microsoft YaHei"/>
                <w:b/>
                <w:color w:val="FFFFFF"/>
                <w:sz w:val="16"/>
              </w:rPr>
              <w:t>time_coef_per_month</w:t>
            </w:r>
          </w:p>
        </w:tc>
        <w:tc>
          <w:tcPr>
            <w:tcW w:type="dxa" w:w="1666"/>
            <w:shd w:fill="315B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center"/>
            </w:pPr>
            <w:r>
              <w:rPr>
                <w:rFonts w:ascii="Microsoft YaHei" w:hAnsi="Microsoft YaHei" w:eastAsia="Microsoft YaHei"/>
                <w:b/>
                <w:color w:val="FFFFFF"/>
                <w:sz w:val="16"/>
              </w:rPr>
              <w:t>r2</w:t>
            </w:r>
          </w:p>
        </w:tc>
        <w:tc>
          <w:tcPr>
            <w:tcW w:type="dxa" w:w="1666"/>
            <w:shd w:fill="315B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center"/>
            </w:pPr>
            <w:r>
              <w:rPr>
                <w:rFonts w:ascii="Microsoft YaHei" w:hAnsi="Microsoft YaHei" w:eastAsia="Microsoft YaHei"/>
                <w:b/>
                <w:color w:val="FFFFFF"/>
                <w:sz w:val="16"/>
              </w:rPr>
              <w:t>r2_scale_only</w:t>
            </w:r>
          </w:p>
        </w:tc>
        <w:tc>
          <w:tcPr>
            <w:tcW w:type="dxa" w:w="1666"/>
            <w:shd w:fill="315B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center"/>
            </w:pPr>
            <w:r>
              <w:rPr>
                <w:rFonts w:ascii="Microsoft YaHei" w:hAnsi="Microsoft YaHei" w:eastAsia="Microsoft YaHei"/>
                <w:b/>
                <w:color w:val="FFFFFF"/>
                <w:sz w:val="16"/>
              </w:rPr>
              <w:t>r2_time_only</w:t>
            </w:r>
          </w:p>
        </w:tc>
      </w:tr>
      <w:tr>
        <w:tc>
          <w:tcPr>
            <w:tcW w:type="dxa" w:w="1666"/>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330</w:t>
            </w:r>
          </w:p>
        </w:tc>
        <w:tc>
          <w:tcPr>
            <w:tcW w:type="dxa" w:w="1666"/>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6.2244</w:t>
            </w:r>
          </w:p>
        </w:tc>
        <w:tc>
          <w:tcPr>
            <w:tcW w:type="dxa" w:w="1666"/>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0.0670</w:t>
            </w:r>
          </w:p>
        </w:tc>
        <w:tc>
          <w:tcPr>
            <w:tcW w:type="dxa" w:w="1666"/>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0.3594</w:t>
            </w:r>
          </w:p>
        </w:tc>
        <w:tc>
          <w:tcPr>
            <w:tcW w:type="dxa" w:w="1666"/>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0.3586</w:t>
            </w:r>
          </w:p>
        </w:tc>
        <w:tc>
          <w:tcPr>
            <w:tcW w:type="dxa" w:w="1666"/>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0.0135</w:t>
            </w:r>
          </w:p>
        </w:tc>
      </w:tr>
    </w:tbl>
    <w:p>
      <w:pPr>
        <w:spacing w:after="40"/>
      </w:pPr>
    </w:p>
    <w:tbl>
      <w:tblPr>
        <w:tblW w:type="auto" w:w="0"/>
        <w:jc w:val="center"/>
        <w:tblLayout w:type="autofit"/>
        <w:tblLook w:firstColumn="1" w:firstRow="1" w:lastColumn="0" w:lastRow="0" w:noHBand="0" w:noVBand="1" w:val="04A0"/>
      </w:tblPr>
      <w:tblGrid>
        <w:gridCol w:w="1666"/>
        <w:gridCol w:w="1666"/>
        <w:gridCol w:w="1666"/>
        <w:gridCol w:w="1666"/>
        <w:gridCol w:w="1666"/>
        <w:gridCol w:w="1666"/>
      </w:tblGrid>
      <w:tr>
        <w:trPr>
          <w:tblHeader w:val="true"/>
        </w:trPr>
        <w:tc>
          <w:tcPr>
            <w:tcW w:type="dxa" w:w="1666"/>
            <w:shd w:fill="315B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center"/>
            </w:pPr>
            <w:r>
              <w:rPr>
                <w:rFonts w:ascii="Microsoft YaHei" w:hAnsi="Microsoft YaHei" w:eastAsia="Microsoft YaHei"/>
                <w:b/>
                <w:color w:val="FFFFFF"/>
                <w:sz w:val="16"/>
              </w:rPr>
              <w:t>归因口径</w:t>
            </w:r>
          </w:p>
        </w:tc>
        <w:tc>
          <w:tcPr>
            <w:tcW w:type="dxa" w:w="1666"/>
            <w:shd w:fill="315B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center"/>
            </w:pPr>
            <w:r>
              <w:rPr>
                <w:rFonts w:ascii="Microsoft YaHei" w:hAnsi="Microsoft YaHei" w:eastAsia="Microsoft YaHei"/>
                <w:b/>
                <w:color w:val="FFFFFF"/>
                <w:sz w:val="16"/>
              </w:rPr>
              <w:t>规模扩张</w:t>
            </w:r>
          </w:p>
        </w:tc>
        <w:tc>
          <w:tcPr>
            <w:tcW w:type="dxa" w:w="1666"/>
            <w:shd w:fill="315B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center"/>
            </w:pPr>
            <w:r>
              <w:rPr>
                <w:rFonts w:ascii="Microsoft YaHei" w:hAnsi="Microsoft YaHei" w:eastAsia="Microsoft YaHei"/>
                <w:b/>
                <w:color w:val="FFFFFF"/>
                <w:sz w:val="16"/>
              </w:rPr>
              <w:t>时间相关变化</w:t>
            </w:r>
          </w:p>
        </w:tc>
        <w:tc>
          <w:tcPr>
            <w:tcW w:type="dxa" w:w="1666"/>
            <w:shd w:fill="315B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center"/>
            </w:pPr>
            <w:r>
              <w:rPr>
                <w:rFonts w:ascii="Microsoft YaHei" w:hAnsi="Microsoft YaHei" w:eastAsia="Microsoft YaHei"/>
                <w:b/>
                <w:color w:val="FFFFFF"/>
                <w:sz w:val="16"/>
              </w:rPr>
              <w:t>残差</w:t>
            </w:r>
          </w:p>
        </w:tc>
        <w:tc>
          <w:tcPr>
            <w:tcW w:type="dxa" w:w="1666"/>
            <w:shd w:fill="315B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center"/>
            </w:pPr>
            <w:r>
              <w:rPr>
                <w:rFonts w:ascii="Microsoft YaHei" w:hAnsi="Microsoft YaHei" w:eastAsia="Microsoft YaHei"/>
                <w:b/>
                <w:color w:val="FFFFFF"/>
                <w:sz w:val="16"/>
              </w:rPr>
              <w:t>95%区间（规模）</w:t>
            </w:r>
          </w:p>
        </w:tc>
        <w:tc>
          <w:tcPr>
            <w:tcW w:type="dxa" w:w="1666"/>
            <w:shd w:fill="315B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center"/>
            </w:pPr>
            <w:r>
              <w:rPr>
                <w:rFonts w:ascii="Microsoft YaHei" w:hAnsi="Microsoft YaHei" w:eastAsia="Microsoft YaHei"/>
                <w:b/>
                <w:color w:val="FFFFFF"/>
                <w:sz w:val="16"/>
              </w:rPr>
              <w:t>95%区间（时间）</w:t>
            </w:r>
          </w:p>
        </w:tc>
      </w:tr>
      <w:tr>
        <w:tc>
          <w:tcPr>
            <w:tcW w:type="dxa" w:w="1666"/>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Shapley 方差份额（主口径）</w:t>
            </w:r>
          </w:p>
        </w:tc>
        <w:tc>
          <w:tcPr>
            <w:tcW w:type="dxa" w:w="1666"/>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0.3523</w:t>
            </w:r>
          </w:p>
        </w:tc>
        <w:tc>
          <w:tcPr>
            <w:tcW w:type="dxa" w:w="1666"/>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0.0071</w:t>
            </w:r>
          </w:p>
        </w:tc>
        <w:tc>
          <w:tcPr>
            <w:tcW w:type="dxa" w:w="1666"/>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0.6406</w:t>
            </w:r>
          </w:p>
        </w:tc>
        <w:tc>
          <w:tcPr>
            <w:tcW w:type="dxa" w:w="1666"/>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[0.288, 0.412]</w:t>
            </w:r>
          </w:p>
        </w:tc>
        <w:tc>
          <w:tcPr>
            <w:tcW w:type="dxa" w:w="1666"/>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[0.003, 0.023]</w:t>
            </w:r>
          </w:p>
        </w:tc>
      </w:tr>
      <w:tr>
        <w:tc>
          <w:tcPr>
            <w:tcW w:type="dxa" w:w="1666"/>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贡献标准差比（描述性）</w:t>
            </w:r>
          </w:p>
        </w:tc>
        <w:tc>
          <w:tcPr>
            <w:tcW w:type="dxa" w:w="1666"/>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0.9547</w:t>
            </w:r>
          </w:p>
        </w:tc>
        <w:tc>
          <w:tcPr>
            <w:tcW w:type="dxa" w:w="1666"/>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0.0453</w:t>
            </w:r>
          </w:p>
        </w:tc>
        <w:tc>
          <w:tcPr>
            <w:tcW w:type="dxa" w:w="1666"/>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nan</w:t>
            </w:r>
          </w:p>
        </w:tc>
        <w:tc>
          <w:tcPr>
            <w:tcW w:type="dxa" w:w="1666"/>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w:t>
            </w:r>
          </w:p>
        </w:tc>
        <w:tc>
          <w:tcPr>
            <w:tcW w:type="dxa" w:w="1666"/>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w:t>
            </w:r>
          </w:p>
        </w:tc>
      </w:tr>
    </w:tbl>
    <w:p>
      <w:pPr>
        <w:spacing w:after="40"/>
      </w:pPr>
    </w:p>
    <w:p>
      <w:pPr>
        <w:spacing w:after="120" w:line="276" w:lineRule="auto"/>
      </w:pPr>
      <w:r>
        <w:rPr>
          <w:rFonts w:ascii="Microsoft YaHei" w:hAnsi="Microsoft YaHei" w:eastAsia="Microsoft YaHei"/>
          <w:sz w:val="21"/>
        </w:rPr>
        <w:t>模型整体 R²=0.3594，尚有 64.1% 总变异未由规模和时间项解释。残差可能包含数据质量、架构变化、后训练、样本选择与评测噪声，本分析不能进一步识别各自因果占比。</w:t>
      </w:r>
    </w:p>
    <w:p>
      <w:pPr>
        <w:jc w:val="center"/>
      </w:pPr>
      <w:r>
        <w:drawing>
          <wp:inline xmlns:a="http://schemas.openxmlformats.org/drawingml/2006/main" xmlns:pic="http://schemas.openxmlformats.org/drawingml/2006/picture">
            <wp:extent cx="5943600" cy="4208975"/>
            <wp:docPr id="2" name="Picture 2"/>
            <wp:cNvGraphicFramePr>
              <a:graphicFrameLocks noChangeAspect="1"/>
            </wp:cNvGraphicFramePr>
            <a:graphic>
              <a:graphicData uri="http://schemas.openxmlformats.org/drawingml/2006/picture">
                <pic:pic>
                  <pic:nvPicPr>
                    <pic:cNvPr id="0" name="fig_q4_scale_nonscale_decomposition.png"/>
                    <pic:cNvPicPr/>
                  </pic:nvPicPr>
                  <pic:blipFill>
                    <a:blip r:embed="rId10"/>
                    <a:stretch>
                      <a:fillRect/>
                    </a:stretch>
                  </pic:blipFill>
                  <pic:spPr>
                    <a:xfrm>
                      <a:off x="0" y="0"/>
                      <a:ext cx="5943600" cy="4208975"/>
                    </a:xfrm>
                    <a:prstGeom prst="rect"/>
                  </pic:spPr>
                </pic:pic>
              </a:graphicData>
            </a:graphic>
          </wp:inline>
        </w:drawing>
      </w:r>
    </w:p>
    <w:p>
      <w:pPr>
        <w:spacing w:after="160"/>
        <w:jc w:val="center"/>
      </w:pPr>
      <w:r>
        <w:rPr>
          <w:i/>
          <w:sz w:val="18"/>
        </w:rPr>
        <w:t>规模与非规模贡献</w:t>
      </w:r>
    </w:p>
    <w:p>
      <w:pPr>
        <w:pStyle w:val="Heading3"/>
        <w:spacing w:after="120" w:line="276" w:lineRule="auto"/>
      </w:pPr>
      <w:r>
        <w:rPr>
          <w:rFonts w:ascii="Microsoft YaHei" w:hAnsi="Microsoft YaHei" w:eastAsia="Microsoft YaHei"/>
          <w:sz w:val="21"/>
        </w:rPr>
        <w:t>4.1 C8 任务聚合与 C3 时间轴</w:t>
      </w:r>
    </w:p>
    <w:p>
      <w:pPr>
        <w:spacing w:after="120" w:line="276" w:lineRule="auto"/>
      </w:pPr>
      <w:r>
        <w:rPr>
          <w:rFonts w:ascii="Microsoft YaHei" w:hAnsi="Microsoft YaHei" w:eastAsia="Microsoft YaHei"/>
          <w:sz w:val="21"/>
        </w:rPr>
        <w:t>C8 输出每个模型在官方七个 leaderboard 子组的分数，逐任务长表见 q4_task_scores.csv。为统一技术时间轴并避免把评测日期误作发布日期，任务级年度斜率直接在 C3 的 Year、Params_B 与六项分数上估计：score ~ log10(Params_B) + Year。年度观测集中于 2024–2025，不能解释为长期因果技术进步。C8 七组中的 ARC-Challenge 在 C3 无同名分项，因此斜率估计报告其余六组。</w:t>
      </w:r>
    </w:p>
    <w:tbl>
      <w:tblPr>
        <w:tblW w:type="auto" w:w="0"/>
        <w:jc w:val="center"/>
        <w:tblLayout w:type="autofit"/>
        <w:tblLook w:firstColumn="1" w:firstRow="1" w:lastColumn="0" w:lastRow="0" w:noHBand="0" w:noVBand="1" w:val="04A0"/>
      </w:tblPr>
      <w:tblGrid>
        <w:gridCol w:w="1999"/>
        <w:gridCol w:w="1999"/>
        <w:gridCol w:w="1999"/>
        <w:gridCol w:w="1999"/>
        <w:gridCol w:w="1999"/>
      </w:tblGrid>
      <w:tr>
        <w:trPr>
          <w:tblHeader w:val="true"/>
        </w:trPr>
        <w:tc>
          <w:tcPr>
            <w:tcW w:type="dxa" w:w="1999"/>
            <w:shd w:fill="315B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center"/>
            </w:pPr>
            <w:r>
              <w:rPr>
                <w:rFonts w:ascii="Microsoft YaHei" w:hAnsi="Microsoft YaHei" w:eastAsia="Microsoft YaHei"/>
                <w:b/>
                <w:color w:val="FFFFFF"/>
                <w:sz w:val="16"/>
              </w:rPr>
              <w:t>task</w:t>
            </w:r>
          </w:p>
        </w:tc>
        <w:tc>
          <w:tcPr>
            <w:tcW w:type="dxa" w:w="1999"/>
            <w:shd w:fill="315B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center"/>
            </w:pPr>
            <w:r>
              <w:rPr>
                <w:rFonts w:ascii="Microsoft YaHei" w:hAnsi="Microsoft YaHei" w:eastAsia="Microsoft YaHei"/>
                <w:b/>
                <w:color w:val="FFFFFF"/>
                <w:sz w:val="16"/>
              </w:rPr>
              <w:t>n</w:t>
            </w:r>
          </w:p>
        </w:tc>
        <w:tc>
          <w:tcPr>
            <w:tcW w:type="dxa" w:w="1999"/>
            <w:shd w:fill="315B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center"/>
            </w:pPr>
            <w:r>
              <w:rPr>
                <w:rFonts w:ascii="Microsoft YaHei" w:hAnsi="Microsoft YaHei" w:eastAsia="Microsoft YaHei"/>
                <w:b/>
                <w:color w:val="FFFFFF"/>
                <w:sz w:val="16"/>
              </w:rPr>
              <w:t>year_slope_adjusted_points_per_year</w:t>
            </w:r>
          </w:p>
        </w:tc>
        <w:tc>
          <w:tcPr>
            <w:tcW w:type="dxa" w:w="1999"/>
            <w:shd w:fill="315B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center"/>
            </w:pPr>
            <w:r>
              <w:rPr>
                <w:rFonts w:ascii="Microsoft YaHei" w:hAnsi="Microsoft YaHei" w:eastAsia="Microsoft YaHei"/>
                <w:b/>
                <w:color w:val="FFFFFF"/>
                <w:sz w:val="16"/>
              </w:rPr>
              <w:t>scale_slope_points_per_log10_params</w:t>
            </w:r>
          </w:p>
        </w:tc>
        <w:tc>
          <w:tcPr>
            <w:tcW w:type="dxa" w:w="1999"/>
            <w:shd w:fill="315B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center"/>
            </w:pPr>
            <w:r>
              <w:rPr>
                <w:rFonts w:ascii="Microsoft YaHei" w:hAnsi="Microsoft YaHei" w:eastAsia="Microsoft YaHei"/>
                <w:b/>
                <w:color w:val="FFFFFF"/>
                <w:sz w:val="16"/>
              </w:rPr>
              <w:t>r2_adjusted</w:t>
            </w:r>
          </w:p>
        </w:tc>
      </w:tr>
      <w:tr>
        <w:tc>
          <w:tcPr>
            <w:tcW w:type="dxa" w:w="199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BBH</w:t>
            </w:r>
          </w:p>
        </w:tc>
        <w:tc>
          <w:tcPr>
            <w:tcW w:type="dxa" w:w="199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4588</w:t>
            </w:r>
          </w:p>
        </w:tc>
        <w:tc>
          <w:tcPr>
            <w:tcW w:type="dxa" w:w="199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3.7124</w:t>
            </w:r>
          </w:p>
        </w:tc>
        <w:tc>
          <w:tcPr>
            <w:tcW w:type="dxa" w:w="199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21.2276</w:t>
            </w:r>
          </w:p>
        </w:tc>
        <w:tc>
          <w:tcPr>
            <w:tcW w:type="dxa" w:w="199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0.4750</w:t>
            </w:r>
          </w:p>
        </w:tc>
      </w:tr>
      <w:tr>
        <w:tc>
          <w:tcPr>
            <w:tcW w:type="dxa" w:w="199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GPQA</w:t>
            </w:r>
          </w:p>
        </w:tc>
        <w:tc>
          <w:tcPr>
            <w:tcW w:type="dxa" w:w="199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4588</w:t>
            </w:r>
          </w:p>
        </w:tc>
        <w:tc>
          <w:tcPr>
            <w:tcW w:type="dxa" w:w="199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1.5939</w:t>
            </w:r>
          </w:p>
        </w:tc>
        <w:tc>
          <w:tcPr>
            <w:tcW w:type="dxa" w:w="199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5.9486</w:t>
            </w:r>
          </w:p>
        </w:tc>
        <w:tc>
          <w:tcPr>
            <w:tcW w:type="dxa" w:w="199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0.3427</w:t>
            </w:r>
          </w:p>
        </w:tc>
      </w:tr>
      <w:tr>
        <w:tc>
          <w:tcPr>
            <w:tcW w:type="dxa" w:w="199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IFEval</w:t>
            </w:r>
          </w:p>
        </w:tc>
        <w:tc>
          <w:tcPr>
            <w:tcW w:type="dxa" w:w="199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4588</w:t>
            </w:r>
          </w:p>
        </w:tc>
        <w:tc>
          <w:tcPr>
            <w:tcW w:type="dxa" w:w="199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3.9207</w:t>
            </w:r>
          </w:p>
        </w:tc>
        <w:tc>
          <w:tcPr>
            <w:tcW w:type="dxa" w:w="199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17.4668</w:t>
            </w:r>
          </w:p>
        </w:tc>
        <w:tc>
          <w:tcPr>
            <w:tcW w:type="dxa" w:w="199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0.1787</w:t>
            </w:r>
          </w:p>
        </w:tc>
      </w:tr>
      <w:tr>
        <w:tc>
          <w:tcPr>
            <w:tcW w:type="dxa" w:w="199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MATH-Hard</w:t>
            </w:r>
          </w:p>
        </w:tc>
        <w:tc>
          <w:tcPr>
            <w:tcW w:type="dxa" w:w="199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4588</w:t>
            </w:r>
          </w:p>
        </w:tc>
        <w:tc>
          <w:tcPr>
            <w:tcW w:type="dxa" w:w="199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8.0128</w:t>
            </w:r>
          </w:p>
        </w:tc>
        <w:tc>
          <w:tcPr>
            <w:tcW w:type="dxa" w:w="199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13.5038</w:t>
            </w:r>
          </w:p>
        </w:tc>
        <w:tc>
          <w:tcPr>
            <w:tcW w:type="dxa" w:w="199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0.2586</w:t>
            </w:r>
          </w:p>
        </w:tc>
      </w:tr>
      <w:tr>
        <w:tc>
          <w:tcPr>
            <w:tcW w:type="dxa" w:w="199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MMLU-Pro</w:t>
            </w:r>
          </w:p>
        </w:tc>
        <w:tc>
          <w:tcPr>
            <w:tcW w:type="dxa" w:w="199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4588</w:t>
            </w:r>
          </w:p>
        </w:tc>
        <w:tc>
          <w:tcPr>
            <w:tcW w:type="dxa" w:w="199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3.7578</w:t>
            </w:r>
          </w:p>
        </w:tc>
        <w:tc>
          <w:tcPr>
            <w:tcW w:type="dxa" w:w="199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19.3379</w:t>
            </w:r>
          </w:p>
        </w:tc>
        <w:tc>
          <w:tcPr>
            <w:tcW w:type="dxa" w:w="199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0.4489</w:t>
            </w:r>
          </w:p>
        </w:tc>
      </w:tr>
      <w:tr>
        <w:tc>
          <w:tcPr>
            <w:tcW w:type="dxa" w:w="199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MuSR</w:t>
            </w:r>
          </w:p>
        </w:tc>
        <w:tc>
          <w:tcPr>
            <w:tcW w:type="dxa" w:w="199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4588</w:t>
            </w:r>
          </w:p>
        </w:tc>
        <w:tc>
          <w:tcPr>
            <w:tcW w:type="dxa" w:w="199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1.1293</w:t>
            </w:r>
          </w:p>
        </w:tc>
        <w:tc>
          <w:tcPr>
            <w:tcW w:type="dxa" w:w="199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6.4126</w:t>
            </w:r>
          </w:p>
        </w:tc>
        <w:tc>
          <w:tcPr>
            <w:tcW w:type="dxa" w:w="199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0.2964</w:t>
            </w:r>
          </w:p>
        </w:tc>
      </w:tr>
    </w:tbl>
    <w:p>
      <w:pPr>
        <w:spacing w:after="40"/>
      </w:pPr>
    </w:p>
    <w:p>
      <w:pPr>
        <w:jc w:val="center"/>
      </w:pPr>
      <w:r>
        <w:drawing>
          <wp:inline xmlns:a="http://schemas.openxmlformats.org/drawingml/2006/main" xmlns:pic="http://schemas.openxmlformats.org/drawingml/2006/picture">
            <wp:extent cx="5943600" cy="3686187"/>
            <wp:docPr id="3" name="Picture 3"/>
            <wp:cNvGraphicFramePr>
              <a:graphicFrameLocks noChangeAspect="1"/>
            </wp:cNvGraphicFramePr>
            <a:graphic>
              <a:graphicData uri="http://schemas.openxmlformats.org/drawingml/2006/picture">
                <pic:pic>
                  <pic:nvPicPr>
                    <pic:cNvPr id="0" name="fig_q4_task_heterogeneity.png"/>
                    <pic:cNvPicPr/>
                  </pic:nvPicPr>
                  <pic:blipFill>
                    <a:blip r:embed="rId11"/>
                    <a:stretch>
                      <a:fillRect/>
                    </a:stretch>
                  </pic:blipFill>
                  <pic:spPr>
                    <a:xfrm>
                      <a:off x="0" y="0"/>
                      <a:ext cx="5943600" cy="3686187"/>
                    </a:xfrm>
                    <a:prstGeom prst="rect"/>
                  </pic:spPr>
                </pic:pic>
              </a:graphicData>
            </a:graphic>
          </wp:inline>
        </w:drawing>
      </w:r>
    </w:p>
    <w:p>
      <w:pPr>
        <w:spacing w:after="160"/>
        <w:jc w:val="center"/>
      </w:pPr>
      <w:r>
        <w:rPr>
          <w:i/>
          <w:sz w:val="18"/>
        </w:rPr>
        <w:t>任务异质性</w:t>
      </w:r>
    </w:p>
    <w:p>
      <w:pPr>
        <w:pStyle w:val="Heading3"/>
        <w:spacing w:after="120" w:line="276" w:lineRule="auto"/>
      </w:pPr>
      <w:r>
        <w:rPr>
          <w:rFonts w:ascii="Microsoft YaHei" w:hAnsi="Microsoft YaHei" w:eastAsia="Microsoft YaHei"/>
          <w:sz w:val="21"/>
        </w:rPr>
        <w:t>4.2 C4 开源筛选口径与字段覆盖</w:t>
      </w:r>
    </w:p>
    <w:p>
      <w:pPr>
        <w:spacing w:after="120" w:line="276" w:lineRule="auto"/>
      </w:pPr>
      <w:r>
        <w:rPr>
          <w:rFonts w:ascii="Microsoft YaHei" w:hAnsi="Microsoft YaHei" w:eastAsia="Microsoft YaHei"/>
          <w:sz w:val="21"/>
        </w:rPr>
        <w:t>开源权重状态按 C4 的 Open model weights? 汇总：Yes=1,325，No=1,328，缺失=870。Frontier model=True 共 137 条。。该字段只说明权重访问状态，不能单独证明许可证允许研究、再分发或商业复现；需结合 Model accessibility 与具体许可条款。数据日期字段覆盖情况见下表；任务趋势使用 C3 Year，C1 提交日期只用于 C1 配对模型回归。Frontier model=True 是数据源标记的前沿集合，不等同于自行从最大 FLOP 定义单个前沿模型。</w:t>
      </w:r>
    </w:p>
    <w:tbl>
      <w:tblPr>
        <w:tblW w:type="auto" w:w="0"/>
        <w:jc w:val="center"/>
        <w:tblLayout w:type="autofit"/>
        <w:tblLook w:firstColumn="1" w:firstRow="1" w:lastColumn="0" w:lastRow="0" w:noHBand="0" w:noVBand="1" w:val="04A0"/>
      </w:tblPr>
      <w:tblGrid>
        <w:gridCol w:w="1999"/>
        <w:gridCol w:w="1999"/>
        <w:gridCol w:w="1999"/>
        <w:gridCol w:w="1999"/>
        <w:gridCol w:w="1999"/>
      </w:tblGrid>
      <w:tr>
        <w:trPr>
          <w:tblHeader w:val="true"/>
        </w:trPr>
        <w:tc>
          <w:tcPr>
            <w:tcW w:type="dxa" w:w="1999"/>
            <w:shd w:fill="315B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center"/>
            </w:pPr>
            <w:r>
              <w:rPr>
                <w:rFonts w:ascii="Microsoft YaHei" w:hAnsi="Microsoft YaHei" w:eastAsia="Microsoft YaHei"/>
                <w:b/>
                <w:color w:val="FFFFFF"/>
                <w:sz w:val="16"/>
              </w:rPr>
              <w:t>field</w:t>
            </w:r>
          </w:p>
        </w:tc>
        <w:tc>
          <w:tcPr>
            <w:tcW w:type="dxa" w:w="1999"/>
            <w:shd w:fill="315B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center"/>
            </w:pPr>
            <w:r>
              <w:rPr>
                <w:rFonts w:ascii="Microsoft YaHei" w:hAnsi="Microsoft YaHei" w:eastAsia="Microsoft YaHei"/>
                <w:b/>
                <w:color w:val="FFFFFF"/>
                <w:sz w:val="16"/>
              </w:rPr>
              <w:t>nonmissing</w:t>
            </w:r>
          </w:p>
        </w:tc>
        <w:tc>
          <w:tcPr>
            <w:tcW w:type="dxa" w:w="1999"/>
            <w:shd w:fill="315B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center"/>
            </w:pPr>
            <w:r>
              <w:rPr>
                <w:rFonts w:ascii="Microsoft YaHei" w:hAnsi="Microsoft YaHei" w:eastAsia="Microsoft YaHei"/>
                <w:b/>
                <w:color w:val="FFFFFF"/>
                <w:sz w:val="16"/>
              </w:rPr>
              <w:t>total_rows</w:t>
            </w:r>
          </w:p>
        </w:tc>
        <w:tc>
          <w:tcPr>
            <w:tcW w:type="dxa" w:w="1999"/>
            <w:shd w:fill="315B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center"/>
            </w:pPr>
            <w:r>
              <w:rPr>
                <w:rFonts w:ascii="Microsoft YaHei" w:hAnsi="Microsoft YaHei" w:eastAsia="Microsoft YaHei"/>
                <w:b/>
                <w:color w:val="FFFFFF"/>
                <w:sz w:val="16"/>
              </w:rPr>
              <w:t>coverage</w:t>
            </w:r>
          </w:p>
        </w:tc>
        <w:tc>
          <w:tcPr>
            <w:tcW w:type="dxa" w:w="1999"/>
            <w:shd w:fill="315B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center"/>
            </w:pPr>
            <w:r>
              <w:rPr>
                <w:rFonts w:ascii="Microsoft YaHei" w:hAnsi="Microsoft YaHei" w:eastAsia="Microsoft YaHei"/>
                <w:b/>
                <w:color w:val="FFFFFF"/>
                <w:sz w:val="16"/>
              </w:rPr>
              <w:t>distinct_nonmissing</w:t>
            </w:r>
          </w:p>
        </w:tc>
      </w:tr>
      <w:tr>
        <w:tc>
          <w:tcPr>
            <w:tcW w:type="dxa" w:w="199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Training compute (FLOP)</w:t>
            </w:r>
          </w:p>
        </w:tc>
        <w:tc>
          <w:tcPr>
            <w:tcW w:type="dxa" w:w="199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1390</w:t>
            </w:r>
          </w:p>
        </w:tc>
        <w:tc>
          <w:tcPr>
            <w:tcW w:type="dxa" w:w="199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3523</w:t>
            </w:r>
          </w:p>
        </w:tc>
        <w:tc>
          <w:tcPr>
            <w:tcW w:type="dxa" w:w="199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39.5%</w:t>
            </w:r>
          </w:p>
        </w:tc>
        <w:tc>
          <w:tcPr>
            <w:tcW w:type="dxa" w:w="199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1253</w:t>
            </w:r>
          </w:p>
        </w:tc>
      </w:tr>
      <w:tr>
        <w:tc>
          <w:tcPr>
            <w:tcW w:type="dxa" w:w="199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Training dataset size (total)</w:t>
            </w:r>
          </w:p>
        </w:tc>
        <w:tc>
          <w:tcPr>
            <w:tcW w:type="dxa" w:w="199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1424</w:t>
            </w:r>
          </w:p>
        </w:tc>
        <w:tc>
          <w:tcPr>
            <w:tcW w:type="dxa" w:w="199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3523</w:t>
            </w:r>
          </w:p>
        </w:tc>
        <w:tc>
          <w:tcPr>
            <w:tcW w:type="dxa" w:w="199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40.4%</w:t>
            </w:r>
          </w:p>
        </w:tc>
        <w:tc>
          <w:tcPr>
            <w:tcW w:type="dxa" w:w="199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832</w:t>
            </w:r>
          </w:p>
        </w:tc>
      </w:tr>
      <w:tr>
        <w:tc>
          <w:tcPr>
            <w:tcW w:type="dxa" w:w="199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Parameters</w:t>
            </w:r>
          </w:p>
        </w:tc>
        <w:tc>
          <w:tcPr>
            <w:tcW w:type="dxa" w:w="199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2297</w:t>
            </w:r>
          </w:p>
        </w:tc>
        <w:tc>
          <w:tcPr>
            <w:tcW w:type="dxa" w:w="199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3523</w:t>
            </w:r>
          </w:p>
        </w:tc>
        <w:tc>
          <w:tcPr>
            <w:tcW w:type="dxa" w:w="199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65.2%</w:t>
            </w:r>
          </w:p>
        </w:tc>
        <w:tc>
          <w:tcPr>
            <w:tcW w:type="dxa" w:w="199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939</w:t>
            </w:r>
          </w:p>
        </w:tc>
      </w:tr>
      <w:tr>
        <w:tc>
          <w:tcPr>
            <w:tcW w:type="dxa" w:w="199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Open model weights?</w:t>
            </w:r>
          </w:p>
        </w:tc>
        <w:tc>
          <w:tcPr>
            <w:tcW w:type="dxa" w:w="199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2653</w:t>
            </w:r>
          </w:p>
        </w:tc>
        <w:tc>
          <w:tcPr>
            <w:tcW w:type="dxa" w:w="199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3523</w:t>
            </w:r>
          </w:p>
        </w:tc>
        <w:tc>
          <w:tcPr>
            <w:tcW w:type="dxa" w:w="199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75.3%</w:t>
            </w:r>
          </w:p>
        </w:tc>
        <w:tc>
          <w:tcPr>
            <w:tcW w:type="dxa" w:w="199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2</w:t>
            </w:r>
          </w:p>
        </w:tc>
      </w:tr>
      <w:tr>
        <w:tc>
          <w:tcPr>
            <w:tcW w:type="dxa" w:w="199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Frontier model</w:t>
            </w:r>
          </w:p>
        </w:tc>
        <w:tc>
          <w:tcPr>
            <w:tcW w:type="dxa" w:w="199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137</w:t>
            </w:r>
          </w:p>
        </w:tc>
        <w:tc>
          <w:tcPr>
            <w:tcW w:type="dxa" w:w="199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3523</w:t>
            </w:r>
          </w:p>
        </w:tc>
        <w:tc>
          <w:tcPr>
            <w:tcW w:type="dxa" w:w="199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3.9%</w:t>
            </w:r>
          </w:p>
        </w:tc>
        <w:tc>
          <w:tcPr>
            <w:tcW w:type="dxa" w:w="199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1</w:t>
            </w:r>
          </w:p>
        </w:tc>
      </w:tr>
      <w:tr>
        <w:tc>
          <w:tcPr>
            <w:tcW w:type="dxa" w:w="199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Publication date</w:t>
            </w:r>
          </w:p>
        </w:tc>
        <w:tc>
          <w:tcPr>
            <w:tcW w:type="dxa" w:w="199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3500</w:t>
            </w:r>
          </w:p>
        </w:tc>
        <w:tc>
          <w:tcPr>
            <w:tcW w:type="dxa" w:w="199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3523</w:t>
            </w:r>
          </w:p>
        </w:tc>
        <w:tc>
          <w:tcPr>
            <w:tcW w:type="dxa" w:w="199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99.3%</w:t>
            </w:r>
          </w:p>
        </w:tc>
        <w:tc>
          <w:tcPr>
            <w:tcW w:type="dxa" w:w="199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1695</w:t>
            </w:r>
          </w:p>
        </w:tc>
      </w:tr>
      <w:tr>
        <w:tc>
          <w:tcPr>
            <w:tcW w:type="dxa" w:w="199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Model accessibility</w:t>
            </w:r>
          </w:p>
        </w:tc>
        <w:tc>
          <w:tcPr>
            <w:tcW w:type="dxa" w:w="199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2653</w:t>
            </w:r>
          </w:p>
        </w:tc>
        <w:tc>
          <w:tcPr>
            <w:tcW w:type="dxa" w:w="199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3523</w:t>
            </w:r>
          </w:p>
        </w:tc>
        <w:tc>
          <w:tcPr>
            <w:tcW w:type="dxa" w:w="199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75.3%</w:t>
            </w:r>
          </w:p>
        </w:tc>
        <w:tc>
          <w:tcPr>
            <w:tcW w:type="dxa" w:w="199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6</w:t>
            </w:r>
          </w:p>
        </w:tc>
      </w:tr>
      <w:tr>
        <w:tc>
          <w:tcPr>
            <w:tcW w:type="dxa" w:w="199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Training code accessibility</w:t>
            </w:r>
          </w:p>
        </w:tc>
        <w:tc>
          <w:tcPr>
            <w:tcW w:type="dxa" w:w="199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2403</w:t>
            </w:r>
          </w:p>
        </w:tc>
        <w:tc>
          <w:tcPr>
            <w:tcW w:type="dxa" w:w="199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3523</w:t>
            </w:r>
          </w:p>
        </w:tc>
        <w:tc>
          <w:tcPr>
            <w:tcW w:type="dxa" w:w="199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68.2%</w:t>
            </w:r>
          </w:p>
        </w:tc>
        <w:tc>
          <w:tcPr>
            <w:tcW w:type="dxa" w:w="199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4</w:t>
            </w:r>
          </w:p>
        </w:tc>
      </w:tr>
    </w:tbl>
    <w:p>
      <w:pPr>
        <w:spacing w:after="40"/>
      </w:pPr>
    </w:p>
    <w:p>
      <w:pPr>
        <w:spacing w:after="120" w:line="276" w:lineRule="auto"/>
      </w:pPr>
      <w:r>
        <w:rPr>
          <w:rFonts w:ascii="Microsoft YaHei" w:hAnsi="Microsoft YaHei" w:eastAsia="Microsoft YaHei"/>
          <w:sz w:val="21"/>
        </w:rPr>
        <w:t>C8 与 C4 的模型标识无法广泛直接配对，因此任务回归规模控制采用 C3 参数列；C4 的训练数据量、权重开放和算力字段用于独立外部描述，不冒充逐模型配对验证。</w:t>
      </w:r>
    </w:p>
    <w:p>
      <w:pPr>
        <w:pStyle w:val="Heading1"/>
        <w:spacing w:after="120" w:line="276" w:lineRule="auto"/>
      </w:pPr>
      <w:r>
        <w:rPr>
          <w:rFonts w:ascii="Microsoft YaHei" w:hAnsi="Microsoft YaHei" w:eastAsia="Microsoft YaHei"/>
          <w:sz w:val="21"/>
        </w:rPr>
        <w:t>5 未来前沿情景</w:t>
      </w:r>
    </w:p>
    <w:p>
      <w:pPr>
        <w:spacing w:after="120" w:line="276" w:lineRule="auto"/>
      </w:pPr>
      <w:r>
        <w:rPr>
          <w:rFonts w:ascii="Microsoft YaHei" w:hAnsi="Microsoft YaHei" w:eastAsia="Microsoft YaHei"/>
          <w:sz w:val="21"/>
        </w:rPr>
        <w:t>以 C4 最大观测计算作为起点，设置年化算力增长 1.25、2、4 倍，预测 12 和 24 个月。每个情景先在 Q3 Loss*(C) 曲线上取值，再经 C6 High 仿射桥接转换为 benchmark。另以 C3 年度 Average 的 p90（当年较强主流水平）与最大值（观测上沿）构造经验包络，在每年至少 10 条记录的年份上拟合时间趋势，给出 12/24 个月 t 预测区间。两个结果来自不同统计口径，不能直接相减或拼接。</w:t>
      </w:r>
    </w:p>
    <w:tbl>
      <w:tblPr>
        <w:tblW w:type="auto" w:w="0"/>
        <w:jc w:val="center"/>
        <w:tblLayout w:type="autofit"/>
        <w:tblLook w:firstColumn="1" w:firstRow="1" w:lastColumn="0" w:lastRow="0" w:noHBand="0" w:noVBand="1" w:val="04A0"/>
      </w:tblPr>
      <w:tblGrid>
        <w:gridCol w:w="1249"/>
        <w:gridCol w:w="1249"/>
        <w:gridCol w:w="1249"/>
        <w:gridCol w:w="1249"/>
        <w:gridCol w:w="1249"/>
        <w:gridCol w:w="1249"/>
        <w:gridCol w:w="1249"/>
        <w:gridCol w:w="1249"/>
      </w:tblGrid>
      <w:tr>
        <w:trPr>
          <w:tblHeader w:val="true"/>
        </w:trPr>
        <w:tc>
          <w:tcPr>
            <w:tcW w:type="dxa" w:w="1249"/>
            <w:shd w:fill="315B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center"/>
            </w:pPr>
            <w:r>
              <w:rPr>
                <w:rFonts w:ascii="Microsoft YaHei" w:hAnsi="Microsoft YaHei" w:eastAsia="Microsoft YaHei"/>
                <w:b/>
                <w:color w:val="FFFFFF"/>
                <w:sz w:val="16"/>
              </w:rPr>
              <w:t>预测月数</w:t>
            </w:r>
          </w:p>
        </w:tc>
        <w:tc>
          <w:tcPr>
            <w:tcW w:type="dxa" w:w="1249"/>
            <w:shd w:fill="315B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center"/>
            </w:pPr>
            <w:r>
              <w:rPr>
                <w:rFonts w:ascii="Microsoft YaHei" w:hAnsi="Microsoft YaHei" w:eastAsia="Microsoft YaHei"/>
                <w:b/>
                <w:color w:val="FFFFFF"/>
                <w:sz w:val="16"/>
              </w:rPr>
              <w:t>年算力倍数</w:t>
            </w:r>
          </w:p>
        </w:tc>
        <w:tc>
          <w:tcPr>
            <w:tcW w:type="dxa" w:w="1249"/>
            <w:shd w:fill="315B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center"/>
            </w:pPr>
            <w:r>
              <w:rPr>
                <w:rFonts w:ascii="Microsoft YaHei" w:hAnsi="Microsoft YaHei" w:eastAsia="Microsoft YaHei"/>
                <w:b/>
                <w:color w:val="FFFFFF"/>
                <w:sz w:val="16"/>
              </w:rPr>
              <w:t>算力FLOP</w:t>
            </w:r>
          </w:p>
        </w:tc>
        <w:tc>
          <w:tcPr>
            <w:tcW w:type="dxa" w:w="1249"/>
            <w:shd w:fill="315B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center"/>
            </w:pPr>
            <w:r>
              <w:rPr>
                <w:rFonts w:ascii="Microsoft YaHei" w:hAnsi="Microsoft YaHei" w:eastAsia="Microsoft YaHei"/>
                <w:b/>
                <w:color w:val="FFFFFF"/>
                <w:sz w:val="16"/>
              </w:rPr>
              <w:t>Loss*</w:t>
            </w:r>
          </w:p>
        </w:tc>
        <w:tc>
          <w:tcPr>
            <w:tcW w:type="dxa" w:w="1249"/>
            <w:shd w:fill="315B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center"/>
            </w:pPr>
            <w:r>
              <w:rPr>
                <w:rFonts w:ascii="Microsoft YaHei" w:hAnsi="Microsoft YaHei" w:eastAsia="Microsoft YaHei"/>
                <w:b/>
                <w:color w:val="FFFFFF"/>
                <w:sz w:val="16"/>
              </w:rPr>
              <w:t>榜单预测</w:t>
            </w:r>
          </w:p>
        </w:tc>
        <w:tc>
          <w:tcPr>
            <w:tcW w:type="dxa" w:w="1249"/>
            <w:shd w:fill="315B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center"/>
            </w:pPr>
            <w:r>
              <w:rPr>
                <w:rFonts w:ascii="Microsoft YaHei" w:hAnsi="Microsoft YaHei" w:eastAsia="Microsoft YaHei"/>
                <w:b/>
                <w:color w:val="FFFFFF"/>
                <w:sz w:val="16"/>
              </w:rPr>
              <w:t>桥接Bootstrap下限</w:t>
            </w:r>
          </w:p>
        </w:tc>
        <w:tc>
          <w:tcPr>
            <w:tcW w:type="dxa" w:w="1249"/>
            <w:shd w:fill="315B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center"/>
            </w:pPr>
            <w:r>
              <w:rPr>
                <w:rFonts w:ascii="Microsoft YaHei" w:hAnsi="Microsoft YaHei" w:eastAsia="Microsoft YaHei"/>
                <w:b/>
                <w:color w:val="FFFFFF"/>
                <w:sz w:val="16"/>
              </w:rPr>
              <w:t>桥接Bootstrap上限</w:t>
            </w:r>
          </w:p>
        </w:tc>
        <w:tc>
          <w:tcPr>
            <w:tcW w:type="dxa" w:w="1249"/>
            <w:shd w:fill="315B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center"/>
            </w:pPr>
            <w:r>
              <w:rPr>
                <w:rFonts w:ascii="Microsoft YaHei" w:hAnsi="Microsoft YaHei" w:eastAsia="Microsoft YaHei"/>
                <w:b/>
                <w:color w:val="FFFFFF"/>
                <w:sz w:val="16"/>
              </w:rPr>
              <w:t>支持域外</w:t>
            </w:r>
          </w:p>
        </w:tc>
      </w:tr>
      <w:tr>
        <w:tc>
          <w:tcPr>
            <w:tcW w:type="dxa" w:w="124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12</w:t>
            </w:r>
          </w:p>
        </w:tc>
        <w:tc>
          <w:tcPr>
            <w:tcW w:type="dxa" w:w="124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1.2500</w:t>
            </w:r>
          </w:p>
        </w:tc>
        <w:tc>
          <w:tcPr>
            <w:tcW w:type="dxa" w:w="124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6.250e+26</w:t>
            </w:r>
          </w:p>
        </w:tc>
        <w:tc>
          <w:tcPr>
            <w:tcW w:type="dxa" w:w="124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1.3584</w:t>
            </w:r>
          </w:p>
        </w:tc>
        <w:tc>
          <w:tcPr>
            <w:tcW w:type="dxa" w:w="124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6.4740</w:t>
            </w:r>
          </w:p>
        </w:tc>
        <w:tc>
          <w:tcPr>
            <w:tcW w:type="dxa" w:w="124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4.9303</w:t>
            </w:r>
          </w:p>
        </w:tc>
        <w:tc>
          <w:tcPr>
            <w:tcW w:type="dxa" w:w="124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9.4981</w:t>
            </w:r>
          </w:p>
        </w:tc>
        <w:tc>
          <w:tcPr>
            <w:tcW w:type="dxa" w:w="124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High桥接</w:t>
            </w:r>
          </w:p>
        </w:tc>
      </w:tr>
      <w:tr>
        <w:tc>
          <w:tcPr>
            <w:tcW w:type="dxa" w:w="124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12</w:t>
            </w:r>
          </w:p>
        </w:tc>
        <w:tc>
          <w:tcPr>
            <w:tcW w:type="dxa" w:w="124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2.0000</w:t>
            </w:r>
          </w:p>
        </w:tc>
        <w:tc>
          <w:tcPr>
            <w:tcW w:type="dxa" w:w="124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1.000e+27</w:t>
            </w:r>
          </w:p>
        </w:tc>
        <w:tc>
          <w:tcPr>
            <w:tcW w:type="dxa" w:w="124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1.3566</w:t>
            </w:r>
          </w:p>
        </w:tc>
        <w:tc>
          <w:tcPr>
            <w:tcW w:type="dxa" w:w="124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6.4756</w:t>
            </w:r>
          </w:p>
        </w:tc>
        <w:tc>
          <w:tcPr>
            <w:tcW w:type="dxa" w:w="124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4.9295</w:t>
            </w:r>
          </w:p>
        </w:tc>
        <w:tc>
          <w:tcPr>
            <w:tcW w:type="dxa" w:w="124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9.5061</w:t>
            </w:r>
          </w:p>
        </w:tc>
        <w:tc>
          <w:tcPr>
            <w:tcW w:type="dxa" w:w="124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Q3+High桥接</w:t>
            </w:r>
          </w:p>
        </w:tc>
      </w:tr>
      <w:tr>
        <w:tc>
          <w:tcPr>
            <w:tcW w:type="dxa" w:w="124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12</w:t>
            </w:r>
          </w:p>
        </w:tc>
        <w:tc>
          <w:tcPr>
            <w:tcW w:type="dxa" w:w="124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4.0000</w:t>
            </w:r>
          </w:p>
        </w:tc>
        <w:tc>
          <w:tcPr>
            <w:tcW w:type="dxa" w:w="124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2.000e+27</w:t>
            </w:r>
          </w:p>
        </w:tc>
        <w:tc>
          <w:tcPr>
            <w:tcW w:type="dxa" w:w="124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1.3566</w:t>
            </w:r>
          </w:p>
        </w:tc>
        <w:tc>
          <w:tcPr>
            <w:tcW w:type="dxa" w:w="124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6.4756</w:t>
            </w:r>
          </w:p>
        </w:tc>
        <w:tc>
          <w:tcPr>
            <w:tcW w:type="dxa" w:w="124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4.9295</w:t>
            </w:r>
          </w:p>
        </w:tc>
        <w:tc>
          <w:tcPr>
            <w:tcW w:type="dxa" w:w="124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9.5061</w:t>
            </w:r>
          </w:p>
        </w:tc>
        <w:tc>
          <w:tcPr>
            <w:tcW w:type="dxa" w:w="124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Q3+High桥接</w:t>
            </w:r>
          </w:p>
        </w:tc>
      </w:tr>
      <w:tr>
        <w:tc>
          <w:tcPr>
            <w:tcW w:type="dxa" w:w="124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24</w:t>
            </w:r>
          </w:p>
        </w:tc>
        <w:tc>
          <w:tcPr>
            <w:tcW w:type="dxa" w:w="124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1.2500</w:t>
            </w:r>
          </w:p>
        </w:tc>
        <w:tc>
          <w:tcPr>
            <w:tcW w:type="dxa" w:w="124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7.813e+26</w:t>
            </w:r>
          </w:p>
        </w:tc>
        <w:tc>
          <w:tcPr>
            <w:tcW w:type="dxa" w:w="124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1.3576</w:t>
            </w:r>
          </w:p>
        </w:tc>
        <w:tc>
          <w:tcPr>
            <w:tcW w:type="dxa" w:w="124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6.4747</w:t>
            </w:r>
          </w:p>
        </w:tc>
        <w:tc>
          <w:tcPr>
            <w:tcW w:type="dxa" w:w="124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4.9299</w:t>
            </w:r>
          </w:p>
        </w:tc>
        <w:tc>
          <w:tcPr>
            <w:tcW w:type="dxa" w:w="124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9.5019</w:t>
            </w:r>
          </w:p>
        </w:tc>
        <w:tc>
          <w:tcPr>
            <w:tcW w:type="dxa" w:w="124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High桥接</w:t>
            </w:r>
          </w:p>
        </w:tc>
      </w:tr>
      <w:tr>
        <w:tc>
          <w:tcPr>
            <w:tcW w:type="dxa" w:w="124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24</w:t>
            </w:r>
          </w:p>
        </w:tc>
        <w:tc>
          <w:tcPr>
            <w:tcW w:type="dxa" w:w="124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2.0000</w:t>
            </w:r>
          </w:p>
        </w:tc>
        <w:tc>
          <w:tcPr>
            <w:tcW w:type="dxa" w:w="124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2.000e+27</w:t>
            </w:r>
          </w:p>
        </w:tc>
        <w:tc>
          <w:tcPr>
            <w:tcW w:type="dxa" w:w="124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1.3566</w:t>
            </w:r>
          </w:p>
        </w:tc>
        <w:tc>
          <w:tcPr>
            <w:tcW w:type="dxa" w:w="124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6.4756</w:t>
            </w:r>
          </w:p>
        </w:tc>
        <w:tc>
          <w:tcPr>
            <w:tcW w:type="dxa" w:w="124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4.9295</w:t>
            </w:r>
          </w:p>
        </w:tc>
        <w:tc>
          <w:tcPr>
            <w:tcW w:type="dxa" w:w="124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9.5061</w:t>
            </w:r>
          </w:p>
        </w:tc>
        <w:tc>
          <w:tcPr>
            <w:tcW w:type="dxa" w:w="124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Q3+High桥接</w:t>
            </w:r>
          </w:p>
        </w:tc>
      </w:tr>
      <w:tr>
        <w:tc>
          <w:tcPr>
            <w:tcW w:type="dxa" w:w="124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24</w:t>
            </w:r>
          </w:p>
        </w:tc>
        <w:tc>
          <w:tcPr>
            <w:tcW w:type="dxa" w:w="124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4.0000</w:t>
            </w:r>
          </w:p>
        </w:tc>
        <w:tc>
          <w:tcPr>
            <w:tcW w:type="dxa" w:w="124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8.000e+27</w:t>
            </w:r>
          </w:p>
        </w:tc>
        <w:tc>
          <w:tcPr>
            <w:tcW w:type="dxa" w:w="124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1.3566</w:t>
            </w:r>
          </w:p>
        </w:tc>
        <w:tc>
          <w:tcPr>
            <w:tcW w:type="dxa" w:w="124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6.4756</w:t>
            </w:r>
          </w:p>
        </w:tc>
        <w:tc>
          <w:tcPr>
            <w:tcW w:type="dxa" w:w="124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4.9295</w:t>
            </w:r>
          </w:p>
        </w:tc>
        <w:tc>
          <w:tcPr>
            <w:tcW w:type="dxa" w:w="124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9.5061</w:t>
            </w:r>
          </w:p>
        </w:tc>
        <w:tc>
          <w:tcPr>
            <w:tcW w:type="dxa" w:w="124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Q3+High桥接</w:t>
            </w:r>
          </w:p>
        </w:tc>
      </w:tr>
    </w:tbl>
    <w:p>
      <w:pPr>
        <w:spacing w:after="40"/>
      </w:pPr>
    </w:p>
    <w:p>
      <w:pPr>
        <w:spacing w:after="120" w:line="276" w:lineRule="auto"/>
      </w:pPr>
      <w:r>
        <w:rPr>
          <w:rFonts w:ascii="Microsoft YaHei" w:hAnsi="Microsoft YaHei" w:eastAsia="Microsoft YaHei"/>
          <w:sz w:val="21"/>
        </w:rPr>
        <w:t>表中 Bootstrap 区间只反映 7 个 High 配对点重抽样造成的桥接参数不确定性；B9/B10 的同表偏差敏感性范围另列于 q4_frontier_predictions.csv，未叠加到中心预测。该偏差来自估算情景表，不是独立验证集。</w:t>
      </w:r>
    </w:p>
    <w:p>
      <w:pPr>
        <w:jc w:val="center"/>
      </w:pPr>
      <w:r>
        <w:drawing>
          <wp:inline xmlns:a="http://schemas.openxmlformats.org/drawingml/2006/main" xmlns:pic="http://schemas.openxmlformats.org/drawingml/2006/picture">
            <wp:extent cx="5943600" cy="3679968"/>
            <wp:docPr id="4" name="Picture 4"/>
            <wp:cNvGraphicFramePr>
              <a:graphicFrameLocks noChangeAspect="1"/>
            </wp:cNvGraphicFramePr>
            <a:graphic>
              <a:graphicData uri="http://schemas.openxmlformats.org/drawingml/2006/picture">
                <pic:pic>
                  <pic:nvPicPr>
                    <pic:cNvPr id="0" name="fig_q4_frontier_forecast.png"/>
                    <pic:cNvPicPr/>
                  </pic:nvPicPr>
                  <pic:blipFill>
                    <a:blip r:embed="rId12"/>
                    <a:stretch>
                      <a:fillRect/>
                    </a:stretch>
                  </pic:blipFill>
                  <pic:spPr>
                    <a:xfrm>
                      <a:off x="0" y="0"/>
                      <a:ext cx="5943600" cy="3679968"/>
                    </a:xfrm>
                    <a:prstGeom prst="rect"/>
                  </pic:spPr>
                </pic:pic>
              </a:graphicData>
            </a:graphic>
          </wp:inline>
        </w:drawing>
      </w:r>
    </w:p>
    <w:p>
      <w:pPr>
        <w:spacing w:after="160"/>
        <w:jc w:val="center"/>
      </w:pPr>
      <w:r>
        <w:rPr>
          <w:i/>
          <w:sz w:val="18"/>
        </w:rPr>
        <w:t>前沿预测</w:t>
      </w:r>
    </w:p>
    <w:p>
      <w:pPr>
        <w:spacing w:after="120" w:line="276" w:lineRule="auto"/>
      </w:pPr>
      <w:r>
        <w:rPr>
          <w:rFonts w:ascii="Microsoft YaHei" w:hAnsi="Microsoft YaHei" w:eastAsia="Microsoft YaHei"/>
          <w:sz w:val="21"/>
        </w:rPr>
        <w:t>#### C3 经验包络</w:t>
      </w:r>
    </w:p>
    <w:tbl>
      <w:tblPr>
        <w:tblW w:type="auto" w:w="0"/>
        <w:jc w:val="center"/>
        <w:tblLayout w:type="autofit"/>
        <w:tblLook w:firstColumn="1" w:firstRow="1" w:lastColumn="0" w:lastRow="0" w:noHBand="0" w:noVBand="1" w:val="04A0"/>
      </w:tblPr>
      <w:tblGrid>
        <w:gridCol w:w="1999"/>
        <w:gridCol w:w="1999"/>
        <w:gridCol w:w="1999"/>
        <w:gridCol w:w="1999"/>
        <w:gridCol w:w="1999"/>
      </w:tblGrid>
      <w:tr>
        <w:trPr>
          <w:tblHeader w:val="true"/>
        </w:trPr>
        <w:tc>
          <w:tcPr>
            <w:tcW w:type="dxa" w:w="1999"/>
            <w:shd w:fill="315B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center"/>
            </w:pPr>
            <w:r>
              <w:rPr>
                <w:rFonts w:ascii="Microsoft YaHei" w:hAnsi="Microsoft YaHei" w:eastAsia="Microsoft YaHei"/>
                <w:b/>
                <w:color w:val="FFFFFF"/>
                <w:sz w:val="16"/>
              </w:rPr>
              <w:t>Year</w:t>
            </w:r>
          </w:p>
        </w:tc>
        <w:tc>
          <w:tcPr>
            <w:tcW w:type="dxa" w:w="1999"/>
            <w:shd w:fill="315B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center"/>
            </w:pPr>
            <w:r>
              <w:rPr>
                <w:rFonts w:ascii="Microsoft YaHei" w:hAnsi="Microsoft YaHei" w:eastAsia="Microsoft YaHei"/>
                <w:b/>
                <w:color w:val="FFFFFF"/>
                <w:sz w:val="16"/>
              </w:rPr>
              <w:t>n</w:t>
            </w:r>
          </w:p>
        </w:tc>
        <w:tc>
          <w:tcPr>
            <w:tcW w:type="dxa" w:w="1999"/>
            <w:shd w:fill="315B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center"/>
            </w:pPr>
            <w:r>
              <w:rPr>
                <w:rFonts w:ascii="Microsoft YaHei" w:hAnsi="Microsoft YaHei" w:eastAsia="Microsoft YaHei"/>
                <w:b/>
                <w:color w:val="FFFFFF"/>
                <w:sz w:val="16"/>
              </w:rPr>
              <w:t>mean</w:t>
            </w:r>
          </w:p>
        </w:tc>
        <w:tc>
          <w:tcPr>
            <w:tcW w:type="dxa" w:w="1999"/>
            <w:shd w:fill="315B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center"/>
            </w:pPr>
            <w:r>
              <w:rPr>
                <w:rFonts w:ascii="Microsoft YaHei" w:hAnsi="Microsoft YaHei" w:eastAsia="Microsoft YaHei"/>
                <w:b/>
                <w:color w:val="FFFFFF"/>
                <w:sz w:val="16"/>
              </w:rPr>
              <w:t>p90</w:t>
            </w:r>
          </w:p>
        </w:tc>
        <w:tc>
          <w:tcPr>
            <w:tcW w:type="dxa" w:w="1999"/>
            <w:shd w:fill="315B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center"/>
            </w:pPr>
            <w:r>
              <w:rPr>
                <w:rFonts w:ascii="Microsoft YaHei" w:hAnsi="Microsoft YaHei" w:eastAsia="Microsoft YaHei"/>
                <w:b/>
                <w:color w:val="FFFFFF"/>
                <w:sz w:val="16"/>
              </w:rPr>
              <w:t>maximum</w:t>
            </w:r>
          </w:p>
        </w:tc>
      </w:tr>
      <w:tr>
        <w:tc>
          <w:tcPr>
            <w:tcW w:type="dxa" w:w="199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2023</w:t>
            </w:r>
          </w:p>
        </w:tc>
        <w:tc>
          <w:tcPr>
            <w:tcW w:type="dxa" w:w="199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13</w:t>
            </w:r>
          </w:p>
        </w:tc>
        <w:tc>
          <w:tcPr>
            <w:tcW w:type="dxa" w:w="199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12.9231</w:t>
            </w:r>
          </w:p>
        </w:tc>
        <w:tc>
          <w:tcPr>
            <w:tcW w:type="dxa" w:w="199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24.0000</w:t>
            </w:r>
          </w:p>
        </w:tc>
        <w:tc>
          <w:tcPr>
            <w:tcW w:type="dxa" w:w="199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35.0000</w:t>
            </w:r>
          </w:p>
        </w:tc>
      </w:tr>
      <w:tr>
        <w:tc>
          <w:tcPr>
            <w:tcW w:type="dxa" w:w="199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2024</w:t>
            </w:r>
          </w:p>
        </w:tc>
        <w:tc>
          <w:tcPr>
            <w:tcW w:type="dxa" w:w="199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2673</w:t>
            </w:r>
          </w:p>
        </w:tc>
        <w:tc>
          <w:tcPr>
            <w:tcW w:type="dxa" w:w="199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21.1207</w:t>
            </w:r>
          </w:p>
        </w:tc>
        <w:tc>
          <w:tcPr>
            <w:tcW w:type="dxa" w:w="199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35.1000</w:t>
            </w:r>
          </w:p>
        </w:tc>
        <w:tc>
          <w:tcPr>
            <w:tcW w:type="dxa" w:w="1999"/>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52.0800</w:t>
            </w:r>
          </w:p>
        </w:tc>
      </w:tr>
      <w:tr>
        <w:tc>
          <w:tcPr>
            <w:tcW w:type="dxa" w:w="199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2025</w:t>
            </w:r>
          </w:p>
        </w:tc>
        <w:tc>
          <w:tcPr>
            <w:tcW w:type="dxa" w:w="199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1902</w:t>
            </w:r>
          </w:p>
        </w:tc>
        <w:tc>
          <w:tcPr>
            <w:tcW w:type="dxa" w:w="199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22.7834</w:t>
            </w:r>
          </w:p>
        </w:tc>
        <w:tc>
          <w:tcPr>
            <w:tcW w:type="dxa" w:w="199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39.6700</w:t>
            </w:r>
          </w:p>
        </w:tc>
        <w:tc>
          <w:tcPr>
            <w:tcW w:type="dxa" w:w="1999"/>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47.2200</w:t>
            </w:r>
          </w:p>
        </w:tc>
      </w:tr>
    </w:tbl>
    <w:p>
      <w:pPr>
        <w:spacing w:after="40"/>
      </w:pPr>
    </w:p>
    <w:p>
      <w:pPr>
        <w:spacing w:after="120" w:line="276" w:lineRule="auto"/>
      </w:pPr>
      <w:r>
        <w:rPr>
          <w:rFonts w:ascii="Microsoft YaHei" w:hAnsi="Microsoft YaHei" w:eastAsia="Microsoft YaHei"/>
          <w:sz w:val="21"/>
        </w:rPr>
        <w:t>趋势情景外推为：</w:t>
      </w:r>
    </w:p>
    <w:tbl>
      <w:tblPr>
        <w:tblW w:type="auto" w:w="0"/>
        <w:jc w:val="center"/>
        <w:tblLayout w:type="autofit"/>
        <w:tblLook w:firstColumn="1" w:firstRow="1" w:lastColumn="0" w:lastRow="0" w:noHBand="0" w:noVBand="1" w:val="04A0"/>
      </w:tblPr>
      <w:tblGrid>
        <w:gridCol w:w="1666"/>
        <w:gridCol w:w="1666"/>
        <w:gridCol w:w="1666"/>
        <w:gridCol w:w="1666"/>
        <w:gridCol w:w="1666"/>
        <w:gridCol w:w="1666"/>
      </w:tblGrid>
      <w:tr>
        <w:trPr>
          <w:tblHeader w:val="true"/>
        </w:trPr>
        <w:tc>
          <w:tcPr>
            <w:tcW w:type="dxa" w:w="1666"/>
            <w:shd w:fill="315B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center"/>
            </w:pPr>
            <w:r>
              <w:rPr>
                <w:rFonts w:ascii="Microsoft YaHei" w:hAnsi="Microsoft YaHei" w:eastAsia="Microsoft YaHei"/>
                <w:b/>
                <w:color w:val="FFFFFF"/>
                <w:sz w:val="16"/>
              </w:rPr>
              <w:t>metric</w:t>
            </w:r>
          </w:p>
        </w:tc>
        <w:tc>
          <w:tcPr>
            <w:tcW w:type="dxa" w:w="1666"/>
            <w:shd w:fill="315B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center"/>
            </w:pPr>
            <w:r>
              <w:rPr>
                <w:rFonts w:ascii="Microsoft YaHei" w:hAnsi="Microsoft YaHei" w:eastAsia="Microsoft YaHei"/>
                <w:b/>
                <w:color w:val="FFFFFF"/>
                <w:sz w:val="16"/>
              </w:rPr>
              <w:t>forecast_year</w:t>
            </w:r>
          </w:p>
        </w:tc>
        <w:tc>
          <w:tcPr>
            <w:tcW w:type="dxa" w:w="1666"/>
            <w:shd w:fill="315B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center"/>
            </w:pPr>
            <w:r>
              <w:rPr>
                <w:rFonts w:ascii="Microsoft YaHei" w:hAnsi="Microsoft YaHei" w:eastAsia="Microsoft YaHei"/>
                <w:b/>
                <w:color w:val="FFFFFF"/>
                <w:sz w:val="16"/>
              </w:rPr>
              <w:t>estimate</w:t>
            </w:r>
          </w:p>
        </w:tc>
        <w:tc>
          <w:tcPr>
            <w:tcW w:type="dxa" w:w="1666"/>
            <w:shd w:fill="315B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center"/>
            </w:pPr>
            <w:r>
              <w:rPr>
                <w:rFonts w:ascii="Microsoft YaHei" w:hAnsi="Microsoft YaHei" w:eastAsia="Microsoft YaHei"/>
                <w:b/>
                <w:color w:val="FFFFFF"/>
                <w:sz w:val="16"/>
              </w:rPr>
              <w:t>prediction_low_95</w:t>
            </w:r>
          </w:p>
        </w:tc>
        <w:tc>
          <w:tcPr>
            <w:tcW w:type="dxa" w:w="1666"/>
            <w:shd w:fill="315B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center"/>
            </w:pPr>
            <w:r>
              <w:rPr>
                <w:rFonts w:ascii="Microsoft YaHei" w:hAnsi="Microsoft YaHei" w:eastAsia="Microsoft YaHei"/>
                <w:b/>
                <w:color w:val="FFFFFF"/>
                <w:sz w:val="16"/>
              </w:rPr>
              <w:t>prediction_high_95</w:t>
            </w:r>
          </w:p>
        </w:tc>
        <w:tc>
          <w:tcPr>
            <w:tcW w:type="dxa" w:w="1666"/>
            <w:shd w:fill="315B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center"/>
            </w:pPr>
            <w:r>
              <w:rPr>
                <w:rFonts w:ascii="Microsoft YaHei" w:hAnsi="Microsoft YaHei" w:eastAsia="Microsoft YaHei"/>
                <w:b/>
                <w:color w:val="FFFFFF"/>
                <w:sz w:val="16"/>
              </w:rPr>
              <w:t>n_annual_points</w:t>
            </w:r>
          </w:p>
        </w:tc>
      </w:tr>
      <w:tr>
        <w:tc>
          <w:tcPr>
            <w:tcW w:type="dxa" w:w="1666"/>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p90</w:t>
            </w:r>
          </w:p>
        </w:tc>
        <w:tc>
          <w:tcPr>
            <w:tcW w:type="dxa" w:w="1666"/>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2026</w:t>
            </w:r>
          </w:p>
        </w:tc>
        <w:tc>
          <w:tcPr>
            <w:tcW w:type="dxa" w:w="1666"/>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48.5933</w:t>
            </w:r>
          </w:p>
        </w:tc>
        <w:tc>
          <w:tcPr>
            <w:tcW w:type="dxa" w:w="1666"/>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-13.2500</w:t>
            </w:r>
          </w:p>
        </w:tc>
        <w:tc>
          <w:tcPr>
            <w:tcW w:type="dxa" w:w="1666"/>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110.4367</w:t>
            </w:r>
          </w:p>
        </w:tc>
        <w:tc>
          <w:tcPr>
            <w:tcW w:type="dxa" w:w="1666"/>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3</w:t>
            </w:r>
          </w:p>
        </w:tc>
      </w:tr>
      <w:tr>
        <w:tc>
          <w:tcPr>
            <w:tcW w:type="dxa" w:w="1666"/>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p90</w:t>
            </w:r>
          </w:p>
        </w:tc>
        <w:tc>
          <w:tcPr>
            <w:tcW w:type="dxa" w:w="1666"/>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2027</w:t>
            </w:r>
          </w:p>
        </w:tc>
        <w:tc>
          <w:tcPr>
            <w:tcW w:type="dxa" w:w="1666"/>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56.4283</w:t>
            </w:r>
          </w:p>
        </w:tc>
        <w:tc>
          <w:tcPr>
            <w:tcW w:type="dxa" w:w="1666"/>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-25.3827</w:t>
            </w:r>
          </w:p>
        </w:tc>
        <w:tc>
          <w:tcPr>
            <w:tcW w:type="dxa" w:w="1666"/>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138.2394</w:t>
            </w:r>
          </w:p>
        </w:tc>
        <w:tc>
          <w:tcPr>
            <w:tcW w:type="dxa" w:w="1666"/>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3</w:t>
            </w:r>
          </w:p>
        </w:tc>
      </w:tr>
      <w:tr>
        <w:tc>
          <w:tcPr>
            <w:tcW w:type="dxa" w:w="1666"/>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maximum</w:t>
            </w:r>
          </w:p>
        </w:tc>
        <w:tc>
          <w:tcPr>
            <w:tcW w:type="dxa" w:w="1666"/>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2026</w:t>
            </w:r>
          </w:p>
        </w:tc>
        <w:tc>
          <w:tcPr>
            <w:tcW w:type="dxa" w:w="1666"/>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56.9867</w:t>
            </w:r>
          </w:p>
        </w:tc>
        <w:tc>
          <w:tcPr>
            <w:tcW w:type="dxa" w:w="1666"/>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-150.7993</w:t>
            </w:r>
          </w:p>
        </w:tc>
        <w:tc>
          <w:tcPr>
            <w:tcW w:type="dxa" w:w="1666"/>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264.7726</w:t>
            </w:r>
          </w:p>
        </w:tc>
        <w:tc>
          <w:tcPr>
            <w:tcW w:type="dxa" w:w="1666"/>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3</w:t>
            </w:r>
          </w:p>
        </w:tc>
      </w:tr>
      <w:tr>
        <w:tc>
          <w:tcPr>
            <w:tcW w:type="dxa" w:w="1666"/>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maximum</w:t>
            </w:r>
          </w:p>
        </w:tc>
        <w:tc>
          <w:tcPr>
            <w:tcW w:type="dxa" w:w="1666"/>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2027</w:t>
            </w:r>
          </w:p>
        </w:tc>
        <w:tc>
          <w:tcPr>
            <w:tcW w:type="dxa" w:w="1666"/>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63.0967</w:t>
            </w:r>
          </w:p>
        </w:tc>
        <w:tc>
          <w:tcPr>
            <w:tcW w:type="dxa" w:w="1666"/>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-211.7783</w:t>
            </w:r>
          </w:p>
        </w:tc>
        <w:tc>
          <w:tcPr>
            <w:tcW w:type="dxa" w:w="1666"/>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337.9717</w:t>
            </w:r>
          </w:p>
        </w:tc>
        <w:tc>
          <w:tcPr>
            <w:tcW w:type="dxa" w:w="1666"/>
            <w:shd w:fill="F3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40" w:after="40"/>
              <w:jc w:val="left"/>
            </w:pPr>
            <w:r>
              <w:rPr>
                <w:rFonts w:ascii="Microsoft YaHei" w:hAnsi="Microsoft YaHei" w:eastAsia="Microsoft YaHei"/>
                <w:sz w:val="17"/>
              </w:rPr>
              <w:t>3</w:t>
            </w:r>
          </w:p>
        </w:tc>
      </w:tr>
    </w:tbl>
    <w:p>
      <w:pPr>
        <w:spacing w:after="40"/>
      </w:pPr>
    </w:p>
    <w:p>
      <w:pPr>
        <w:spacing w:after="120" w:line="276" w:lineRule="auto"/>
      </w:pPr>
      <w:r>
        <w:rPr>
          <w:rFonts w:ascii="Microsoft YaHei" w:hAnsi="Microsoft YaHei" w:eastAsia="Microsoft YaHei"/>
          <w:sz w:val="21"/>
        </w:rPr>
        <w:t>年度有效点较少且集中在近年，预测带可能很宽；这是一条观测锚定的情景带，不是精确前沿预测。</w:t>
      </w:r>
    </w:p>
    <w:p>
      <w:pPr>
        <w:jc w:val="center"/>
      </w:pPr>
      <w:r>
        <w:drawing>
          <wp:inline xmlns:a="http://schemas.openxmlformats.org/drawingml/2006/main" xmlns:pic="http://schemas.openxmlformats.org/drawingml/2006/picture">
            <wp:extent cx="5943600" cy="3676867"/>
            <wp:docPr id="5" name="Picture 5"/>
            <wp:cNvGraphicFramePr>
              <a:graphicFrameLocks noChangeAspect="1"/>
            </wp:cNvGraphicFramePr>
            <a:graphic>
              <a:graphicData uri="http://schemas.openxmlformats.org/drawingml/2006/picture">
                <pic:pic>
                  <pic:nvPicPr>
                    <pic:cNvPr id="0" name="fig_q4_c3_empirical_envelope.png"/>
                    <pic:cNvPicPr/>
                  </pic:nvPicPr>
                  <pic:blipFill>
                    <a:blip r:embed="rId13"/>
                    <a:stretch>
                      <a:fillRect/>
                    </a:stretch>
                  </pic:blipFill>
                  <pic:spPr>
                    <a:xfrm>
                      <a:off x="0" y="0"/>
                      <a:ext cx="5943600" cy="3676867"/>
                    </a:xfrm>
                    <a:prstGeom prst="rect"/>
                  </pic:spPr>
                </pic:pic>
              </a:graphicData>
            </a:graphic>
          </wp:inline>
        </w:drawing>
      </w:r>
    </w:p>
    <w:p>
      <w:pPr>
        <w:spacing w:after="160"/>
        <w:jc w:val="center"/>
      </w:pPr>
      <w:r>
        <w:rPr>
          <w:i/>
          <w:sz w:val="18"/>
        </w:rPr>
        <w:t>C3 经验包络</w:t>
      </w:r>
    </w:p>
    <w:p>
      <w:pPr>
        <w:pStyle w:val="Heading1"/>
        <w:spacing w:after="120" w:line="276" w:lineRule="auto"/>
      </w:pPr>
      <w:r>
        <w:rPr>
          <w:rFonts w:ascii="Microsoft YaHei" w:hAnsi="Microsoft YaHei" w:eastAsia="Microsoft YaHei"/>
          <w:sz w:val="21"/>
        </w:rPr>
        <w:t>6 数据覆盖与限制</w:t>
      </w:r>
    </w:p>
    <w:p>
      <w:pPr>
        <w:jc w:val="center"/>
      </w:pPr>
      <w:r>
        <w:drawing>
          <wp:inline xmlns:a="http://schemas.openxmlformats.org/drawingml/2006/main" xmlns:pic="http://schemas.openxmlformats.org/drawingml/2006/picture">
            <wp:extent cx="5943600" cy="4208975"/>
            <wp:docPr id="6" name="Picture 6"/>
            <wp:cNvGraphicFramePr>
              <a:graphicFrameLocks noChangeAspect="1"/>
            </wp:cNvGraphicFramePr>
            <a:graphic>
              <a:graphicData uri="http://schemas.openxmlformats.org/drawingml/2006/picture">
                <pic:pic>
                  <pic:nvPicPr>
                    <pic:cNvPr id="0" name="fig_q4_data_coverage.png"/>
                    <pic:cNvPicPr/>
                  </pic:nvPicPr>
                  <pic:blipFill>
                    <a:blip r:embed="rId14"/>
                    <a:stretch>
                      <a:fillRect/>
                    </a:stretch>
                  </pic:blipFill>
                  <pic:spPr>
                    <a:xfrm>
                      <a:off x="0" y="0"/>
                      <a:ext cx="5943600" cy="4208975"/>
                    </a:xfrm>
                    <a:prstGeom prst="rect"/>
                  </pic:spPr>
                </pic:pic>
              </a:graphicData>
            </a:graphic>
          </wp:inline>
        </w:drawing>
      </w:r>
    </w:p>
    <w:p>
      <w:pPr>
        <w:spacing w:after="160"/>
        <w:jc w:val="center"/>
      </w:pPr>
      <w:r>
        <w:rPr>
          <w:i/>
          <w:sz w:val="18"/>
        </w:rPr>
        <w:t>C4 计算覆盖</w:t>
      </w:r>
    </w:p>
    <w:p>
      <w:pPr>
        <w:spacing w:after="120" w:line="276" w:lineRule="auto"/>
      </w:pPr>
      <w:r>
        <w:rPr>
          <w:rFonts w:ascii="Microsoft YaHei" w:hAnsi="Microsoft YaHei" w:eastAsia="Microsoft YaHei"/>
          <w:sz w:val="21"/>
        </w:rPr>
        <w:t>Q1 的 17 域质量向量中 14 个域为中位数插补，Q̄ 的方差损失为 91.4%，因此 Q4 不把它扩写成已识别的独立技术进步来源。Q3 的对外入口明确为 Pythia classic + B6–B8 quality 混合情景，且与 Q4 一样采用 expanded 边界；该口径不是单一数据集联合拟合。C6 High 组只有 7/75 个点且规模只到 12B，未来前沿因此超出桥接数据覆盖。Q2 的无截距 B9/B10 估算外推集包含 128 个估计点，100.0% 的残差为正，平均低估 0.3109 nats（95% bootstrap 区间 0.2992–0.3236；R²=0.3561，Spearman=0.8801）。该区间来自估算表自身残差重抽样，不是独立实验置信区间，也不作为已验证的物理校正量。桥接预测只作情景分析，不能把较高的排序相关直接解释为绝对 Loss 校准准确。</w:t>
      </w:r>
    </w:p>
    <w:p>
      <w:pPr>
        <w:pStyle w:val="Heading1"/>
        <w:spacing w:after="120" w:line="276" w:lineRule="auto"/>
      </w:pPr>
      <w:r>
        <w:rPr>
          <w:rFonts w:ascii="Microsoft YaHei" w:hAnsi="Microsoft YaHei" w:eastAsia="Microsoft YaHei"/>
          <w:sz w:val="21"/>
        </w:rPr>
        <w:t>7 结论</w:t>
      </w:r>
    </w:p>
    <w:p>
      <w:pPr>
        <w:spacing w:after="120" w:line="276" w:lineRule="auto"/>
      </w:pPr>
      <w:r>
        <w:rPr>
          <w:rFonts w:ascii="Microsoft YaHei" w:hAnsi="Microsoft YaHei" w:eastAsia="Microsoft YaHei"/>
          <w:sz w:val="21"/>
        </w:rPr>
        <w:t>在当前资料和口径下，规模扩张与时间相关变化均与 pretrained 榜单能力相关，但模型 R²=0.3594，仍有 64.1% 变异未解释。Shapley 方差分解与标准差比均指向规模项占主导，但时间项不能作因果解释。C8 已完成 1,954 份有效 JSON 的逐任务汇总；C3 显示任务趋势存在差异，但时间轴主要覆盖 2024–2025。C4 纳入了训练算力、数据量、权重开放、前沿标记、发布日期与访问性字段。</w:t>
      </w:r>
    </w:p>
    <w:p>
      <w:pPr>
        <w:spacing w:after="120" w:line="276" w:lineRule="auto"/>
      </w:pPr>
      <w:r>
        <w:rPr>
          <w:rFonts w:ascii="Microsoft YaHei" w:hAnsi="Microsoft YaHei" w:eastAsia="Microsoft YaHei"/>
          <w:sz w:val="21"/>
        </w:rPr>
        <w:t>必须强调，Q3 前沿曲线高预算端由可行域角点决定（N=5000B、D=4000B 双上界触顶，Loss*=1.3566），该 Loss 低于 C6 High 桥接支持下界 2.0933，且六个未来情景均落在该支持域外。因此约 6.48 分应理解为 Pythia 基座桥接下的量级参照/保守下界，而非精确的未来能力前沿点预测。需继续收集同一模型、同一验证集、同一 benchmark 的纵向配对数据，并改善 Q3 高预算支持域后，才能缩窄预测范围。</w:t>
      </w:r>
    </w:p>
    <w:p>
      <w:pPr>
        <w:pStyle w:val="Heading1"/>
        <w:spacing w:after="120" w:line="276" w:lineRule="auto"/>
      </w:pPr>
      <w:r>
        <w:rPr>
          <w:rFonts w:ascii="Microsoft YaHei" w:hAnsi="Microsoft YaHei" w:eastAsia="Microsoft YaHei"/>
          <w:sz w:val="21"/>
        </w:rPr>
        <w:t>附录 结果文件</w:t>
      </w:r>
    </w:p>
    <w:p>
      <w:pPr>
        <w:spacing w:after="120" w:line="276" w:lineRule="auto"/>
      </w:pPr>
      <w:r>
        <w:rPr>
          <w:rFonts w:ascii="Microsoft YaHei" w:hAnsi="Microsoft YaHei" w:eastAsia="Microsoft YaHei"/>
          <w:sz w:val="21"/>
        </w:rPr>
        <w:t>q4_data_quality_audit.csv、q4_task_scores.csv、q4_task_heterogeneity.csv、q4_c4_field_profile.csv、q4_decomposition_bootstrap.csv、q4_c3_envelope_forecast.csv、桥接与外推 CSV，以及本报告中的图构成可复核交付。</w:t>
      </w:r>
    </w:p>
    <w:sectPr w:rsidR="00FC693F" w:rsidRPr="0006063C" w:rsidSect="00034616">
      <w:footerReference w:type="default" r:id="rId15"/>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问题四  模型效率前沿与规模技术进步分解</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Bdr>
        <w:bottom w:val="nil"/>
      </w:pBdr>
    </w:pPr>
    <w:rPr>
      <w:rFonts w:asciiTheme="majorHAnsi" w:eastAsiaTheme="majorEastAsia" w:hAnsiTheme="majorHAnsi" w:cstheme="majorBidi" w:ascii="Microsoft YaHei" w:hAnsi="Microsoft YaHei" w:eastAsia="Microsoft YaHe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问题四 模型效率前沿与规模技术进步分解</dc:title>
  <dc:subject>数学建模 F 题第四问</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