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9585" w14:textId="77777777" w:rsidR="00A62EBA" w:rsidRDefault="00A62EBA" w:rsidP="00A62EBA">
      <w:pPr>
        <w:widowControl w:val="0"/>
        <w:autoSpaceDE w:val="0"/>
        <w:autoSpaceDN w:val="0"/>
        <w:adjustRightInd w:val="0"/>
        <w:spacing w:line="240" w:lineRule="auto"/>
        <w:ind w:firstLineChars="0" w:firstLine="0"/>
        <w:jc w:val="center"/>
        <w:rPr>
          <w:rFonts w:ascii="黑体" w:eastAsia="黑体" w:cs="黑体"/>
          <w:color w:val="000000"/>
          <w:kern w:val="0"/>
          <w:sz w:val="44"/>
          <w:szCs w:val="44"/>
        </w:rPr>
      </w:pPr>
      <w:r>
        <w:rPr>
          <w:rFonts w:ascii="黑体" w:eastAsia="黑体" w:cs="黑体" w:hint="eastAsia"/>
          <w:color w:val="000000"/>
          <w:kern w:val="0"/>
          <w:sz w:val="44"/>
          <w:szCs w:val="44"/>
        </w:rPr>
        <w:t>学习电磁规律，增长思维能力</w:t>
      </w:r>
    </w:p>
    <w:p w14:paraId="5A43DFF0" w14:textId="77777777" w:rsidR="00A62EBA" w:rsidRPr="00A62EBA" w:rsidRDefault="00A62EBA" w:rsidP="00A62EBA">
      <w:pPr>
        <w:widowControl w:val="0"/>
        <w:autoSpaceDE w:val="0"/>
        <w:autoSpaceDN w:val="0"/>
        <w:adjustRightInd w:val="0"/>
        <w:spacing w:line="240" w:lineRule="auto"/>
        <w:ind w:firstLineChars="0" w:firstLine="0"/>
        <w:jc w:val="center"/>
        <w:rPr>
          <w:rFonts w:ascii="LMRoman12-Regular-Identity-H" w:eastAsia="LMRoman12-Regular-Identity-H" w:cs="LMRoman12-Regular-Identity-H"/>
          <w:color w:val="000000"/>
          <w:kern w:val="0"/>
          <w:sz w:val="20"/>
          <w:szCs w:val="20"/>
        </w:rPr>
      </w:pPr>
      <w:r w:rsidRPr="00A62EBA">
        <w:rPr>
          <w:rFonts w:ascii="宋体" w:cs="宋体" w:hint="eastAsia"/>
          <w:color w:val="000000"/>
          <w:kern w:val="0"/>
          <w:sz w:val="20"/>
          <w:szCs w:val="20"/>
        </w:rPr>
        <w:t>刘正浩</w:t>
      </w:r>
      <w:r w:rsidRPr="00A62EBA">
        <w:rPr>
          <w:rFonts w:ascii="LMRoman12-Regular-Identity-H" w:eastAsia="LMRoman12-Regular-Identity-H" w:cs="LMRoman12-Regular-Identity-H"/>
          <w:color w:val="000000"/>
          <w:kern w:val="0"/>
          <w:sz w:val="20"/>
          <w:szCs w:val="20"/>
        </w:rPr>
        <w:t>2019270103005</w:t>
      </w:r>
    </w:p>
    <w:p w14:paraId="78F2E51B" w14:textId="77777777" w:rsidR="00A62EBA" w:rsidRPr="00A62EBA" w:rsidRDefault="00A62EBA" w:rsidP="00A62EBA">
      <w:pPr>
        <w:widowControl w:val="0"/>
        <w:autoSpaceDE w:val="0"/>
        <w:autoSpaceDN w:val="0"/>
        <w:adjustRightInd w:val="0"/>
        <w:spacing w:line="240" w:lineRule="auto"/>
        <w:ind w:firstLineChars="0" w:firstLine="0"/>
        <w:jc w:val="center"/>
        <w:rPr>
          <w:rFonts w:ascii="宋体" w:cs="宋体"/>
          <w:color w:val="000000"/>
          <w:kern w:val="0"/>
          <w:sz w:val="20"/>
          <w:szCs w:val="20"/>
        </w:rPr>
      </w:pPr>
      <w:r w:rsidRPr="00A62EBA">
        <w:rPr>
          <w:rFonts w:ascii="LMRoman12-Regular-Identity-H" w:eastAsia="LMRoman12-Regular-Identity-H" w:cs="LMRoman12-Regular-Identity-H"/>
          <w:color w:val="000000"/>
          <w:kern w:val="0"/>
          <w:sz w:val="20"/>
          <w:szCs w:val="20"/>
        </w:rPr>
        <w:t xml:space="preserve">2021 </w:t>
      </w:r>
      <w:r w:rsidRPr="00A62EBA">
        <w:rPr>
          <w:rFonts w:ascii="宋体" w:cs="宋体" w:hint="eastAsia"/>
          <w:color w:val="000000"/>
          <w:kern w:val="0"/>
          <w:sz w:val="20"/>
          <w:szCs w:val="20"/>
        </w:rPr>
        <w:t>年</w:t>
      </w:r>
      <w:r w:rsidRPr="00A62EBA">
        <w:rPr>
          <w:rFonts w:ascii="LMRoman12-Regular-Identity-H" w:eastAsia="LMRoman12-Regular-Identity-H" w:cs="LMRoman12-Regular-Identity-H"/>
          <w:color w:val="000000"/>
          <w:kern w:val="0"/>
          <w:sz w:val="20"/>
          <w:szCs w:val="20"/>
        </w:rPr>
        <w:t xml:space="preserve">6 </w:t>
      </w:r>
      <w:r w:rsidRPr="00A62EBA">
        <w:rPr>
          <w:rFonts w:ascii="宋体" w:cs="宋体" w:hint="eastAsia"/>
          <w:color w:val="000000"/>
          <w:kern w:val="0"/>
          <w:sz w:val="20"/>
          <w:szCs w:val="20"/>
        </w:rPr>
        <w:t>月</w:t>
      </w:r>
      <w:r w:rsidRPr="00A62EBA">
        <w:rPr>
          <w:rFonts w:ascii="LMRoman12-Regular-Identity-H" w:eastAsia="LMRoman12-Regular-Identity-H" w:cs="LMRoman12-Regular-Identity-H"/>
          <w:color w:val="000000"/>
          <w:kern w:val="0"/>
          <w:sz w:val="20"/>
          <w:szCs w:val="20"/>
        </w:rPr>
        <w:t xml:space="preserve">19 </w:t>
      </w:r>
      <w:r w:rsidRPr="00A62EBA">
        <w:rPr>
          <w:rFonts w:ascii="宋体" w:cs="宋体" w:hint="eastAsia"/>
          <w:color w:val="000000"/>
          <w:kern w:val="0"/>
          <w:sz w:val="20"/>
          <w:szCs w:val="20"/>
        </w:rPr>
        <w:t>日</w:t>
      </w:r>
    </w:p>
    <w:p w14:paraId="2F321EC2" w14:textId="77777777" w:rsidR="00A62EBA" w:rsidRDefault="00A62EBA" w:rsidP="00A62EBA">
      <w:pPr>
        <w:widowControl w:val="0"/>
        <w:autoSpaceDE w:val="0"/>
        <w:autoSpaceDN w:val="0"/>
        <w:adjustRightInd w:val="0"/>
        <w:spacing w:line="240" w:lineRule="auto"/>
        <w:ind w:firstLineChars="0" w:firstLine="0"/>
        <w:rPr>
          <w:rFonts w:ascii="黑体" w:eastAsia="黑体" w:cs="黑体"/>
          <w:color w:val="000000"/>
          <w:kern w:val="0"/>
          <w:sz w:val="30"/>
          <w:szCs w:val="30"/>
        </w:rPr>
      </w:pPr>
      <w:r>
        <w:rPr>
          <w:rFonts w:ascii="LMRoman12-Bold-Identity-H" w:eastAsia="LMRoman12-Bold-Identity-H" w:cs="LMRoman12-Bold-Identity-H"/>
          <w:b/>
          <w:bCs/>
          <w:color w:val="000000"/>
          <w:kern w:val="0"/>
          <w:sz w:val="30"/>
          <w:szCs w:val="30"/>
        </w:rPr>
        <w:t xml:space="preserve">1 </w:t>
      </w:r>
      <w:r>
        <w:rPr>
          <w:rFonts w:ascii="黑体" w:eastAsia="黑体" w:cs="黑体" w:hint="eastAsia"/>
          <w:color w:val="000000"/>
          <w:kern w:val="0"/>
          <w:sz w:val="30"/>
          <w:szCs w:val="30"/>
        </w:rPr>
        <w:t>课程对我的启发</w:t>
      </w:r>
    </w:p>
    <w:p w14:paraId="34896208" w14:textId="77777777"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学习电磁场与波这门课程之前，我对电磁场的认识是片面的、不充分的。由于高中学习过静电场与静磁场的简单分析，而没有学过时变场的相关内容，导致我对“电磁场”这个词的印象仅仅局限于时变场相关的知识，没有考虑到静态场与恒定场在电磁场理论中的地位。</w:t>
      </w:r>
    </w:p>
    <w:p w14:paraId="738AC0AC" w14:textId="640BD223"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学习了电磁场与波课程之后，我对电磁场的了解更加深入了。虽然大学物理课程中也有电磁场的相关内容，但更多的还是对高中物理的延伸和补充，也就是更加详细地讲解了有关静态场的知识；至于时变场的内容则并未过多的涉及，只粗略地介绍了麦克斯韦方程组和有关的一些内容。</w:t>
      </w:r>
    </w:p>
    <w:p w14:paraId="62F20356" w14:textId="04A5AFC8"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通过学习电磁场与波这门课程，我能将一些生活中常见的电磁现象与电磁场的具体知识连接起来，例如开关电源产生的高频杂波对其附近的电路的影响，以及不同封装的电容在容值方面的差异，等等。</w:t>
      </w:r>
    </w:p>
    <w:p w14:paraId="482EFD85" w14:textId="59DF3BF3"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课程中对于电磁场理论的发展过程的讲解很详细，例如，老师详细讲解了麦克斯韦方程组的发展过程，这样的讲解使我对电磁场理论的发展过程更加了解，这也有助于我对电磁场这门课的学习与理解。</w:t>
      </w:r>
    </w:p>
    <w:p w14:paraId="4DC0AEAF" w14:textId="77777777" w:rsidR="00A62EBA" w:rsidRDefault="00A62EBA" w:rsidP="00A62EBA">
      <w:pPr>
        <w:widowControl w:val="0"/>
        <w:autoSpaceDE w:val="0"/>
        <w:autoSpaceDN w:val="0"/>
        <w:adjustRightInd w:val="0"/>
        <w:spacing w:line="240" w:lineRule="auto"/>
        <w:ind w:firstLineChars="0" w:firstLine="0"/>
        <w:rPr>
          <w:rFonts w:ascii="黑体" w:eastAsia="黑体" w:cs="黑体"/>
          <w:color w:val="000000"/>
          <w:kern w:val="0"/>
          <w:sz w:val="30"/>
          <w:szCs w:val="30"/>
        </w:rPr>
      </w:pPr>
      <w:r>
        <w:rPr>
          <w:rFonts w:ascii="LMRoman12-Bold-Identity-H" w:eastAsia="LMRoman12-Bold-Identity-H" w:cs="LMRoman12-Bold-Identity-H"/>
          <w:b/>
          <w:bCs/>
          <w:color w:val="000000"/>
          <w:kern w:val="0"/>
          <w:sz w:val="30"/>
          <w:szCs w:val="30"/>
        </w:rPr>
        <w:t xml:space="preserve">2 </w:t>
      </w:r>
      <w:r>
        <w:rPr>
          <w:rFonts w:ascii="黑体" w:eastAsia="黑体" w:cs="黑体" w:hint="eastAsia"/>
          <w:color w:val="000000"/>
          <w:kern w:val="0"/>
          <w:sz w:val="30"/>
          <w:szCs w:val="30"/>
        </w:rPr>
        <w:t>对“立足根本，化繁为简”科学研究方法的认识和体会</w:t>
      </w:r>
    </w:p>
    <w:p w14:paraId="62AE86E3" w14:textId="1582942A"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在课程中充满了“立足根本，化繁为简”的科学研究方法。这其中给我印象最深的是求解静电场的相关部分。</w:t>
      </w:r>
    </w:p>
    <w:p w14:paraId="51C73985" w14:textId="06315ABF"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高中甚至大学物理的学习过程中，对静电场的求解始终是一个重点、难点。高中物理基本上只涉及了均匀电场、均匀磁场的分析以及简单电磁感应现象的分析。这些分析基本上用代数方程就可以解决。大学物理相比高中物理，难度上了一个台阶。大学物理主要分析有源场的场源关系以及一些简单的电磁波分析，其中一部分问题可以用代数方程解决，另一部分需要用微积分知识进行求解，但涉及到的相关公式简单，因此分析过程也比较简单。而电磁场课程中基本上涉及了所有类型电磁场的规律、分析，几乎所有的问题都依赖微积分知识求解。不过这其中有很大一部分内容可以进行简化。</w:t>
      </w:r>
    </w:p>
    <w:p w14:paraId="576C18B4" w14:textId="2BCF12FC"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对一个场进行分析时，首先要分辨这个问题是一个一维问题还是多维问题。对于一维问题，基本上我们都可以通过建立特殊的坐标系来建立更简单的方程进行求解，这个方程可以是代数方程，可以是微积分方程，然后将微积分方程通过一定的公式简化为代数方程进行求解。对于高维、复杂问题，则可以通过镜像法、分离变量法、有限差分法等方法进行简化，将这些高维、复杂的问题转化为一维、简单的问题，之后就可以应用求解一维问题的方法进行求解。这就是“化繁为简”的一个典型例子。</w:t>
      </w:r>
    </w:p>
    <w:p w14:paraId="6C40650E" w14:textId="3116B062"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此外，对于同一个问题有许多不同的求解方法，这也是电磁场这门学科的魅力所在。举个例子，对于静电场的求解，利用同样的条件，既可以用叠加原理进行求解，还可以用高斯定理进行求解，此外还有电位泊松方程、亥姆霍兹定理等等不同的方法，都可以用来求解同一个问题。</w:t>
      </w:r>
    </w:p>
    <w:p w14:paraId="7D71B84D" w14:textId="77777777" w:rsidR="00A62EBA" w:rsidRDefault="00A62EBA" w:rsidP="00A62EBA">
      <w:pPr>
        <w:widowControl w:val="0"/>
        <w:autoSpaceDE w:val="0"/>
        <w:autoSpaceDN w:val="0"/>
        <w:adjustRightInd w:val="0"/>
        <w:spacing w:line="240" w:lineRule="auto"/>
        <w:ind w:firstLineChars="0" w:firstLine="0"/>
        <w:rPr>
          <w:rFonts w:ascii="黑体" w:eastAsia="黑体" w:cs="黑体"/>
          <w:color w:val="000000"/>
          <w:kern w:val="0"/>
          <w:sz w:val="30"/>
          <w:szCs w:val="30"/>
        </w:rPr>
      </w:pPr>
      <w:r>
        <w:rPr>
          <w:rFonts w:ascii="LMRoman12-Bold-Identity-H" w:eastAsia="LMRoman12-Bold-Identity-H" w:cs="LMRoman12-Bold-Identity-H"/>
          <w:b/>
          <w:bCs/>
          <w:color w:val="000000"/>
          <w:kern w:val="0"/>
          <w:sz w:val="30"/>
          <w:szCs w:val="30"/>
        </w:rPr>
        <w:lastRenderedPageBreak/>
        <w:t xml:space="preserve">3 </w:t>
      </w:r>
      <w:r>
        <w:rPr>
          <w:rFonts w:ascii="黑体" w:eastAsia="黑体" w:cs="黑体" w:hint="eastAsia"/>
          <w:color w:val="000000"/>
          <w:kern w:val="0"/>
          <w:sz w:val="30"/>
          <w:szCs w:val="30"/>
        </w:rPr>
        <w:t>第四版教材与讲义的差异性感受</w:t>
      </w:r>
    </w:p>
    <w:p w14:paraId="392C1825" w14:textId="237449E6"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我看来，第四版教材与讲义的最大差异在于，教材上对于一些基本概念并没有详细说明，而是隐藏在正文中，这就导致在自己看书时可能会忽略一些概念。而在讲义中则明确地标出了一些基本概念和重要公式，方便进行自习和查询。</w:t>
      </w:r>
    </w:p>
    <w:p w14:paraId="0E108192" w14:textId="567D9936"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此外，教材对某些知识点的讲解过于简单，对另一些知识点的讲解又过于详细。这就导致我在看书时有些迷茫：一方面有一些问题无法从书上获得足够的信息，只能去网上搜索相关资料；另一方面，有一些简单的问题书上却花了较大的篇幅进行介绍，有些多余。而讲义则对所有的知识点都有涉及，只不过在知识点的详细度上来说讲义与教材还有一定差距，有一些计算上的问题在讲义中没有体现，导致在自习中存在一些困难。</w:t>
      </w:r>
    </w:p>
    <w:p w14:paraId="5B33EDDE" w14:textId="55947407"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例题方面，我在看教材时习惯于通过分析例题来对某一个知识点进行更深入的理解，而讲义中例题相较于教材中的例题更少，所以我在自习时经常会陷入这样一种状态：在看知识点讲解时是通过看讲义来解决，在巩固知识点时通常使用教材上的例题，而教材与讲义的知识结构又不太一样，所以会在教材和讲义之间翻来翻去，也会占用一些时间。</w:t>
      </w:r>
    </w:p>
    <w:p w14:paraId="0BB241DF" w14:textId="598A203A"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此外我还有一个小建议，就是教材与讲义在变量的含义上并没有进行详细说明。而在计算中需要用到许多十分相近的变量，例如在球坐标系中的</w:t>
      </w:r>
      <w:r>
        <w:rPr>
          <w:rFonts w:ascii="CMMI10" w:eastAsia="CMMI10" w:cs="CMMI10" w:hint="eastAsia"/>
          <w:i/>
          <w:iCs/>
          <w:color w:val="000000"/>
          <w:kern w:val="0"/>
        </w:rPr>
        <w:t>ρ</w:t>
      </w:r>
      <w:r>
        <w:rPr>
          <w:rFonts w:ascii="CMMI10" w:eastAsia="CMMI10" w:cs="CMMI10"/>
          <w:i/>
          <w:iCs/>
          <w:color w:val="000000"/>
          <w:kern w:val="0"/>
        </w:rPr>
        <w:t xml:space="preserve"> </w:t>
      </w:r>
      <w:r>
        <w:rPr>
          <w:rFonts w:ascii="宋体" w:cs="宋体" w:hint="eastAsia"/>
          <w:color w:val="000000"/>
          <w:kern w:val="0"/>
        </w:rPr>
        <w:t>和表示体密度的</w:t>
      </w:r>
      <w:r>
        <w:rPr>
          <w:rFonts w:ascii="CMMI10" w:eastAsia="CMMI10" w:cs="CMMI10" w:hint="eastAsia"/>
          <w:i/>
          <w:iCs/>
          <w:color w:val="000000"/>
          <w:kern w:val="0"/>
        </w:rPr>
        <w:t>ρ</w:t>
      </w:r>
      <w:r>
        <w:rPr>
          <w:rFonts w:ascii="宋体" w:cs="宋体" w:hint="eastAsia"/>
          <w:color w:val="000000"/>
          <w:kern w:val="0"/>
        </w:rPr>
        <w:t>，当它们出现在同一个公式中时，就需要猜它们各自表达什么物理量，这也会耗费一些时间。</w:t>
      </w:r>
    </w:p>
    <w:p w14:paraId="5095AF20" w14:textId="77777777" w:rsidR="00A62EBA" w:rsidRDefault="00A62EBA" w:rsidP="00A62EBA">
      <w:pPr>
        <w:widowControl w:val="0"/>
        <w:autoSpaceDE w:val="0"/>
        <w:autoSpaceDN w:val="0"/>
        <w:adjustRightInd w:val="0"/>
        <w:spacing w:line="240" w:lineRule="auto"/>
        <w:ind w:firstLineChars="0" w:firstLine="0"/>
        <w:rPr>
          <w:rFonts w:ascii="黑体" w:eastAsia="黑体" w:cs="黑体"/>
          <w:color w:val="000000"/>
          <w:kern w:val="0"/>
          <w:sz w:val="30"/>
          <w:szCs w:val="30"/>
        </w:rPr>
      </w:pPr>
      <w:r>
        <w:rPr>
          <w:rFonts w:ascii="LMRoman12-Bold-Identity-H" w:eastAsia="LMRoman12-Bold-Identity-H" w:cs="LMRoman12-Bold-Identity-H"/>
          <w:b/>
          <w:bCs/>
          <w:color w:val="000000"/>
          <w:kern w:val="0"/>
          <w:sz w:val="30"/>
          <w:szCs w:val="30"/>
        </w:rPr>
        <w:t xml:space="preserve">4 </w:t>
      </w:r>
      <w:r>
        <w:rPr>
          <w:rFonts w:ascii="黑体" w:eastAsia="黑体" w:cs="黑体" w:hint="eastAsia"/>
          <w:color w:val="000000"/>
          <w:kern w:val="0"/>
          <w:sz w:val="30"/>
          <w:szCs w:val="30"/>
        </w:rPr>
        <w:t>课程教学的建议与评价</w:t>
      </w:r>
    </w:p>
    <w:p w14:paraId="276ADB96" w14:textId="4ADCE677" w:rsidR="00A62EBA" w:rsidRDefault="00A62EBA" w:rsidP="00A62EBA">
      <w:pPr>
        <w:widowControl w:val="0"/>
        <w:autoSpaceDE w:val="0"/>
        <w:autoSpaceDN w:val="0"/>
        <w:adjustRightInd w:val="0"/>
        <w:spacing w:line="240" w:lineRule="auto"/>
        <w:ind w:firstLineChars="0" w:firstLine="420"/>
        <w:rPr>
          <w:rFonts w:ascii="宋体" w:cs="宋体"/>
          <w:color w:val="000000"/>
          <w:kern w:val="0"/>
        </w:rPr>
      </w:pPr>
      <w:r>
        <w:rPr>
          <w:rFonts w:ascii="宋体" w:cs="宋体" w:hint="eastAsia"/>
          <w:color w:val="000000"/>
          <w:kern w:val="0"/>
        </w:rPr>
        <w:t>在上课时潘老师更多地讲解了电磁场与波这门学科的基本思想和核心内容、核心方法，这对于我们掌握电磁场的最基本的概念有很大帮助。但是由于这门课程考试的一部分难点是在具体问题的分析与计算上，所以我希望课程中能穿插几节习题课，让我们对具体的解题方法也有一定的了解。</w:t>
      </w:r>
    </w:p>
    <w:p w14:paraId="1CDF7D4B" w14:textId="68686FFD" w:rsidR="00982C86" w:rsidRPr="00A62EBA" w:rsidRDefault="00A62EBA" w:rsidP="00A62EBA">
      <w:pPr>
        <w:widowControl w:val="0"/>
        <w:autoSpaceDE w:val="0"/>
        <w:autoSpaceDN w:val="0"/>
        <w:adjustRightInd w:val="0"/>
        <w:spacing w:line="240" w:lineRule="auto"/>
        <w:ind w:firstLineChars="0" w:firstLine="420"/>
        <w:rPr>
          <w:rFonts w:ascii="宋体" w:cs="宋体" w:hint="eastAsia"/>
          <w:color w:val="000000"/>
          <w:kern w:val="0"/>
        </w:rPr>
      </w:pPr>
      <w:r>
        <w:rPr>
          <w:rFonts w:ascii="宋体" w:cs="宋体" w:hint="eastAsia"/>
          <w:color w:val="000000"/>
          <w:kern w:val="0"/>
        </w:rPr>
        <w:t>在课程中老师主要对电场进行了分析，而对磁场，尤其是磁矢位的分析有些偏少，在看书以及做课后习题的课程中我依然对磁矢位不够熟悉，希望讲义中可以多一些对磁场和磁矢位的分析。此外，我感觉时变场有些抽象，还是不太明白电场和磁场是如何耦合在一起的，如果能有一些易懂的图片或者文字描述可能更能帮助我理解时变场究竟长什么样子。</w:t>
      </w:r>
      <w:r>
        <w:rPr>
          <w:rFonts w:ascii="宋体" w:cs="宋体" w:hint="eastAsia"/>
          <w:color w:val="000000"/>
          <w:kern w:val="0"/>
        </w:rPr>
        <w:t>另外，我在电磁场学习之前曾经听到过这样一个</w:t>
      </w:r>
      <w:r w:rsidR="0007646C">
        <w:rPr>
          <w:rFonts w:ascii="宋体" w:cs="宋体" w:hint="eastAsia"/>
          <w:color w:val="000000"/>
          <w:kern w:val="0"/>
        </w:rPr>
        <w:t>说法“电场与磁场也具有能量和质量”，但在电磁场与波课程学习结束之后，我并没有对</w:t>
      </w:r>
      <w:r w:rsidR="00C60CDC">
        <w:rPr>
          <w:rFonts w:ascii="宋体" w:cs="宋体" w:hint="eastAsia"/>
          <w:color w:val="000000"/>
          <w:kern w:val="0"/>
        </w:rPr>
        <w:t>电场、磁场有质量有更深的理解。</w:t>
      </w:r>
    </w:p>
    <w:sectPr w:rsidR="00982C86" w:rsidRPr="00A62EB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425C" w14:textId="77777777" w:rsidR="00265387" w:rsidRDefault="00265387" w:rsidP="00A62EBA">
      <w:pPr>
        <w:spacing w:line="240" w:lineRule="auto"/>
        <w:ind w:firstLine="420"/>
      </w:pPr>
      <w:r>
        <w:separator/>
      </w:r>
    </w:p>
  </w:endnote>
  <w:endnote w:type="continuationSeparator" w:id="0">
    <w:p w14:paraId="5F96083E" w14:textId="77777777" w:rsidR="00265387" w:rsidRDefault="00265387" w:rsidP="00A62EB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MRoman12-Regular-Identity-H">
    <w:altName w:val="微软雅黑"/>
    <w:panose1 w:val="00000000000000000000"/>
    <w:charset w:val="86"/>
    <w:family w:val="auto"/>
    <w:notTrueType/>
    <w:pitch w:val="default"/>
    <w:sig w:usb0="00000001" w:usb1="080E0000" w:usb2="00000010" w:usb3="00000000" w:csb0="00040000" w:csb1="00000000"/>
  </w:font>
  <w:font w:name="LMRoman12-Bold-Identity-H">
    <w:altName w:val="微软雅黑"/>
    <w:panose1 w:val="00000000000000000000"/>
    <w:charset w:val="86"/>
    <w:family w:val="auto"/>
    <w:notTrueType/>
    <w:pitch w:val="default"/>
    <w:sig w:usb0="00000001" w:usb1="080E0000" w:usb2="00000010" w:usb3="00000000" w:csb0="00040000" w:csb1="00000000"/>
  </w:font>
  <w:font w:name="CMMI10">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60C9" w14:textId="77777777" w:rsidR="00A62EBA" w:rsidRDefault="00A62E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49ED" w14:textId="77777777" w:rsidR="00A62EBA" w:rsidRDefault="00A62E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1C8F" w14:textId="77777777" w:rsidR="00A62EBA" w:rsidRDefault="00A62E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25B8" w14:textId="77777777" w:rsidR="00265387" w:rsidRDefault="00265387" w:rsidP="00A62EBA">
      <w:pPr>
        <w:spacing w:line="240" w:lineRule="auto"/>
        <w:ind w:firstLine="420"/>
      </w:pPr>
      <w:r>
        <w:separator/>
      </w:r>
    </w:p>
  </w:footnote>
  <w:footnote w:type="continuationSeparator" w:id="0">
    <w:p w14:paraId="40F6EDA7" w14:textId="77777777" w:rsidR="00265387" w:rsidRDefault="00265387" w:rsidP="00A62EB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2F49" w14:textId="77777777" w:rsidR="00A62EBA" w:rsidRDefault="00A62E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CA4D" w14:textId="77777777" w:rsidR="00A62EBA" w:rsidRDefault="00A62E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AD02" w14:textId="77777777" w:rsidR="00A62EBA" w:rsidRDefault="00A62EB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78"/>
    <w:rsid w:val="0007646C"/>
    <w:rsid w:val="00265387"/>
    <w:rsid w:val="002912BA"/>
    <w:rsid w:val="003A10A7"/>
    <w:rsid w:val="00876906"/>
    <w:rsid w:val="00963F69"/>
    <w:rsid w:val="00986AFD"/>
    <w:rsid w:val="00A37398"/>
    <w:rsid w:val="00A62EBA"/>
    <w:rsid w:val="00C60CDC"/>
    <w:rsid w:val="00D5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AC64F"/>
  <w15:chartTrackingRefBased/>
  <w15:docId w15:val="{8EA71F59-A68C-4299-85C5-75F4BC8D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E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62EBA"/>
    <w:rPr>
      <w:sz w:val="18"/>
      <w:szCs w:val="18"/>
    </w:rPr>
  </w:style>
  <w:style w:type="paragraph" w:styleId="a5">
    <w:name w:val="footer"/>
    <w:basedOn w:val="a"/>
    <w:link w:val="a6"/>
    <w:uiPriority w:val="99"/>
    <w:unhideWhenUsed/>
    <w:rsid w:val="00A62EB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62E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1057</Words>
  <Characters>1057</Characters>
  <Application>Microsoft Office Word</Application>
  <DocSecurity>0</DocSecurity>
  <Lines>34</Lines>
  <Paragraphs>21</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4</cp:revision>
  <dcterms:created xsi:type="dcterms:W3CDTF">2021-06-19T15:00:00Z</dcterms:created>
  <dcterms:modified xsi:type="dcterms:W3CDTF">2021-06-19T15:06:00Z</dcterms:modified>
</cp:coreProperties>
</file>