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5A80" w14:textId="4BBDFD36" w:rsidR="00F1345E" w:rsidRDefault="00F1345E">
      <w:pPr>
        <w:rPr>
          <w:lang w:val="en-US"/>
        </w:rPr>
      </w:pPr>
      <w:r>
        <w:rPr>
          <w:lang w:val="en-US"/>
        </w:rPr>
        <w:t>GEM:</w:t>
      </w:r>
    </w:p>
    <w:p w14:paraId="52A7D642" w14:textId="78EC79EC" w:rsidR="00F1345E" w:rsidRPr="00F1345E" w:rsidRDefault="00F1345E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min  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v+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v  s.t.   v≥0</m:t>
              </m:r>
            </m:e>
          </m:func>
        </m:oMath>
      </m:oMathPara>
    </w:p>
    <w:p w14:paraId="230E5569" w14:textId="77777777" w:rsidR="00F1345E" w:rsidRPr="00F1345E" w:rsidRDefault="00F1345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1345E" w14:paraId="269E9938" w14:textId="77777777" w:rsidTr="00825980">
        <w:tc>
          <w:tcPr>
            <w:tcW w:w="3116" w:type="dxa"/>
          </w:tcPr>
          <w:p w14:paraId="26C33415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3117" w:type="dxa"/>
          </w:tcPr>
          <w:p w14:paraId="29B1D755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Shape</w:t>
            </w:r>
          </w:p>
        </w:tc>
      </w:tr>
      <w:tr w:rsidR="00F1345E" w14:paraId="764C01E3" w14:textId="77777777" w:rsidTr="00825980">
        <w:tc>
          <w:tcPr>
            <w:tcW w:w="3116" w:type="dxa"/>
          </w:tcPr>
          <w:p w14:paraId="2D68BBCE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memories (G)</w:t>
            </w:r>
          </w:p>
        </w:tc>
        <w:tc>
          <w:tcPr>
            <w:tcW w:w="3117" w:type="dxa"/>
          </w:tcPr>
          <w:p w14:paraId="25F9AC19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(t-1, p)</w:t>
            </w:r>
          </w:p>
        </w:tc>
      </w:tr>
      <w:tr w:rsidR="00F1345E" w14:paraId="1ECE70B6" w14:textId="77777777" w:rsidTr="00825980">
        <w:tc>
          <w:tcPr>
            <w:tcW w:w="3116" w:type="dxa"/>
          </w:tcPr>
          <w:p w14:paraId="5CF15441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gradient (g)</w:t>
            </w:r>
          </w:p>
        </w:tc>
        <w:tc>
          <w:tcPr>
            <w:tcW w:w="3117" w:type="dxa"/>
          </w:tcPr>
          <w:p w14:paraId="313A25F2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 vector</w:t>
            </w:r>
          </w:p>
        </w:tc>
      </w:tr>
      <w:tr w:rsidR="00F1345E" w14:paraId="5A462C0F" w14:textId="77777777" w:rsidTr="00825980">
        <w:tc>
          <w:tcPr>
            <w:tcW w:w="3116" w:type="dxa"/>
          </w:tcPr>
          <w:p w14:paraId="70C6A7A4" w14:textId="77777777" w:rsidR="00F1345E" w:rsidRPr="00994636" w:rsidRDefault="00F1345E" w:rsidP="00825980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  <w:lang w:val="de-DE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01A4142" w14:textId="77777777" w:rsidR="00F1345E" w:rsidRDefault="00F1345E" w:rsidP="00825980">
            <w:pPr>
              <w:jc w:val="center"/>
              <w:rPr>
                <w:lang w:val="en-US"/>
              </w:rPr>
            </w:pPr>
            <w:r w:rsidRPr="00994636">
              <w:rPr>
                <w:lang w:val="de-DE"/>
              </w:rPr>
              <w:t>(t-1,</w:t>
            </w:r>
            <w:r>
              <w:rPr>
                <w:lang w:val="de-DE"/>
              </w:rPr>
              <w:t xml:space="preserve"> </w:t>
            </w:r>
            <w:r w:rsidRPr="00994636">
              <w:rPr>
                <w:lang w:val="de-DE"/>
              </w:rPr>
              <w:t>t-1)</w:t>
            </w:r>
          </w:p>
        </w:tc>
      </w:tr>
      <w:tr w:rsidR="00F1345E" w14:paraId="2CBFCB28" w14:textId="77777777" w:rsidTr="00825980">
        <w:tc>
          <w:tcPr>
            <w:tcW w:w="3116" w:type="dxa"/>
          </w:tcPr>
          <w:p w14:paraId="5115264C" w14:textId="77777777" w:rsidR="00F1345E" w:rsidRPr="00994636" w:rsidRDefault="00F1345E" w:rsidP="00825980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d=-Gg</m:t>
                </m:r>
              </m:oMath>
            </m:oMathPara>
          </w:p>
        </w:tc>
        <w:tc>
          <w:tcPr>
            <w:tcW w:w="3117" w:type="dxa"/>
          </w:tcPr>
          <w:p w14:paraId="336B0C33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t-1 vector</w:t>
            </w:r>
          </w:p>
        </w:tc>
      </w:tr>
      <w:tr w:rsidR="00F1345E" w14:paraId="5E7C5646" w14:textId="77777777" w:rsidTr="00825980">
        <w:tc>
          <w:tcPr>
            <w:tcW w:w="3116" w:type="dxa"/>
          </w:tcPr>
          <w:p w14:paraId="54E19413" w14:textId="77777777" w:rsidR="00F1345E" w:rsidRPr="00994636" w:rsidRDefault="00F1345E" w:rsidP="00825980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de-DE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oMath>
            </m:oMathPara>
          </w:p>
        </w:tc>
        <w:tc>
          <w:tcPr>
            <w:tcW w:w="3117" w:type="dxa"/>
          </w:tcPr>
          <w:p w14:paraId="6CFA6EDF" w14:textId="77777777" w:rsidR="00F1345E" w:rsidRDefault="00F1345E" w:rsidP="00825980">
            <w:pPr>
              <w:jc w:val="center"/>
              <w:rPr>
                <w:lang w:val="en-US"/>
              </w:rPr>
            </w:pPr>
            <w:r w:rsidRPr="00994636">
              <w:rPr>
                <w:lang w:val="de-DE"/>
              </w:rPr>
              <w:t>(t-1,</w:t>
            </w:r>
            <w:r>
              <w:rPr>
                <w:lang w:val="de-DE"/>
              </w:rPr>
              <w:t xml:space="preserve"> </w:t>
            </w:r>
            <w:r w:rsidRPr="00994636">
              <w:rPr>
                <w:lang w:val="de-DE"/>
              </w:rPr>
              <w:t>t-1)</w:t>
            </w:r>
          </w:p>
        </w:tc>
      </w:tr>
      <w:tr w:rsidR="00F1345E" w14:paraId="1BA3C5F7" w14:textId="77777777" w:rsidTr="00825980">
        <w:tc>
          <w:tcPr>
            <w:tcW w:w="3116" w:type="dxa"/>
          </w:tcPr>
          <w:p w14:paraId="63069F9B" w14:textId="77777777" w:rsidR="00F1345E" w:rsidRPr="00994636" w:rsidRDefault="00F1345E" w:rsidP="00825980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m=0</m:t>
                </m:r>
              </m:oMath>
            </m:oMathPara>
          </w:p>
        </w:tc>
        <w:tc>
          <w:tcPr>
            <w:tcW w:w="3117" w:type="dxa"/>
          </w:tcPr>
          <w:p w14:paraId="1025F7E5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t-1 vector</w:t>
            </w:r>
          </w:p>
        </w:tc>
      </w:tr>
    </w:tbl>
    <w:p w14:paraId="740697DB" w14:textId="1EB41843" w:rsidR="00F1345E" w:rsidRDefault="00F1345E">
      <w:pPr>
        <w:rPr>
          <w:lang w:val="en-US"/>
        </w:rPr>
      </w:pPr>
    </w:p>
    <w:p w14:paraId="7E138E2A" w14:textId="5160912F" w:rsidR="00F1345E" w:rsidRDefault="00F1345E">
      <w:pPr>
        <w:rPr>
          <w:lang w:val="en-US"/>
        </w:rPr>
      </w:pPr>
      <w:r>
        <w:rPr>
          <w:lang w:val="en-US"/>
        </w:rPr>
        <w:t>ModGEM:</w:t>
      </w:r>
    </w:p>
    <w:p w14:paraId="33C46D84" w14:textId="26096110" w:rsidR="00F1345E" w:rsidRPr="00F1345E" w:rsidRDefault="00F1345E" w:rsidP="00F1345E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min  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v+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v  s.t.   v≥0</m:t>
              </m:r>
            </m:e>
          </m:func>
        </m:oMath>
      </m:oMathPara>
    </w:p>
    <w:p w14:paraId="3AD0D79D" w14:textId="77777777" w:rsidR="00F1345E" w:rsidRPr="00F1345E" w:rsidRDefault="00F1345E" w:rsidP="00F1345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1345E" w14:paraId="45152BA0" w14:textId="77777777" w:rsidTr="00825980">
        <w:tc>
          <w:tcPr>
            <w:tcW w:w="3116" w:type="dxa"/>
          </w:tcPr>
          <w:p w14:paraId="132B4CBC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3117" w:type="dxa"/>
          </w:tcPr>
          <w:p w14:paraId="7F2B8EE0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Shape</w:t>
            </w:r>
          </w:p>
        </w:tc>
      </w:tr>
      <w:tr w:rsidR="00F1345E" w14:paraId="0F3FE8A8" w14:textId="77777777" w:rsidTr="00825980">
        <w:tc>
          <w:tcPr>
            <w:tcW w:w="3116" w:type="dxa"/>
          </w:tcPr>
          <w:p w14:paraId="58376387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memories (G)</w:t>
            </w:r>
          </w:p>
        </w:tc>
        <w:tc>
          <w:tcPr>
            <w:tcW w:w="3117" w:type="dxa"/>
          </w:tcPr>
          <w:p w14:paraId="65DDF654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(41*(t-1), p)</w:t>
            </w:r>
          </w:p>
        </w:tc>
      </w:tr>
      <w:tr w:rsidR="00F1345E" w14:paraId="2B608CFE" w14:textId="77777777" w:rsidTr="00825980">
        <w:tc>
          <w:tcPr>
            <w:tcW w:w="3116" w:type="dxa"/>
          </w:tcPr>
          <w:p w14:paraId="741CD68E" w14:textId="31E81153" w:rsidR="00F1345E" w:rsidRPr="00F1345E" w:rsidRDefault="00F1345E" w:rsidP="00F134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memory (G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11600305" w14:textId="0CCC95C8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(41, p)</w:t>
            </w:r>
          </w:p>
        </w:tc>
      </w:tr>
      <w:tr w:rsidR="00F1345E" w14:paraId="5A46528C" w14:textId="77777777" w:rsidTr="00825980">
        <w:tc>
          <w:tcPr>
            <w:tcW w:w="3116" w:type="dxa"/>
          </w:tcPr>
          <w:p w14:paraId="21CD3D57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gradient (g)</w:t>
            </w:r>
          </w:p>
        </w:tc>
        <w:tc>
          <w:tcPr>
            <w:tcW w:w="3117" w:type="dxa"/>
          </w:tcPr>
          <w:p w14:paraId="59B6F0F2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 vector</w:t>
            </w:r>
          </w:p>
        </w:tc>
      </w:tr>
      <w:tr w:rsidR="00F1345E" w14:paraId="7B729558" w14:textId="77777777" w:rsidTr="00825980">
        <w:tc>
          <w:tcPr>
            <w:tcW w:w="3116" w:type="dxa"/>
          </w:tcPr>
          <w:p w14:paraId="56D9AE82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relatedness (h)</w:t>
            </w:r>
          </w:p>
        </w:tc>
        <w:tc>
          <w:tcPr>
            <w:tcW w:w="3117" w:type="dxa"/>
          </w:tcPr>
          <w:p w14:paraId="78088F69" w14:textId="7777777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41*(t-1) vector</w:t>
            </w:r>
          </w:p>
        </w:tc>
      </w:tr>
      <w:tr w:rsidR="00F1345E" w14:paraId="48B5EBDA" w14:textId="77777777" w:rsidTr="00825980">
        <w:tc>
          <w:tcPr>
            <w:tcW w:w="3116" w:type="dxa"/>
          </w:tcPr>
          <w:p w14:paraId="513E730B" w14:textId="0D989865" w:rsidR="00F1345E" w:rsidRP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relatedness (h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63D04A0E" w14:textId="2D48FE97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(1, 41)</w:t>
            </w:r>
          </w:p>
        </w:tc>
      </w:tr>
      <w:tr w:rsidR="00F1345E" w14:paraId="2C511EBC" w14:textId="77777777" w:rsidTr="00825980">
        <w:tc>
          <w:tcPr>
            <w:tcW w:w="3116" w:type="dxa"/>
          </w:tcPr>
          <w:p w14:paraId="40DB0D9C" w14:textId="79702904" w:rsidR="00F1345E" w:rsidRDefault="00F1345E" w:rsidP="0082598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G</m:t>
                        </m:r>
                      </m:e>
                    </m:acc>
                    <m:ctrlPr>
                      <w:rPr>
                        <w:rFonts w:ascii="Cambria Math" w:hAnsi="Cambria Math" w:hint="eastAsia"/>
                        <w:i/>
                        <w:lang w:val="de-DE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EA5DE62" w14:textId="12066BB4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(1, p)</w:t>
            </w:r>
          </w:p>
        </w:tc>
      </w:tr>
      <w:tr w:rsidR="00F1345E" w14:paraId="125559ED" w14:textId="77777777" w:rsidTr="00825980">
        <w:tc>
          <w:tcPr>
            <w:tcW w:w="3116" w:type="dxa"/>
          </w:tcPr>
          <w:p w14:paraId="75D847E1" w14:textId="5FC5D7F0" w:rsidR="00F1345E" w:rsidRDefault="00F1345E" w:rsidP="00825980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de-DE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  <w:lang w:val="de-DE"/>
                  </w:rPr>
                  <m:t>=</m:t>
                </m:r>
                <m:r>
                  <w:rPr>
                    <w:rFonts w:ascii="Cambria Math" w:hAnsi="Cambria Math"/>
                    <w:lang w:val="de-DE"/>
                  </w:rPr>
                  <m:t>np.vstack(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G</m:t>
                        </m:r>
                      </m:e>
                    </m:acc>
                    <m:ctrlPr>
                      <w:rPr>
                        <w:rFonts w:ascii="Cambria Math" w:hAnsi="Cambria Math" w:hint="eastAsia"/>
                        <w:i/>
                        <w:lang w:val="de-DE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14:paraId="054A66C5" w14:textId="5D929436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7723C">
              <w:rPr>
                <w:lang w:val="en-US"/>
              </w:rPr>
              <w:t>t-1</w:t>
            </w:r>
            <w:r>
              <w:rPr>
                <w:lang w:val="en-US"/>
              </w:rPr>
              <w:t>, p)</w:t>
            </w:r>
          </w:p>
        </w:tc>
      </w:tr>
      <w:tr w:rsidR="00F1345E" w14:paraId="228829FD" w14:textId="77777777" w:rsidTr="00825980">
        <w:tc>
          <w:tcPr>
            <w:tcW w:w="3116" w:type="dxa"/>
          </w:tcPr>
          <w:p w14:paraId="6F67A213" w14:textId="77777777" w:rsidR="00F1345E" w:rsidRPr="00994636" w:rsidRDefault="00F1345E" w:rsidP="00825980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  <w:lang w:val="de-DE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de-DE"/>
                      </w:rPr>
                      <m:t>G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G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75C1AFF4" w14:textId="08D9E9C8" w:rsidR="00F1345E" w:rsidRDefault="00F1345E" w:rsidP="00825980">
            <w:pPr>
              <w:jc w:val="center"/>
              <w:rPr>
                <w:lang w:val="en-US"/>
              </w:rPr>
            </w:pPr>
            <w:r>
              <w:rPr>
                <w:lang w:val="de-DE"/>
              </w:rPr>
              <w:t>(</w:t>
            </w:r>
            <w:r w:rsidR="00C7723C">
              <w:rPr>
                <w:lang w:val="de-DE"/>
              </w:rPr>
              <w:t>t-1</w:t>
            </w:r>
            <w:r>
              <w:rPr>
                <w:lang w:val="de-DE"/>
              </w:rPr>
              <w:t xml:space="preserve">, </w:t>
            </w:r>
            <w:r w:rsidR="00C7723C">
              <w:rPr>
                <w:lang w:val="de-DE"/>
              </w:rPr>
              <w:t>t-</w:t>
            </w:r>
            <w:r>
              <w:rPr>
                <w:lang w:val="de-DE"/>
              </w:rPr>
              <w:t>1)</w:t>
            </w:r>
          </w:p>
        </w:tc>
      </w:tr>
      <w:tr w:rsidR="00F1345E" w14:paraId="0696C957" w14:textId="77777777" w:rsidTr="00825980">
        <w:tc>
          <w:tcPr>
            <w:tcW w:w="3116" w:type="dxa"/>
          </w:tcPr>
          <w:p w14:paraId="5CBF9C9C" w14:textId="77777777" w:rsidR="00F1345E" w:rsidRPr="00994636" w:rsidRDefault="00F1345E" w:rsidP="00825980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d=-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3117" w:type="dxa"/>
          </w:tcPr>
          <w:p w14:paraId="3DE7F460" w14:textId="3469D128" w:rsidR="00F1345E" w:rsidRDefault="00C7723C" w:rsidP="0082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t-1</w:t>
            </w:r>
            <w:r w:rsidR="00F1345E">
              <w:rPr>
                <w:lang w:val="en-US"/>
              </w:rPr>
              <w:t xml:space="preserve"> vector</w:t>
            </w:r>
          </w:p>
        </w:tc>
      </w:tr>
      <w:tr w:rsidR="00F1345E" w14:paraId="1C81D7EA" w14:textId="77777777" w:rsidTr="00825980">
        <w:tc>
          <w:tcPr>
            <w:tcW w:w="3116" w:type="dxa"/>
          </w:tcPr>
          <w:p w14:paraId="61B6C680" w14:textId="77777777" w:rsidR="00F1345E" w:rsidRPr="00994636" w:rsidRDefault="00F1345E" w:rsidP="00825980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de-DE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oMath>
            </m:oMathPara>
          </w:p>
        </w:tc>
        <w:tc>
          <w:tcPr>
            <w:tcW w:w="3117" w:type="dxa"/>
          </w:tcPr>
          <w:p w14:paraId="3BEA09AC" w14:textId="1699DA92" w:rsidR="00F1345E" w:rsidRDefault="00F1345E" w:rsidP="00825980">
            <w:pPr>
              <w:jc w:val="center"/>
              <w:rPr>
                <w:lang w:val="en-US"/>
              </w:rPr>
            </w:pPr>
            <w:r w:rsidRPr="00994636">
              <w:rPr>
                <w:lang w:val="de-DE"/>
              </w:rPr>
              <w:t>(</w:t>
            </w:r>
            <w:r w:rsidR="00C7723C">
              <w:rPr>
                <w:lang w:val="de-DE"/>
              </w:rPr>
              <w:t>t-</w:t>
            </w:r>
            <w:r>
              <w:rPr>
                <w:lang w:val="de-DE"/>
              </w:rPr>
              <w:t xml:space="preserve">1, </w:t>
            </w:r>
            <w:r w:rsidR="00C7723C">
              <w:rPr>
                <w:lang w:val="de-DE"/>
              </w:rPr>
              <w:t>t-</w:t>
            </w:r>
            <w:r>
              <w:rPr>
                <w:lang w:val="de-DE"/>
              </w:rPr>
              <w:t>1)</w:t>
            </w:r>
          </w:p>
        </w:tc>
      </w:tr>
    </w:tbl>
    <w:p w14:paraId="00AEA10E" w14:textId="2829DB07" w:rsidR="00F1345E" w:rsidRDefault="00F1345E">
      <w:pPr>
        <w:rPr>
          <w:lang w:val="en-US"/>
        </w:rPr>
      </w:pPr>
    </w:p>
    <w:p w14:paraId="68C46D4A" w14:textId="7B05BA64" w:rsidR="00C7723C" w:rsidRDefault="00C7723C">
      <w:pPr>
        <w:rPr>
          <w:lang w:val="en-US"/>
        </w:rPr>
      </w:pPr>
      <w:r>
        <w:rPr>
          <w:lang w:val="en-US"/>
        </w:rPr>
        <w:t>Question:</w:t>
      </w:r>
    </w:p>
    <w:p w14:paraId="25CC85D7" w14:textId="38D9C16D" w:rsidR="00C7723C" w:rsidRPr="00C7723C" w:rsidRDefault="00C7723C" w:rsidP="00C7723C">
      <w:pPr>
        <w:pStyle w:val="ListParagraph"/>
        <w:numPr>
          <w:ilvl w:val="0"/>
          <w:numId w:val="2"/>
        </w:numPr>
        <w:rPr>
          <w:lang w:val="en-US"/>
        </w:rPr>
      </w:pPr>
      <w:r w:rsidRPr="00C7723C">
        <w:rPr>
          <w:lang w:val="en-US"/>
        </w:rPr>
        <w:t>Generally:</w:t>
      </w:r>
    </w:p>
    <w:p w14:paraId="7EB7280F" w14:textId="410F1615" w:rsidR="00C7723C" w:rsidRDefault="00C7723C" w:rsidP="00C7723C">
      <w:pPr>
        <w:ind w:firstLine="360"/>
        <w:rPr>
          <w:lang w:val="en-US"/>
        </w:rPr>
      </w:pPr>
      <w:r>
        <w:rPr>
          <w:lang w:val="en-US"/>
        </w:rPr>
        <w:t>If we ignore the relatedness and only consider modularization here, is it possible to reconstruct the overall gradient in GEM from group gradients in ModGEM?</w:t>
      </w:r>
    </w:p>
    <w:p w14:paraId="1F8FEDD5" w14:textId="35577223" w:rsidR="00C7723C" w:rsidRPr="00C7723C" w:rsidRDefault="00C7723C" w:rsidP="00C772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Specifically:</w:t>
      </w:r>
    </w:p>
    <w:p w14:paraId="7ACEF838" w14:textId="5C3C0EA6" w:rsidR="00C7723C" w:rsidRPr="00F1345E" w:rsidRDefault="00C7723C" w:rsidP="00C7723C">
      <w:pPr>
        <w:ind w:firstLine="360"/>
        <w:rPr>
          <w:lang w:val="en-US"/>
        </w:rPr>
      </w:pPr>
      <w:r>
        <w:rPr>
          <w:lang w:val="en-US"/>
        </w:rPr>
        <w:t xml:space="preserve">Let’s say the current task is task 2 now, so the previous task is task 1 only. What GEM outputs is an overall gradient whose shape is (1, p). What ModGEM outputs are 41 individual group gradients whose shape is (41, p). </w:t>
      </w:r>
      <w:r w:rsidR="00FB6E38">
        <w:rPr>
          <w:lang w:val="en-US"/>
        </w:rPr>
        <w:t xml:space="preserve">How can we combine 41 individual gradients so that the combination can be as close as possible </w:t>
      </w:r>
      <w:r w:rsidR="00FB6E38">
        <w:rPr>
          <w:rFonts w:hint="eastAsia"/>
          <w:lang w:val="en-US"/>
        </w:rPr>
        <w:t>t</w:t>
      </w:r>
      <w:r w:rsidR="00FB6E38">
        <w:rPr>
          <w:lang w:val="en-US"/>
        </w:rPr>
        <w:t>o the overall gradient/the effect of the overall gradient in GEM can be represented by that of the combination of 41 individual groups?</w:t>
      </w:r>
    </w:p>
    <w:sectPr w:rsidR="00C7723C" w:rsidRPr="00F13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E30AA"/>
    <w:multiLevelType w:val="hybridMultilevel"/>
    <w:tmpl w:val="BEC40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146A7"/>
    <w:multiLevelType w:val="hybridMultilevel"/>
    <w:tmpl w:val="C4BE4520"/>
    <w:lvl w:ilvl="0" w:tplc="2B8C0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5E"/>
    <w:rsid w:val="00C7723C"/>
    <w:rsid w:val="00F1345E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1C996"/>
  <w15:chartTrackingRefBased/>
  <w15:docId w15:val="{8EF41B87-04E6-1A45-B627-60CB468C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2021-07-06T11:19:00Z</dcterms:created>
  <dcterms:modified xsi:type="dcterms:W3CDTF">2021-07-06T11:45:00Z</dcterms:modified>
</cp:coreProperties>
</file>