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541DA">
      <w:pPr>
        <w:autoSpaceDE w:val="0"/>
        <w:autoSpaceDN w:val="0"/>
        <w:adjustRightInd/>
        <w:snapToGrid/>
        <w:spacing w:line="240" w:lineRule="auto"/>
        <w:ind w:right="6" w:firstLine="0" w:firstLineChars="0"/>
        <w:jc w:val="center"/>
        <w:rPr>
          <w:rFonts w:hint="eastAsia" w:ascii="方正小标宋简体" w:hAnsi="仿宋_GB2312" w:eastAsia="方正小标宋简体" w:cs="仿宋_GB2312"/>
          <w:color w:val="215F9A" w:themeColor="text2" w:themeTint="BF"/>
          <w:kern w:val="0"/>
          <w:sz w:val="44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方正小标宋简体" w:hAnsi="仿宋_GB2312" w:eastAsia="方正小标宋简体" w:cs="仿宋_GB2312"/>
          <w:color w:val="215F9A" w:themeColor="text2" w:themeTint="BF"/>
          <w:kern w:val="0"/>
          <w:sz w:val="44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定制化协议栈说明文档</w:t>
      </w:r>
      <w:bookmarkStart w:id="0" w:name="_GoBack"/>
      <w:bookmarkEnd w:id="0"/>
    </w:p>
    <w:p w14:paraId="25254812"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eastAsia="黑体"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eastAsia="黑体"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定制化标签转发协议栈说明</w:t>
      </w:r>
    </w:p>
    <w:p w14:paraId="3D3F1D85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t>项目提出定制化标签转发协议栈，对多种业务按照配置进行标签路径封装，在标签转发平面提供并提供实时的路径控制能力，并且对标签指令提供自动更新同步的安全验证机制。</w:t>
      </w:r>
    </w:p>
    <w:p w14:paraId="4508EAA5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t>在功能上，定制化标签转发协议栈包含封装功能、转发功能、验证功能、拓扑发现功能与解封装功能。其中封装功能即通过初始业务流量的源和目的IP地址（包含IPv4与IPv6）、源和目的端口（包含TCP与UDP）的组合进行匹配，为业务封装封装标签转发列表，并根据列表指示的路径进行逐跳转发。</w:t>
      </w:r>
    </w:p>
    <w:p w14:paraId="00C44AB1"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eastAsia="黑体"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eastAsia="黑体"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标签转发协议栈语法与语义设计</w:t>
      </w:r>
    </w:p>
    <w:p w14:paraId="34CC9B63">
      <w:pPr>
        <w:pStyle w:val="31"/>
        <w:numPr>
          <w:ilvl w:val="0"/>
          <w:numId w:val="2"/>
        </w:numPr>
        <w:spacing w:line="360" w:lineRule="auto"/>
        <w:ind w:firstLineChars="0"/>
        <w:rPr>
          <w:rFonts w:ascii="Times New Roman" w:eastAsia="楷体"/>
          <w:b/>
          <w:bCs/>
          <w:sz w:val="32"/>
          <w:szCs w:val="32"/>
        </w:rPr>
      </w:pPr>
      <w:r>
        <w:rPr>
          <w:rFonts w:ascii="Times New Roman" w:eastAsia="楷体"/>
          <w:b/>
          <w:bCs/>
          <w:sz w:val="32"/>
          <w:szCs w:val="32"/>
        </w:rPr>
        <w:t>标签数据包结构</w:t>
      </w:r>
    </w:p>
    <w:p w14:paraId="14CBFD76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t>标签转发协议在层级上定位为2.5层，处于Ethernet层之上，对IPv4与IPv6进行封装。标签转发协议的层级位置如图</w:t>
      </w:r>
      <w:r>
        <w:rPr>
          <w:rFonts w:hint="eastAsia" w:ascii="Times New Roman" w:eastAsia="仿宋"/>
          <w:sz w:val="32"/>
          <w:szCs w:val="32"/>
        </w:rPr>
        <w:t>1</w:t>
      </w:r>
      <w:r>
        <w:rPr>
          <w:rFonts w:ascii="Times New Roman" w:eastAsia="仿宋"/>
          <w:sz w:val="32"/>
          <w:szCs w:val="32"/>
        </w:rPr>
        <w:t>所示。</w:t>
      </w:r>
    </w:p>
    <w:p w14:paraId="0205B7C9">
      <w:pPr>
        <w:spacing w:line="360" w:lineRule="auto"/>
        <w:ind w:firstLine="0" w:firstLineChars="0"/>
        <w:jc w:val="center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drawing>
          <wp:inline distT="0" distB="0" distL="0" distR="0">
            <wp:extent cx="2889885" cy="1999615"/>
            <wp:effectExtent l="0" t="0" r="5715" b="635"/>
            <wp:docPr id="71595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5680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199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FC8D6E">
      <w:pPr>
        <w:spacing w:line="360" w:lineRule="auto"/>
        <w:ind w:firstLine="0" w:firstLineChars="0"/>
        <w:jc w:val="center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图1 标签转发协议位置</w:t>
      </w:r>
    </w:p>
    <w:p w14:paraId="04474FBD">
      <w:pPr>
        <w:pStyle w:val="31"/>
        <w:numPr>
          <w:ilvl w:val="0"/>
          <w:numId w:val="2"/>
        </w:numPr>
        <w:spacing w:line="360" w:lineRule="auto"/>
        <w:ind w:firstLineChars="0"/>
        <w:rPr>
          <w:rFonts w:ascii="Times New Roman" w:eastAsia="楷体"/>
          <w:b/>
          <w:bCs/>
          <w:sz w:val="32"/>
          <w:szCs w:val="32"/>
        </w:rPr>
      </w:pPr>
      <w:r>
        <w:rPr>
          <w:rFonts w:ascii="Times New Roman" w:eastAsia="楷体"/>
          <w:b/>
          <w:bCs/>
          <w:sz w:val="32"/>
          <w:szCs w:val="32"/>
        </w:rPr>
        <w:t>标签语法与语义</w:t>
      </w:r>
    </w:p>
    <w:p w14:paraId="2ADE38BB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t>标签指令的字段结构如图</w:t>
      </w:r>
      <w:r>
        <w:rPr>
          <w:rFonts w:hint="eastAsia" w:ascii="Times New Roman" w:eastAsia="仿宋"/>
          <w:sz w:val="32"/>
          <w:szCs w:val="32"/>
        </w:rPr>
        <w:t>2</w:t>
      </w:r>
      <w:r>
        <w:rPr>
          <w:rFonts w:ascii="Times New Roman" w:eastAsia="仿宋"/>
          <w:sz w:val="32"/>
          <w:szCs w:val="32"/>
        </w:rPr>
        <w:t>所示。在方案中，将本标签转发协议的Ethernet协议号定义为0x1212。</w:t>
      </w:r>
    </w:p>
    <w:p w14:paraId="065A81DC">
      <w:pPr>
        <w:spacing w:line="360" w:lineRule="auto"/>
        <w:ind w:firstLine="0" w:firstLineChars="0"/>
        <w:jc w:val="center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drawing>
          <wp:inline distT="0" distB="0" distL="0" distR="0">
            <wp:extent cx="4956175" cy="2316480"/>
            <wp:effectExtent l="0" t="0" r="0" b="7620"/>
            <wp:docPr id="21280528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52834" name="图片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231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25F69B">
      <w:pPr>
        <w:spacing w:line="360" w:lineRule="auto"/>
        <w:ind w:firstLine="0" w:firstLineChars="0"/>
        <w:jc w:val="center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图2 标签指令字段结构</w:t>
      </w:r>
    </w:p>
    <w:p w14:paraId="7841BEF4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标签协议头的字段设计如下，从外到内（Ethernet为最外）的字段如下：</w:t>
      </w:r>
    </w:p>
    <w:p w14:paraId="0D479D37">
      <w:pPr>
        <w:pStyle w:val="31"/>
        <w:numPr>
          <w:ilvl w:val="0"/>
          <w:numId w:val="3"/>
        </w:numPr>
        <w:spacing w:line="360" w:lineRule="auto"/>
        <w:ind w:firstLineChars="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执行标签：</w:t>
      </w:r>
      <w:r>
        <w:rPr>
          <w:rFonts w:ascii="Times New Roman" w:eastAsia="仿宋"/>
          <w:sz w:val="32"/>
          <w:szCs w:val="32"/>
        </w:rPr>
        <w:t>16bit</w:t>
      </w:r>
      <w:r>
        <w:rPr>
          <w:rFonts w:hint="eastAsia" w:ascii="Times New Roman" w:eastAsia="仿宋"/>
          <w:sz w:val="32"/>
          <w:szCs w:val="32"/>
        </w:rPr>
        <w:t>，当前活动的标签，用以进行标签转发匹配</w:t>
      </w:r>
    </w:p>
    <w:p w14:paraId="0F670327">
      <w:pPr>
        <w:pStyle w:val="31"/>
        <w:numPr>
          <w:ilvl w:val="0"/>
          <w:numId w:val="3"/>
        </w:numPr>
        <w:spacing w:line="360" w:lineRule="auto"/>
        <w:ind w:firstLineChars="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验证密码：</w:t>
      </w:r>
      <w:r>
        <w:rPr>
          <w:rFonts w:ascii="Times New Roman" w:eastAsia="仿宋"/>
          <w:sz w:val="32"/>
          <w:szCs w:val="32"/>
        </w:rPr>
        <w:t>32bit</w:t>
      </w:r>
      <w:r>
        <w:rPr>
          <w:rFonts w:hint="eastAsia" w:ascii="Times New Roman" w:eastAsia="仿宋"/>
          <w:sz w:val="32"/>
          <w:szCs w:val="32"/>
        </w:rPr>
        <w:t>，进行标签有效性验证的密码，如果不设定密码验证则为全</w:t>
      </w:r>
      <w:r>
        <w:rPr>
          <w:rFonts w:ascii="Times New Roman" w:eastAsia="仿宋"/>
          <w:sz w:val="32"/>
          <w:szCs w:val="32"/>
        </w:rPr>
        <w:t>1</w:t>
      </w:r>
      <w:r>
        <w:rPr>
          <w:rFonts w:hint="eastAsia" w:ascii="Times New Roman" w:eastAsia="仿宋"/>
          <w:sz w:val="32"/>
          <w:szCs w:val="32"/>
        </w:rPr>
        <w:t>（不设定会被丢弃），但是需要节点配置不进行验证才转发全</w:t>
      </w:r>
      <w:r>
        <w:rPr>
          <w:rFonts w:ascii="Times New Roman" w:eastAsia="仿宋"/>
          <w:sz w:val="32"/>
          <w:szCs w:val="32"/>
        </w:rPr>
        <w:t>1</w:t>
      </w:r>
      <w:r>
        <w:rPr>
          <w:rFonts w:hint="eastAsia" w:ascii="Times New Roman" w:eastAsia="仿宋"/>
          <w:sz w:val="32"/>
          <w:szCs w:val="32"/>
        </w:rPr>
        <w:t>的验证密码，否则丢弃。</w:t>
      </w:r>
    </w:p>
    <w:p w14:paraId="7DF09D2C">
      <w:pPr>
        <w:pStyle w:val="31"/>
        <w:numPr>
          <w:ilvl w:val="0"/>
          <w:numId w:val="3"/>
        </w:numPr>
        <w:spacing w:line="360" w:lineRule="auto"/>
        <w:ind w:firstLineChars="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密钥编号：</w:t>
      </w:r>
      <w:r>
        <w:rPr>
          <w:rFonts w:ascii="Times New Roman" w:eastAsia="仿宋"/>
          <w:sz w:val="32"/>
          <w:szCs w:val="32"/>
        </w:rPr>
        <w:t>8bit</w:t>
      </w:r>
      <w:r>
        <w:rPr>
          <w:rFonts w:hint="eastAsia" w:ascii="Times New Roman" w:eastAsia="仿宋"/>
          <w:sz w:val="32"/>
          <w:szCs w:val="32"/>
        </w:rPr>
        <w:t>，进行密码差异化的编号，即</w:t>
      </w:r>
      <w:r>
        <w:rPr>
          <w:rFonts w:ascii="Times New Roman" w:eastAsia="仿宋"/>
          <w:sz w:val="32"/>
          <w:szCs w:val="32"/>
        </w:rPr>
        <w:t>1</w:t>
      </w:r>
      <w:r>
        <w:rPr>
          <w:rFonts w:hint="eastAsia" w:ascii="Times New Roman" w:eastAsia="仿宋"/>
          <w:sz w:val="32"/>
          <w:szCs w:val="32"/>
        </w:rPr>
        <w:t>个节点可以同时用多个密钥维护多种验证密码，这里的编号是密钥的索引，和验证密码一起进行匹配。</w:t>
      </w:r>
    </w:p>
    <w:p w14:paraId="12CA8F0F">
      <w:pPr>
        <w:pStyle w:val="31"/>
        <w:numPr>
          <w:ilvl w:val="0"/>
          <w:numId w:val="3"/>
        </w:numPr>
        <w:spacing w:line="360" w:lineRule="auto"/>
        <w:ind w:firstLineChars="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被封装协议号：</w:t>
      </w:r>
      <w:r>
        <w:rPr>
          <w:rFonts w:ascii="Times New Roman" w:eastAsia="仿宋"/>
          <w:sz w:val="32"/>
          <w:szCs w:val="32"/>
        </w:rPr>
        <w:t>16bit</w:t>
      </w:r>
      <w:r>
        <w:rPr>
          <w:rFonts w:hint="eastAsia" w:ascii="Times New Roman" w:eastAsia="仿宋"/>
          <w:sz w:val="32"/>
          <w:szCs w:val="32"/>
        </w:rPr>
        <w:t>，被封装的原来的</w:t>
      </w:r>
      <w:r>
        <w:rPr>
          <w:rFonts w:ascii="Times New Roman" w:eastAsia="仿宋"/>
          <w:sz w:val="32"/>
          <w:szCs w:val="32"/>
        </w:rPr>
        <w:t>Ethernet Type</w:t>
      </w:r>
      <w:r>
        <w:rPr>
          <w:rFonts w:hint="eastAsia" w:ascii="Times New Roman" w:eastAsia="仿宋"/>
          <w:sz w:val="32"/>
          <w:szCs w:val="32"/>
        </w:rPr>
        <w:t>的协议值，即进行标签协议头添加之前的以太网</w:t>
      </w:r>
      <w:r>
        <w:rPr>
          <w:rFonts w:ascii="Times New Roman" w:eastAsia="仿宋"/>
          <w:sz w:val="32"/>
          <w:szCs w:val="32"/>
        </w:rPr>
        <w:t>type</w:t>
      </w:r>
      <w:r>
        <w:rPr>
          <w:rFonts w:hint="eastAsia" w:ascii="Times New Roman" w:eastAsia="仿宋"/>
          <w:sz w:val="32"/>
          <w:szCs w:val="32"/>
        </w:rPr>
        <w:t>字段需要被设定在此处。</w:t>
      </w:r>
    </w:p>
    <w:p w14:paraId="7FDEDF7A">
      <w:pPr>
        <w:pStyle w:val="31"/>
        <w:numPr>
          <w:ilvl w:val="0"/>
          <w:numId w:val="3"/>
        </w:numPr>
        <w:spacing w:line="360" w:lineRule="auto"/>
        <w:ind w:firstLineChars="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剩余标签深度：</w:t>
      </w:r>
      <w:r>
        <w:rPr>
          <w:rFonts w:ascii="Times New Roman" w:eastAsia="仿宋"/>
          <w:sz w:val="32"/>
          <w:szCs w:val="32"/>
        </w:rPr>
        <w:t>8bit</w:t>
      </w:r>
      <w:r>
        <w:rPr>
          <w:rFonts w:hint="eastAsia" w:ascii="Times New Roman" w:eastAsia="仿宋"/>
          <w:sz w:val="32"/>
          <w:szCs w:val="32"/>
        </w:rPr>
        <w:t>，按照单位为</w:t>
      </w:r>
      <w:r>
        <w:rPr>
          <w:rFonts w:ascii="Times New Roman" w:eastAsia="仿宋"/>
          <w:sz w:val="32"/>
          <w:szCs w:val="32"/>
        </w:rPr>
        <w:t>1</w:t>
      </w:r>
      <w:r>
        <w:rPr>
          <w:rFonts w:hint="eastAsia" w:ascii="Times New Roman" w:eastAsia="仿宋"/>
          <w:sz w:val="32"/>
          <w:szCs w:val="32"/>
        </w:rPr>
        <w:t>计数，最大值为255。例如标签栈剩余</w:t>
      </w:r>
      <w:r>
        <w:rPr>
          <w:rFonts w:ascii="Times New Roman" w:eastAsia="仿宋"/>
          <w:sz w:val="32"/>
          <w:szCs w:val="32"/>
        </w:rPr>
        <w:t>5</w:t>
      </w:r>
      <w:r>
        <w:rPr>
          <w:rFonts w:hint="eastAsia" w:ascii="Times New Roman" w:eastAsia="仿宋"/>
          <w:sz w:val="32"/>
          <w:szCs w:val="32"/>
        </w:rPr>
        <w:t>个标签则为</w:t>
      </w:r>
      <w:r>
        <w:rPr>
          <w:rFonts w:ascii="Times New Roman" w:eastAsia="仿宋"/>
          <w:sz w:val="32"/>
          <w:szCs w:val="32"/>
        </w:rPr>
        <w:t>5</w:t>
      </w:r>
      <w:r>
        <w:rPr>
          <w:rFonts w:hint="eastAsia" w:ascii="Times New Roman" w:eastAsia="仿宋"/>
          <w:sz w:val="32"/>
          <w:szCs w:val="32"/>
        </w:rPr>
        <w:t>。</w:t>
      </w:r>
    </w:p>
    <w:p w14:paraId="0966D879">
      <w:pPr>
        <w:pStyle w:val="31"/>
        <w:numPr>
          <w:ilvl w:val="0"/>
          <w:numId w:val="3"/>
        </w:numPr>
        <w:spacing w:line="360" w:lineRule="auto"/>
        <w:ind w:firstLineChars="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标签栈：多个</w:t>
      </w:r>
      <w:r>
        <w:rPr>
          <w:rFonts w:ascii="Times New Roman" w:eastAsia="仿宋"/>
          <w:sz w:val="32"/>
          <w:szCs w:val="32"/>
        </w:rPr>
        <w:t>16bit</w:t>
      </w:r>
      <w:r>
        <w:rPr>
          <w:rFonts w:hint="eastAsia" w:ascii="Times New Roman" w:eastAsia="仿宋"/>
          <w:sz w:val="32"/>
          <w:szCs w:val="32"/>
        </w:rPr>
        <w:t>的转发标签，按照转发顺序进行堆叠。</w:t>
      </w:r>
    </w:p>
    <w:p w14:paraId="684015BB"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eastAsia="黑体"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eastAsia="黑体"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网络节点功能定义</w:t>
      </w:r>
    </w:p>
    <w:p w14:paraId="624CD9D7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标签转发协议的网络节点在功能上分为封装节点、传输节点、控制器。其功能分别定义如下：</w:t>
      </w:r>
    </w:p>
    <w:p w14:paraId="087693E5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封装节点：封装节点表示进行标签转发协议路径封装的节点，负责读取业务流量的IP与端口数据，根据控制器下发的表项进行传输路径标签的封装，同时，验证值也在封装节点进行封装。特别的，如果剩余标签深度在到达某封装节点时为0，封装节点会弹出所有标签并移除该报文头。</w:t>
      </w:r>
    </w:p>
    <w:p w14:paraId="20793793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传输节点：传输节点表示进行标签转发协议路径中间传输的节点，负责读取当前活动的标签，并根据标签的指令进确定转发的端口并执行转发操作。如果开启了标签验证，标签验证将在传输节点中执行。特别的，如果剩余标签深度在到达某封装节点时为0，封装节点会弹出所有标签并移除该报文头。</w:t>
      </w:r>
    </w:p>
    <w:p w14:paraId="4DC21713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控制器：控制器负责传输策略的决策下发，还有验证功能等的开启管理，包括每一个节点的邻接标签的转发表，对应于流量的路径封装流量，开启/关闭标签验证的配置等。</w:t>
      </w:r>
    </w:p>
    <w:p w14:paraId="24FA64F7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在大部分情况下，封装节点位于网络的边缘位置，负责对接用户的主机；传输节点处于网络的中间位置，例如汇聚与核心侧；控制器位于顶层控制面，对接所有标签转发协议网络节点。</w:t>
      </w:r>
    </w:p>
    <w:p w14:paraId="680DD219"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eastAsia="黑体"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eastAsia="黑体"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处理流程</w:t>
      </w:r>
    </w:p>
    <w:p w14:paraId="37F1766E">
      <w:pPr>
        <w:pStyle w:val="31"/>
        <w:numPr>
          <w:ilvl w:val="0"/>
          <w:numId w:val="4"/>
        </w:numPr>
        <w:spacing w:line="360" w:lineRule="auto"/>
        <w:ind w:firstLineChars="0"/>
        <w:rPr>
          <w:rFonts w:ascii="Times New Roman" w:eastAsia="楷体"/>
          <w:b/>
          <w:bCs/>
          <w:sz w:val="32"/>
          <w:szCs w:val="32"/>
        </w:rPr>
      </w:pPr>
      <w:r>
        <w:rPr>
          <w:rFonts w:hint="eastAsia" w:ascii="Times New Roman" w:eastAsia="楷体"/>
          <w:b/>
          <w:bCs/>
          <w:sz w:val="32"/>
          <w:szCs w:val="32"/>
        </w:rPr>
        <w:t>路径封装</w:t>
      </w:r>
    </w:p>
    <w:p w14:paraId="7F7B890E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路径封装功能工作于封装节点，主要通过读取业务流量IP与端口等数据，按照控制器下发的路径规则，对业务流量进行标签转发路径的封装。</w:t>
      </w:r>
    </w:p>
    <w:p w14:paraId="687017F7">
      <w:pPr>
        <w:pStyle w:val="31"/>
        <w:numPr>
          <w:ilvl w:val="0"/>
          <w:numId w:val="5"/>
        </w:numPr>
        <w:spacing w:line="360" w:lineRule="auto"/>
        <w:ind w:firstLineChars="0"/>
        <w:rPr>
          <w:rFonts w:ascii="Times New Roman" w:eastAsia="仿宋"/>
          <w:b/>
          <w:bCs/>
          <w:sz w:val="32"/>
          <w:szCs w:val="32"/>
        </w:rPr>
      </w:pPr>
      <w:r>
        <w:rPr>
          <w:rFonts w:hint="eastAsia" w:ascii="Times New Roman" w:eastAsia="仿宋"/>
          <w:b/>
          <w:bCs/>
          <w:sz w:val="32"/>
          <w:szCs w:val="32"/>
        </w:rPr>
        <w:t>协议判定</w:t>
      </w:r>
    </w:p>
    <w:p w14:paraId="342990AD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协议判定为读取业务流量中的IP与端口。由于标签转发协议支持对IPv4与IPv6、TCP与UDP进行转发路径封装，因此，需要在协议判定中考虑协议的互斥性。</w:t>
      </w:r>
    </w:p>
    <w:p w14:paraId="1D612AE4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具体而言，在协议判定的过程中，IPv4与IPv6互斥，TCP与UDP互斥，协议判定存在四种组合，即IPv4与TCP、IPv4与UDP、IPv6与TCP、IPv6与UDP。完成判定之后，将执行业务匹配。特别的，业务流量的匹配将根据业务的组合区分进行。</w:t>
      </w:r>
    </w:p>
    <w:p w14:paraId="4EB4A10D">
      <w:pPr>
        <w:pStyle w:val="31"/>
        <w:numPr>
          <w:ilvl w:val="0"/>
          <w:numId w:val="5"/>
        </w:numPr>
        <w:spacing w:line="360" w:lineRule="auto"/>
        <w:ind w:firstLineChars="0"/>
        <w:rPr>
          <w:rFonts w:ascii="Times New Roman" w:eastAsia="仿宋"/>
          <w:b/>
          <w:bCs/>
          <w:sz w:val="32"/>
          <w:szCs w:val="32"/>
        </w:rPr>
      </w:pPr>
      <w:r>
        <w:rPr>
          <w:rFonts w:hint="eastAsia" w:ascii="Times New Roman" w:eastAsia="仿宋"/>
          <w:b/>
          <w:bCs/>
          <w:sz w:val="32"/>
          <w:szCs w:val="32"/>
        </w:rPr>
        <w:t>业务匹配</w:t>
      </w:r>
    </w:p>
    <w:p w14:paraId="14308E69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在完成了业务协议的判定之后，封装节点将执行业务匹配。封装节点首先读取业务中的IP信息与端口信息，判定信息协议的类型，随后在表项中执行匹配。以IPv4的业务匹配表为例，表项的格式如下：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050"/>
        <w:gridCol w:w="3481"/>
      </w:tblGrid>
      <w:tr w14:paraId="115DA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  <w:vAlign w:val="center"/>
          </w:tcPr>
          <w:p w14:paraId="6785C183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hint="eastAsia" w:ascii="Times New Roman" w:eastAsia="仿宋"/>
                <w:sz w:val="32"/>
                <w:szCs w:val="32"/>
              </w:rPr>
              <w:t>表项：flep_ipv4_classifier</w:t>
            </w:r>
          </w:p>
        </w:tc>
      </w:tr>
      <w:tr w14:paraId="01111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51B5AE2E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eastAsia="仿宋"/>
                <w:b/>
                <w:bCs/>
                <w:sz w:val="32"/>
                <w:szCs w:val="32"/>
              </w:rPr>
              <w:t>参数</w:t>
            </w:r>
          </w:p>
        </w:tc>
        <w:tc>
          <w:tcPr>
            <w:tcW w:w="2050" w:type="dxa"/>
            <w:vAlign w:val="center"/>
          </w:tcPr>
          <w:p w14:paraId="41E7EBEF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eastAsia="仿宋"/>
                <w:b/>
                <w:bCs/>
                <w:sz w:val="32"/>
                <w:szCs w:val="32"/>
              </w:rPr>
              <w:t>匹配类型</w:t>
            </w:r>
          </w:p>
        </w:tc>
        <w:tc>
          <w:tcPr>
            <w:tcW w:w="3481" w:type="dxa"/>
            <w:vAlign w:val="center"/>
          </w:tcPr>
          <w:p w14:paraId="795305C4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eastAsia="仿宋"/>
                <w:b/>
                <w:bCs/>
                <w:sz w:val="32"/>
                <w:szCs w:val="32"/>
              </w:rPr>
              <w:t>掩码设置</w:t>
            </w:r>
          </w:p>
        </w:tc>
      </w:tr>
      <w:tr w14:paraId="396D0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07B22331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hint="eastAsia" w:ascii="Times New Roman" w:eastAsia="仿宋"/>
                <w:sz w:val="32"/>
                <w:szCs w:val="32"/>
              </w:rPr>
              <w:t>IPv4目的地址</w:t>
            </w:r>
          </w:p>
        </w:tc>
        <w:tc>
          <w:tcPr>
            <w:tcW w:w="2050" w:type="dxa"/>
            <w:vMerge w:val="restart"/>
            <w:vAlign w:val="center"/>
          </w:tcPr>
          <w:p w14:paraId="57FCB11E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hint="eastAsia" w:ascii="Times New Roman" w:eastAsia="仿宋"/>
                <w:sz w:val="32"/>
                <w:szCs w:val="32"/>
              </w:rPr>
              <w:t>Ternary</w:t>
            </w:r>
          </w:p>
        </w:tc>
        <w:tc>
          <w:tcPr>
            <w:tcW w:w="3481" w:type="dxa"/>
            <w:vMerge w:val="restart"/>
            <w:vAlign w:val="center"/>
          </w:tcPr>
          <w:p w14:paraId="1423B896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hint="eastAsia" w:ascii="Times New Roman" w:eastAsia="仿宋"/>
                <w:sz w:val="32"/>
                <w:szCs w:val="32"/>
              </w:rPr>
              <w:t>掩码设置支持前缀匹配</w:t>
            </w:r>
          </w:p>
        </w:tc>
      </w:tr>
      <w:tr w14:paraId="77505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265FAEB5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hint="eastAsia" w:ascii="Times New Roman" w:eastAsia="仿宋"/>
                <w:sz w:val="32"/>
                <w:szCs w:val="32"/>
              </w:rPr>
              <w:t>IPv4源地址</w:t>
            </w:r>
          </w:p>
        </w:tc>
        <w:tc>
          <w:tcPr>
            <w:tcW w:w="2050" w:type="dxa"/>
            <w:vMerge w:val="continue"/>
            <w:vAlign w:val="center"/>
          </w:tcPr>
          <w:p w14:paraId="3FBE203C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</w:p>
        </w:tc>
        <w:tc>
          <w:tcPr>
            <w:tcW w:w="3481" w:type="dxa"/>
            <w:vMerge w:val="continue"/>
            <w:vAlign w:val="center"/>
          </w:tcPr>
          <w:p w14:paraId="7BE76666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</w:p>
        </w:tc>
      </w:tr>
      <w:tr w14:paraId="24B1B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603EB000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hint="eastAsia" w:ascii="Times New Roman" w:eastAsia="仿宋"/>
                <w:sz w:val="32"/>
                <w:szCs w:val="32"/>
              </w:rPr>
              <w:t>IPv4协议号</w:t>
            </w:r>
          </w:p>
        </w:tc>
        <w:tc>
          <w:tcPr>
            <w:tcW w:w="2050" w:type="dxa"/>
            <w:vMerge w:val="continue"/>
            <w:vAlign w:val="center"/>
          </w:tcPr>
          <w:p w14:paraId="5FF2DB39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</w:p>
        </w:tc>
        <w:tc>
          <w:tcPr>
            <w:tcW w:w="3481" w:type="dxa"/>
            <w:vMerge w:val="restart"/>
            <w:vAlign w:val="center"/>
          </w:tcPr>
          <w:p w14:paraId="02D0F0C7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hint="eastAsia" w:ascii="Times New Roman" w:eastAsia="仿宋"/>
                <w:sz w:val="32"/>
                <w:szCs w:val="32"/>
              </w:rPr>
              <w:t>不支持前缀匹配，掩码需要为全0或者全1</w:t>
            </w:r>
          </w:p>
        </w:tc>
      </w:tr>
      <w:tr w14:paraId="48798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50F8D3D8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hint="eastAsia" w:ascii="Times New Roman" w:eastAsia="仿宋"/>
                <w:sz w:val="32"/>
                <w:szCs w:val="32"/>
              </w:rPr>
              <w:t>UDP源端口</w:t>
            </w:r>
          </w:p>
        </w:tc>
        <w:tc>
          <w:tcPr>
            <w:tcW w:w="2050" w:type="dxa"/>
            <w:vMerge w:val="continue"/>
            <w:vAlign w:val="center"/>
          </w:tcPr>
          <w:p w14:paraId="74E3DCD5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</w:p>
        </w:tc>
        <w:tc>
          <w:tcPr>
            <w:tcW w:w="3481" w:type="dxa"/>
            <w:vMerge w:val="continue"/>
            <w:vAlign w:val="center"/>
          </w:tcPr>
          <w:p w14:paraId="649BCFA3">
            <w:pPr>
              <w:spacing w:before="156" w:beforeLines="50" w:after="156" w:afterLines="50" w:line="36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</w:p>
        </w:tc>
      </w:tr>
      <w:tr w14:paraId="468D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7B095DC4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hint="eastAsia" w:ascii="Times New Roman" w:eastAsia="仿宋"/>
                <w:sz w:val="32"/>
                <w:szCs w:val="32"/>
              </w:rPr>
              <w:t>UDP目的端口</w:t>
            </w:r>
          </w:p>
        </w:tc>
        <w:tc>
          <w:tcPr>
            <w:tcW w:w="2050" w:type="dxa"/>
            <w:vMerge w:val="continue"/>
            <w:vAlign w:val="center"/>
          </w:tcPr>
          <w:p w14:paraId="315F2689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</w:p>
        </w:tc>
        <w:tc>
          <w:tcPr>
            <w:tcW w:w="3481" w:type="dxa"/>
            <w:vMerge w:val="continue"/>
            <w:vAlign w:val="center"/>
          </w:tcPr>
          <w:p w14:paraId="2A5629C4">
            <w:pPr>
              <w:spacing w:before="156" w:beforeLines="50" w:after="156" w:afterLines="50" w:line="36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</w:p>
        </w:tc>
      </w:tr>
      <w:tr w14:paraId="35F3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298F5A7C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hint="eastAsia" w:ascii="Times New Roman" w:eastAsia="仿宋"/>
                <w:sz w:val="32"/>
                <w:szCs w:val="32"/>
              </w:rPr>
              <w:t>TCP源端口</w:t>
            </w:r>
          </w:p>
        </w:tc>
        <w:tc>
          <w:tcPr>
            <w:tcW w:w="2050" w:type="dxa"/>
            <w:vMerge w:val="continue"/>
            <w:vAlign w:val="center"/>
          </w:tcPr>
          <w:p w14:paraId="7B8F212F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</w:p>
        </w:tc>
        <w:tc>
          <w:tcPr>
            <w:tcW w:w="3481" w:type="dxa"/>
            <w:vMerge w:val="continue"/>
            <w:vAlign w:val="center"/>
          </w:tcPr>
          <w:p w14:paraId="3CF8F59F">
            <w:pPr>
              <w:spacing w:before="156" w:beforeLines="50" w:after="156" w:afterLines="50" w:line="36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</w:p>
        </w:tc>
      </w:tr>
      <w:tr w14:paraId="1774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4B58514D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hint="eastAsia" w:ascii="Times New Roman" w:eastAsia="仿宋"/>
                <w:sz w:val="32"/>
                <w:szCs w:val="32"/>
              </w:rPr>
              <w:t>TCP目的端口</w:t>
            </w:r>
          </w:p>
        </w:tc>
        <w:tc>
          <w:tcPr>
            <w:tcW w:w="2050" w:type="dxa"/>
            <w:vMerge w:val="continue"/>
            <w:vAlign w:val="center"/>
          </w:tcPr>
          <w:p w14:paraId="1633E6C5">
            <w:pPr>
              <w:spacing w:before="156" w:beforeLines="50" w:after="156" w:afterLines="50" w:line="24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</w:p>
        </w:tc>
        <w:tc>
          <w:tcPr>
            <w:tcW w:w="3481" w:type="dxa"/>
            <w:vMerge w:val="continue"/>
            <w:vAlign w:val="center"/>
          </w:tcPr>
          <w:p w14:paraId="6028C757">
            <w:pPr>
              <w:spacing w:before="156" w:beforeLines="50" w:after="156" w:afterLines="50" w:line="360" w:lineRule="auto"/>
              <w:ind w:firstLine="0" w:firstLineChars="0"/>
              <w:jc w:val="center"/>
              <w:rPr>
                <w:rFonts w:ascii="Times New Roman" w:eastAsia="仿宋"/>
                <w:sz w:val="32"/>
                <w:szCs w:val="32"/>
              </w:rPr>
            </w:pPr>
          </w:p>
        </w:tc>
      </w:tr>
    </w:tbl>
    <w:p w14:paraId="6D0652AA">
      <w:pPr>
        <w:pStyle w:val="31"/>
        <w:numPr>
          <w:ilvl w:val="0"/>
          <w:numId w:val="5"/>
        </w:numPr>
        <w:spacing w:line="360" w:lineRule="auto"/>
        <w:ind w:firstLineChars="0"/>
        <w:rPr>
          <w:rFonts w:ascii="Times New Roman" w:eastAsia="仿宋"/>
          <w:b/>
          <w:bCs/>
          <w:sz w:val="32"/>
          <w:szCs w:val="32"/>
        </w:rPr>
      </w:pPr>
      <w:r>
        <w:rPr>
          <w:rFonts w:hint="eastAsia" w:ascii="Times New Roman" w:eastAsia="仿宋"/>
          <w:b/>
          <w:bCs/>
          <w:sz w:val="32"/>
          <w:szCs w:val="32"/>
        </w:rPr>
        <w:t>路径封装</w:t>
      </w:r>
    </w:p>
    <w:p w14:paraId="5DC4BC59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根据匹配的结果，执行路径封装的操作。路径封装的动作行为在表flep_ipv4_classifier与flep_ipv6_classifier中执行，动作定义为create_flep，采用流水线包含label_depth与identify_index两项参数。</w:t>
      </w:r>
    </w:p>
    <w:p w14:paraId="2B9E4AA1">
      <w:pPr>
        <w:spacing w:line="360" w:lineRule="auto"/>
        <w:ind w:firstLine="0" w:firstLineChars="0"/>
        <w:jc w:val="center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drawing>
          <wp:inline distT="0" distB="0" distL="0" distR="0">
            <wp:extent cx="3057525" cy="4144010"/>
            <wp:effectExtent l="0" t="0" r="0" b="8890"/>
            <wp:docPr id="13765273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27343" name="图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1264" cy="414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AD0F3">
      <w:pPr>
        <w:spacing w:line="360" w:lineRule="auto"/>
        <w:ind w:firstLine="0" w:firstLineChars="0"/>
        <w:jc w:val="center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图3 路径封装流程图</w:t>
      </w:r>
    </w:p>
    <w:p w14:paraId="4E3D752B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其中label_depth用于表示标签列表的总长度，并且在循环的过程中进行周期控制，流程图如图3所示。identify_index用以在循环的过程中进行定位，保证不用业务流量封装的隔离性。</w:t>
      </w:r>
    </w:p>
    <w:p w14:paraId="4155C606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在循环的过程中，每一次循环优先且至多封装5个label。封装节点将根据控制器下发的标签表项自动的进行循环封装，知道达到label_depth的长度。</w:t>
      </w:r>
    </w:p>
    <w:p w14:paraId="64063170">
      <w:pPr>
        <w:pStyle w:val="31"/>
        <w:numPr>
          <w:ilvl w:val="0"/>
          <w:numId w:val="4"/>
        </w:numPr>
        <w:spacing w:line="360" w:lineRule="auto"/>
        <w:ind w:firstLineChars="0"/>
        <w:rPr>
          <w:rFonts w:ascii="Times New Roman" w:eastAsia="楷体"/>
          <w:b/>
          <w:bCs/>
          <w:sz w:val="32"/>
          <w:szCs w:val="32"/>
        </w:rPr>
      </w:pPr>
      <w:r>
        <w:rPr>
          <w:rFonts w:hint="eastAsia" w:ascii="Times New Roman" w:eastAsia="楷体"/>
          <w:b/>
          <w:bCs/>
          <w:sz w:val="32"/>
          <w:szCs w:val="32"/>
        </w:rPr>
        <w:t>标签转发</w:t>
      </w:r>
    </w:p>
    <w:p w14:paraId="6F0CAB75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如果配置了开启密钥验证，则标签转发需要先进行密钥验证（详见步骤五）。如果验证通过，或者是未开启密钥验证，执行以下的步骤进行标签转发。</w:t>
      </w:r>
    </w:p>
    <w:p w14:paraId="07C61C3A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t>（1）读取执行标签，exact匹配，确定转发端口</w:t>
      </w:r>
    </w:p>
    <w:p w14:paraId="56358CE0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t>（2）将执行标签的值设定为下一个执行标签，同时剩余标签深度-1</w:t>
      </w:r>
    </w:p>
    <w:p w14:paraId="346751BF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t>（3）弹出当前执行标签。</w:t>
      </w:r>
    </w:p>
    <w:p w14:paraId="069CF732">
      <w:pPr>
        <w:pStyle w:val="31"/>
        <w:numPr>
          <w:ilvl w:val="0"/>
          <w:numId w:val="4"/>
        </w:numPr>
        <w:spacing w:line="360" w:lineRule="auto"/>
        <w:ind w:firstLineChars="0"/>
        <w:rPr>
          <w:rFonts w:ascii="Times New Roman" w:eastAsia="楷体"/>
          <w:b/>
          <w:bCs/>
          <w:sz w:val="32"/>
          <w:szCs w:val="32"/>
        </w:rPr>
      </w:pPr>
      <w:r>
        <w:rPr>
          <w:rFonts w:hint="eastAsia" w:ascii="Times New Roman" w:eastAsia="楷体"/>
          <w:b/>
          <w:bCs/>
          <w:sz w:val="32"/>
          <w:szCs w:val="32"/>
        </w:rPr>
        <w:t>路径解封装</w:t>
      </w:r>
    </w:p>
    <w:p w14:paraId="7AE89DAC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在封装节点与处理节点中，</w:t>
      </w:r>
      <w:r>
        <w:rPr>
          <w:rFonts w:ascii="Times New Roman" w:eastAsia="仿宋"/>
          <w:sz w:val="32"/>
          <w:szCs w:val="32"/>
        </w:rPr>
        <w:t>如果剩余标签深度为0，则移除该协议头，解除标签路径，并且将被封装协议号写入Ethernet Type，恢复原始数据包状态。</w:t>
      </w:r>
    </w:p>
    <w:p w14:paraId="6D6306F3">
      <w:pPr>
        <w:pStyle w:val="31"/>
        <w:numPr>
          <w:ilvl w:val="0"/>
          <w:numId w:val="4"/>
        </w:numPr>
        <w:spacing w:line="360" w:lineRule="auto"/>
        <w:ind w:firstLineChars="0"/>
        <w:rPr>
          <w:rFonts w:ascii="Times New Roman" w:eastAsia="楷体"/>
          <w:b/>
          <w:bCs/>
          <w:sz w:val="32"/>
          <w:szCs w:val="32"/>
        </w:rPr>
      </w:pPr>
      <w:r>
        <w:rPr>
          <w:rFonts w:hint="eastAsia" w:ascii="Times New Roman" w:eastAsia="楷体"/>
          <w:b/>
          <w:bCs/>
          <w:sz w:val="32"/>
          <w:szCs w:val="32"/>
        </w:rPr>
        <w:t>密钥插入</w:t>
      </w:r>
    </w:p>
    <w:p w14:paraId="769041DA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密钥插入采用异步执行的方式进行。首先可编程交换机白盒面向控制器的NTP服务器获取时间信息完成时间同步，随后可编程交换机白盒面根据当前的UNIX时间计算密钥值，并且维护默认30s一次的密钥计算。可编程交换机完成计算之后，将当前的密钥下发至数据平面封装表项中，在路径封装的过程中执行密钥封装。</w:t>
      </w:r>
    </w:p>
    <w:p w14:paraId="00FE318F">
      <w:pPr>
        <w:pStyle w:val="31"/>
        <w:numPr>
          <w:ilvl w:val="0"/>
          <w:numId w:val="4"/>
        </w:numPr>
        <w:spacing w:line="360" w:lineRule="auto"/>
        <w:ind w:firstLineChars="0"/>
        <w:rPr>
          <w:rFonts w:ascii="Times New Roman" w:eastAsia="楷体"/>
          <w:b/>
          <w:bCs/>
          <w:sz w:val="32"/>
          <w:szCs w:val="32"/>
        </w:rPr>
      </w:pPr>
      <w:r>
        <w:rPr>
          <w:rFonts w:hint="eastAsia" w:ascii="Times New Roman" w:eastAsia="楷体"/>
          <w:b/>
          <w:bCs/>
          <w:sz w:val="32"/>
          <w:szCs w:val="32"/>
        </w:rPr>
        <w:t>密钥验证</w:t>
      </w:r>
    </w:p>
    <w:p w14:paraId="288657E1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t>P4交换机的白盒面配置运行密码更新程序，周期性的计算（默认每30s）计算一个6位数的整数密码，密码计算的密钥需要在配置密码计算的时候指定，并将该下发密码验证表项。具体验证的步骤如下：</w:t>
      </w:r>
    </w:p>
    <w:p w14:paraId="44E6174C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t>（1）下发一个密码值和一个对应的编号值（其实就是两个match的key）</w:t>
      </w:r>
    </w:p>
    <w:p w14:paraId="4A18A02A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t>（2）密码验证开启表项。设定一个meta，有0,1,2三个取值的状态，默认为0。设定一个table，match为密码全1。基于以下的状态给meta赋值，并根据meta选择是否要执行(3)，</w:t>
      </w:r>
      <w:r>
        <w:rPr>
          <w:rFonts w:hint="eastAsia" w:ascii="Times New Roman" w:eastAsia="仿宋"/>
          <w:sz w:val="32"/>
          <w:szCs w:val="32"/>
        </w:rPr>
        <w:t>流程图如图4所示，</w:t>
      </w:r>
      <w:r>
        <w:rPr>
          <w:rFonts w:ascii="Times New Roman" w:eastAsia="仿宋"/>
          <w:sz w:val="32"/>
          <w:szCs w:val="32"/>
        </w:rPr>
        <w:t>执行情况如下：</w:t>
      </w:r>
    </w:p>
    <w:tbl>
      <w:tblPr>
        <w:tblStyle w:val="15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226"/>
        <w:gridCol w:w="1594"/>
        <w:gridCol w:w="2583"/>
      </w:tblGrid>
      <w:tr w14:paraId="78647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0" w:type="dxa"/>
            <w:shd w:val="clear" w:color="auto" w:fill="D9D9D9"/>
          </w:tcPr>
          <w:p w14:paraId="2DC55821">
            <w:pPr>
              <w:spacing w:line="360" w:lineRule="auto"/>
              <w:ind w:firstLine="0" w:firstLineChars="0"/>
              <w:jc w:val="center"/>
              <w:rPr>
                <w:rFonts w:ascii="Times New Roman" w:eastAsia="仿宋"/>
                <w:b/>
                <w:bCs/>
                <w:sz w:val="32"/>
                <w:szCs w:val="32"/>
              </w:rPr>
            </w:pPr>
            <w:r>
              <w:rPr>
                <w:rFonts w:ascii="Times New Roman" w:eastAsia="仿宋"/>
                <w:b/>
                <w:bCs/>
                <w:sz w:val="32"/>
                <w:szCs w:val="32"/>
              </w:rPr>
              <w:t>预期状态</w:t>
            </w:r>
          </w:p>
        </w:tc>
        <w:tc>
          <w:tcPr>
            <w:tcW w:w="2226" w:type="dxa"/>
            <w:shd w:val="clear" w:color="auto" w:fill="D9D9D9"/>
          </w:tcPr>
          <w:p w14:paraId="06D2C0E9">
            <w:pPr>
              <w:spacing w:line="360" w:lineRule="auto"/>
              <w:ind w:firstLine="0" w:firstLineChars="0"/>
              <w:jc w:val="center"/>
              <w:rPr>
                <w:rFonts w:ascii="Times New Roman" w:eastAsia="仿宋"/>
                <w:b/>
                <w:bCs/>
                <w:sz w:val="32"/>
                <w:szCs w:val="32"/>
              </w:rPr>
            </w:pPr>
            <w:r>
              <w:rPr>
                <w:rFonts w:ascii="Times New Roman" w:eastAsia="仿宋"/>
                <w:b/>
                <w:bCs/>
                <w:sz w:val="32"/>
                <w:szCs w:val="32"/>
              </w:rPr>
              <w:t>全1表项下发情况</w:t>
            </w:r>
          </w:p>
        </w:tc>
        <w:tc>
          <w:tcPr>
            <w:tcW w:w="1594" w:type="dxa"/>
            <w:shd w:val="clear" w:color="auto" w:fill="D9D9D9"/>
          </w:tcPr>
          <w:p w14:paraId="5E3F52BB">
            <w:pPr>
              <w:spacing w:line="360" w:lineRule="auto"/>
              <w:ind w:firstLine="0" w:firstLineChars="0"/>
              <w:jc w:val="center"/>
              <w:rPr>
                <w:rFonts w:ascii="Times New Roman" w:eastAsia="仿宋"/>
                <w:b/>
                <w:bCs/>
                <w:sz w:val="32"/>
                <w:szCs w:val="32"/>
              </w:rPr>
            </w:pPr>
            <w:r>
              <w:rPr>
                <w:rFonts w:ascii="Times New Roman" w:eastAsia="仿宋"/>
                <w:b/>
                <w:bCs/>
                <w:sz w:val="32"/>
                <w:szCs w:val="32"/>
              </w:rPr>
              <w:t>meta设定值</w:t>
            </w:r>
          </w:p>
        </w:tc>
        <w:tc>
          <w:tcPr>
            <w:tcW w:w="2583" w:type="dxa"/>
            <w:shd w:val="clear" w:color="auto" w:fill="D9D9D9"/>
          </w:tcPr>
          <w:p w14:paraId="3E55B097">
            <w:pPr>
              <w:spacing w:line="360" w:lineRule="auto"/>
              <w:ind w:firstLine="0" w:firstLineChars="0"/>
              <w:jc w:val="center"/>
              <w:rPr>
                <w:rFonts w:ascii="Times New Roman" w:eastAsia="仿宋"/>
                <w:b/>
                <w:bCs/>
                <w:sz w:val="32"/>
                <w:szCs w:val="32"/>
              </w:rPr>
            </w:pPr>
            <w:r>
              <w:rPr>
                <w:rFonts w:ascii="Times New Roman" w:eastAsia="仿宋"/>
                <w:b/>
                <w:bCs/>
                <w:sz w:val="32"/>
                <w:szCs w:val="32"/>
              </w:rPr>
              <w:t>是否执行（3）</w:t>
            </w:r>
          </w:p>
        </w:tc>
      </w:tr>
      <w:tr w14:paraId="185FC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shd w:val="clear" w:color="auto" w:fill="auto"/>
          </w:tcPr>
          <w:p w14:paraId="412FAB63">
            <w:pPr>
              <w:spacing w:line="360" w:lineRule="auto"/>
              <w:ind w:firstLine="0" w:firstLineChars="0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ascii="Times New Roman" w:eastAsia="仿宋"/>
                <w:sz w:val="32"/>
                <w:szCs w:val="32"/>
              </w:rPr>
              <w:t>开启密码验证</w:t>
            </w:r>
          </w:p>
        </w:tc>
        <w:tc>
          <w:tcPr>
            <w:tcW w:w="2226" w:type="dxa"/>
            <w:shd w:val="clear" w:color="auto" w:fill="auto"/>
          </w:tcPr>
          <w:p w14:paraId="5CCEBEEB">
            <w:pPr>
              <w:spacing w:line="360" w:lineRule="auto"/>
              <w:ind w:firstLine="0" w:firstLineChars="0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ascii="Times New Roman" w:eastAsia="仿宋"/>
                <w:sz w:val="32"/>
                <w:szCs w:val="32"/>
              </w:rPr>
              <w:t>不下发这个表项</w:t>
            </w:r>
          </w:p>
        </w:tc>
        <w:tc>
          <w:tcPr>
            <w:tcW w:w="1594" w:type="dxa"/>
            <w:shd w:val="clear" w:color="auto" w:fill="auto"/>
          </w:tcPr>
          <w:p w14:paraId="027F21EE">
            <w:pPr>
              <w:spacing w:line="360" w:lineRule="auto"/>
              <w:ind w:firstLine="0" w:firstLineChars="0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ascii="Times New Roman" w:eastAsia="仿宋"/>
                <w:sz w:val="32"/>
                <w:szCs w:val="32"/>
              </w:rPr>
              <w:t>始终默认为0</w:t>
            </w:r>
          </w:p>
        </w:tc>
        <w:tc>
          <w:tcPr>
            <w:tcW w:w="2583" w:type="dxa"/>
            <w:shd w:val="clear" w:color="auto" w:fill="auto"/>
          </w:tcPr>
          <w:p w14:paraId="624551CB">
            <w:pPr>
              <w:spacing w:line="360" w:lineRule="auto"/>
              <w:ind w:firstLine="0" w:firstLineChars="0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ascii="Times New Roman" w:eastAsia="仿宋"/>
                <w:sz w:val="32"/>
                <w:szCs w:val="32"/>
              </w:rPr>
              <w:t>通过if设定为执行</w:t>
            </w:r>
          </w:p>
        </w:tc>
      </w:tr>
      <w:tr w14:paraId="682A9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shd w:val="clear" w:color="auto" w:fill="auto"/>
          </w:tcPr>
          <w:p w14:paraId="2DEDC3A8">
            <w:pPr>
              <w:spacing w:line="360" w:lineRule="auto"/>
              <w:ind w:firstLine="0" w:firstLineChars="0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ascii="Times New Roman" w:eastAsia="仿宋"/>
                <w:sz w:val="32"/>
                <w:szCs w:val="32"/>
              </w:rPr>
              <w:t>关闭密码验证并且密码为全1（合法）</w:t>
            </w:r>
          </w:p>
        </w:tc>
        <w:tc>
          <w:tcPr>
            <w:tcW w:w="2226" w:type="dxa"/>
            <w:shd w:val="clear" w:color="auto" w:fill="auto"/>
          </w:tcPr>
          <w:p w14:paraId="1577C1DA">
            <w:pPr>
              <w:spacing w:line="360" w:lineRule="auto"/>
              <w:ind w:firstLine="0" w:firstLineChars="0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ascii="Times New Roman" w:eastAsia="仿宋"/>
                <w:sz w:val="32"/>
                <w:szCs w:val="32"/>
              </w:rPr>
              <w:t>下发全1的表项，设定默认action为meta设定为2</w:t>
            </w:r>
          </w:p>
        </w:tc>
        <w:tc>
          <w:tcPr>
            <w:tcW w:w="1594" w:type="dxa"/>
            <w:shd w:val="clear" w:color="auto" w:fill="auto"/>
          </w:tcPr>
          <w:p w14:paraId="2E54760E">
            <w:pPr>
              <w:spacing w:line="360" w:lineRule="auto"/>
              <w:ind w:firstLine="0" w:firstLineChars="0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ascii="Times New Roman" w:eastAsia="仿宋"/>
                <w:sz w:val="32"/>
                <w:szCs w:val="32"/>
              </w:rPr>
              <w:t>action里面如果命中则meta设为1</w:t>
            </w:r>
          </w:p>
        </w:tc>
        <w:tc>
          <w:tcPr>
            <w:tcW w:w="2583" w:type="dxa"/>
            <w:shd w:val="clear" w:color="auto" w:fill="auto"/>
          </w:tcPr>
          <w:p w14:paraId="7941B0DA">
            <w:pPr>
              <w:spacing w:line="360" w:lineRule="auto"/>
              <w:ind w:firstLine="0" w:firstLineChars="0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ascii="Times New Roman" w:eastAsia="仿宋"/>
                <w:sz w:val="32"/>
                <w:szCs w:val="32"/>
              </w:rPr>
              <w:t>不执行（3），直接执行5转发功能</w:t>
            </w:r>
          </w:p>
        </w:tc>
      </w:tr>
      <w:tr w14:paraId="2AB54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shd w:val="clear" w:color="auto" w:fill="auto"/>
          </w:tcPr>
          <w:p w14:paraId="45DA86E7">
            <w:pPr>
              <w:spacing w:line="360" w:lineRule="auto"/>
              <w:ind w:firstLine="0" w:firstLineChars="0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ascii="Times New Roman" w:eastAsia="仿宋"/>
                <w:sz w:val="32"/>
                <w:szCs w:val="32"/>
              </w:rPr>
              <w:t>关闭密码验证并且密码不为全1（非法）</w:t>
            </w:r>
          </w:p>
        </w:tc>
        <w:tc>
          <w:tcPr>
            <w:tcW w:w="2226" w:type="dxa"/>
            <w:shd w:val="clear" w:color="auto" w:fill="auto"/>
          </w:tcPr>
          <w:p w14:paraId="6B76212F">
            <w:pPr>
              <w:spacing w:line="360" w:lineRule="auto"/>
              <w:ind w:firstLine="0" w:firstLineChars="0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ascii="Times New Roman" w:eastAsia="仿宋"/>
                <w:sz w:val="32"/>
                <w:szCs w:val="32"/>
              </w:rPr>
              <w:t>同上，下发全1的表项，设定默认action为meta设定为2</w:t>
            </w:r>
          </w:p>
        </w:tc>
        <w:tc>
          <w:tcPr>
            <w:tcW w:w="1594" w:type="dxa"/>
            <w:shd w:val="clear" w:color="auto" w:fill="auto"/>
          </w:tcPr>
          <w:p w14:paraId="2DE3FD0A">
            <w:pPr>
              <w:spacing w:line="360" w:lineRule="auto"/>
              <w:ind w:firstLine="0" w:firstLineChars="0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ascii="Times New Roman" w:eastAsia="仿宋"/>
                <w:sz w:val="32"/>
                <w:szCs w:val="32"/>
              </w:rPr>
              <w:t>2，不会命中，由默认的action设定</w:t>
            </w:r>
          </w:p>
        </w:tc>
        <w:tc>
          <w:tcPr>
            <w:tcW w:w="2583" w:type="dxa"/>
            <w:shd w:val="clear" w:color="auto" w:fill="auto"/>
          </w:tcPr>
          <w:p w14:paraId="1E6F30F1">
            <w:pPr>
              <w:spacing w:line="360" w:lineRule="auto"/>
              <w:ind w:firstLine="0" w:firstLineChars="0"/>
              <w:rPr>
                <w:rFonts w:ascii="Times New Roman" w:eastAsia="仿宋"/>
                <w:sz w:val="32"/>
                <w:szCs w:val="32"/>
              </w:rPr>
            </w:pPr>
            <w:r>
              <w:rPr>
                <w:rFonts w:ascii="Times New Roman" w:eastAsia="仿宋"/>
                <w:sz w:val="32"/>
                <w:szCs w:val="32"/>
              </w:rPr>
              <w:t>不执行（3），直接丢弃</w:t>
            </w:r>
          </w:p>
        </w:tc>
      </w:tr>
    </w:tbl>
    <w:p w14:paraId="188BE2E4">
      <w:pPr>
        <w:spacing w:line="360" w:lineRule="auto"/>
        <w:ind w:firstLine="0" w:firstLineChars="0"/>
        <w:jc w:val="center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drawing>
          <wp:inline distT="0" distB="0" distL="0" distR="0">
            <wp:extent cx="3985895" cy="6035675"/>
            <wp:effectExtent l="0" t="0" r="0" b="3175"/>
            <wp:docPr id="734302002" name="图片 10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02002" name="图片 10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7355" cy="603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2B7FD">
      <w:pPr>
        <w:spacing w:line="360" w:lineRule="auto"/>
        <w:ind w:firstLine="0" w:firstLineChars="0"/>
        <w:jc w:val="center"/>
        <w:rPr>
          <w:rFonts w:ascii="Times New Roman" w:eastAsia="仿宋"/>
          <w:sz w:val="32"/>
          <w:szCs w:val="32"/>
        </w:rPr>
      </w:pPr>
      <w:r>
        <w:rPr>
          <w:rFonts w:hint="eastAsia" w:ascii="Times New Roman" w:eastAsia="仿宋"/>
          <w:sz w:val="32"/>
          <w:szCs w:val="32"/>
        </w:rPr>
        <w:t>图4 Meta执行流程图</w:t>
      </w:r>
    </w:p>
    <w:p w14:paraId="6E8F132D">
      <w:pPr>
        <w:spacing w:line="360" w:lineRule="auto"/>
        <w:ind w:firstLine="640"/>
        <w:rPr>
          <w:rFonts w:ascii="Times New Roman" w:eastAsia="仿宋"/>
          <w:sz w:val="32"/>
          <w:szCs w:val="32"/>
        </w:rPr>
      </w:pPr>
      <w:r>
        <w:rPr>
          <w:rFonts w:ascii="Times New Roman" w:eastAsia="仿宋"/>
          <w:sz w:val="32"/>
          <w:szCs w:val="32"/>
        </w:rPr>
        <w:t>（3）匹配验证密码和密钥编号，如果命中，则通过判定条件（</w:t>
      </w:r>
      <w:r>
        <w:rPr>
          <w:rFonts w:hint="eastAsia" w:ascii="Times New Roman" w:eastAsia="仿宋"/>
          <w:sz w:val="32"/>
          <w:szCs w:val="32"/>
        </w:rPr>
        <w:t>存在</w:t>
      </w:r>
      <w:r>
        <w:rPr>
          <w:rFonts w:ascii="Times New Roman" w:eastAsia="仿宋"/>
          <w:sz w:val="32"/>
          <w:szCs w:val="32"/>
        </w:rPr>
        <w:t>一个meta置1，或者if xxx.hit</w:t>
      </w:r>
      <w:r>
        <w:rPr>
          <w:rFonts w:hint="eastAsia" w:ascii="Times New Roman" w:eastAsia="仿宋"/>
          <w:sz w:val="32"/>
          <w:szCs w:val="32"/>
        </w:rPr>
        <w:t>值为True</w:t>
      </w:r>
      <w:r>
        <w:rPr>
          <w:rFonts w:ascii="Times New Roman" w:eastAsia="仿宋"/>
          <w:sz w:val="32"/>
          <w:szCs w:val="32"/>
        </w:rPr>
        <w:t>）。如果没有命中，则直接drop</w:t>
      </w:r>
      <w:r>
        <w:rPr>
          <w:rFonts w:hint="eastAsia" w:ascii="Times New Roman" w:eastAsia="仿宋"/>
          <w:sz w:val="32"/>
          <w:szCs w:val="32"/>
        </w:rPr>
        <w:t>。</w:t>
      </w:r>
    </w:p>
    <w:p w14:paraId="269FA1D4">
      <w:pPr>
        <w:spacing w:line="360" w:lineRule="auto"/>
        <w:ind w:firstLine="0" w:firstLineChars="0"/>
        <w:rPr>
          <w:rFonts w:ascii="Times New Roman" w:eastAsia="仿宋"/>
          <w:sz w:val="32"/>
          <w:szCs w:val="32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pgBorders w:offsetFrom="page">
        <w:top w:val="double" w:color="215E9A" w:themeColor="text2" w:themeTint="BF" w:sz="6" w:space="24"/>
        <w:left w:val="double" w:color="215E9A" w:themeColor="text2" w:themeTint="BF" w:sz="6" w:space="24"/>
        <w:bottom w:val="double" w:color="215E9A" w:themeColor="text2" w:themeTint="BF" w:sz="6" w:space="24"/>
        <w:right w:val="double" w:color="215E9A" w:themeColor="text2" w:themeTint="BF" w:sz="6" w:space="24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776E9">
    <w:pPr>
      <w:pStyle w:val="11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EBC26">
    <w:pPr>
      <w:pStyle w:val="1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5D68C">
    <w:pPr>
      <w:pStyle w:val="11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7E67B">
    <w:pPr>
      <w:pStyle w:val="12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9B978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DE046">
    <w:pPr>
      <w:pStyle w:val="12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D3951"/>
    <w:multiLevelType w:val="multilevel"/>
    <w:tmpl w:val="13DD3951"/>
    <w:lvl w:ilvl="0" w:tentative="0">
      <w:start w:val="1"/>
      <w:numFmt w:val="bullet"/>
      <w:lvlText w:val=""/>
      <w:lvlJc w:val="left"/>
      <w:pPr>
        <w:ind w:left="10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00" w:hanging="440"/>
      </w:pPr>
      <w:rPr>
        <w:rFonts w:hint="default" w:ascii="Wingdings" w:hAnsi="Wingdings"/>
      </w:rPr>
    </w:lvl>
  </w:abstractNum>
  <w:abstractNum w:abstractNumId="1">
    <w:nsid w:val="58D23ECB"/>
    <w:multiLevelType w:val="multilevel"/>
    <w:tmpl w:val="58D23ECB"/>
    <w:lvl w:ilvl="0" w:tentative="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CFD3141"/>
    <w:multiLevelType w:val="multilevel"/>
    <w:tmpl w:val="5CFD3141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6004C21"/>
    <w:multiLevelType w:val="multilevel"/>
    <w:tmpl w:val="66004C2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C024D08"/>
    <w:multiLevelType w:val="multilevel"/>
    <w:tmpl w:val="6C024D08"/>
    <w:lvl w:ilvl="0" w:tentative="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DF7B90"/>
    <w:rsid w:val="00001A39"/>
    <w:rsid w:val="000063EE"/>
    <w:rsid w:val="000249B2"/>
    <w:rsid w:val="00032BFD"/>
    <w:rsid w:val="00033BAB"/>
    <w:rsid w:val="00053224"/>
    <w:rsid w:val="000C4B13"/>
    <w:rsid w:val="000E1477"/>
    <w:rsid w:val="000E2D77"/>
    <w:rsid w:val="001221E8"/>
    <w:rsid w:val="0012602B"/>
    <w:rsid w:val="00134941"/>
    <w:rsid w:val="00146EB1"/>
    <w:rsid w:val="00177950"/>
    <w:rsid w:val="001E0B1F"/>
    <w:rsid w:val="0028305C"/>
    <w:rsid w:val="002A5BFE"/>
    <w:rsid w:val="00370CF9"/>
    <w:rsid w:val="00384E27"/>
    <w:rsid w:val="003E38DA"/>
    <w:rsid w:val="004D2E9D"/>
    <w:rsid w:val="004D3773"/>
    <w:rsid w:val="0050146F"/>
    <w:rsid w:val="00527EC9"/>
    <w:rsid w:val="00540F32"/>
    <w:rsid w:val="005B0309"/>
    <w:rsid w:val="005C3D03"/>
    <w:rsid w:val="0064172D"/>
    <w:rsid w:val="00670602"/>
    <w:rsid w:val="00681213"/>
    <w:rsid w:val="006C4F0B"/>
    <w:rsid w:val="006E52C4"/>
    <w:rsid w:val="006F6FCE"/>
    <w:rsid w:val="00751E57"/>
    <w:rsid w:val="00760DED"/>
    <w:rsid w:val="00770335"/>
    <w:rsid w:val="00773E75"/>
    <w:rsid w:val="007815F8"/>
    <w:rsid w:val="00783B41"/>
    <w:rsid w:val="007B328C"/>
    <w:rsid w:val="007D042D"/>
    <w:rsid w:val="007D46DC"/>
    <w:rsid w:val="007D6A6A"/>
    <w:rsid w:val="007E1F36"/>
    <w:rsid w:val="008037CF"/>
    <w:rsid w:val="0081268A"/>
    <w:rsid w:val="0083245A"/>
    <w:rsid w:val="00851EF7"/>
    <w:rsid w:val="008A68EC"/>
    <w:rsid w:val="008C03C8"/>
    <w:rsid w:val="008E7639"/>
    <w:rsid w:val="00906F59"/>
    <w:rsid w:val="00975971"/>
    <w:rsid w:val="00993D25"/>
    <w:rsid w:val="009A3D6C"/>
    <w:rsid w:val="009A65AA"/>
    <w:rsid w:val="00A162E8"/>
    <w:rsid w:val="00A478B8"/>
    <w:rsid w:val="00AD6894"/>
    <w:rsid w:val="00AE400A"/>
    <w:rsid w:val="00B44E49"/>
    <w:rsid w:val="00B66090"/>
    <w:rsid w:val="00BA71B4"/>
    <w:rsid w:val="00BE236E"/>
    <w:rsid w:val="00C274F0"/>
    <w:rsid w:val="00C30A85"/>
    <w:rsid w:val="00C94155"/>
    <w:rsid w:val="00CB1CE9"/>
    <w:rsid w:val="00CB487D"/>
    <w:rsid w:val="00D05A9F"/>
    <w:rsid w:val="00D127FF"/>
    <w:rsid w:val="00D556B6"/>
    <w:rsid w:val="00DE5FA7"/>
    <w:rsid w:val="00DF7B90"/>
    <w:rsid w:val="00E405F4"/>
    <w:rsid w:val="00E97C40"/>
    <w:rsid w:val="00F21CC5"/>
    <w:rsid w:val="00F91BD8"/>
    <w:rsid w:val="00F94030"/>
    <w:rsid w:val="00FC43EC"/>
    <w:rsid w:val="00FC54C2"/>
    <w:rsid w:val="3A7D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500" w:lineRule="exact"/>
      <w:ind w:firstLine="560" w:firstLineChars="200"/>
      <w:jc w:val="both"/>
    </w:pPr>
    <w:rPr>
      <w:rFonts w:ascii="仿宋_GB2312" w:hAnsi="Times New Roman" w:eastAsia="仿宋_GB2312" w:cs="Times New Roman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ind w:firstLine="56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rFonts w:ascii="仿宋_GB2312" w:hAnsi="Times New Roman" w:eastAsia="仿宋_GB2312" w:cs="Times New Roman"/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rFonts w:ascii="仿宋_GB2312" w:hAnsi="Times New Roman" w:eastAsia="仿宋_GB2312" w:cs="Times New Roman"/>
      <w:sz w:val="18"/>
      <w:szCs w:val="18"/>
    </w:rPr>
  </w:style>
  <w:style w:type="paragraph" w:customStyle="1" w:styleId="38">
    <w:name w:val="TOC Heading"/>
    <w:basedOn w:val="2"/>
    <w:next w:val="1"/>
    <w:unhideWhenUsed/>
    <w:qFormat/>
    <w:uiPriority w:val="39"/>
    <w:pPr>
      <w:widowControl/>
      <w:adjustRightInd/>
      <w:snapToGrid/>
      <w:spacing w:before="240" w:after="0" w:line="259" w:lineRule="auto"/>
      <w:ind w:firstLine="0" w:firstLineChars="0"/>
      <w:jc w:val="left"/>
      <w:outlineLvl w:val="9"/>
    </w:pPr>
    <w:rPr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01A41-3D73-4347-9104-9473747D3E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2525</Words>
  <Characters>2910</Characters>
  <Lines>21</Lines>
  <Paragraphs>6</Paragraphs>
  <TotalTime>1</TotalTime>
  <ScaleCrop>false</ScaleCrop>
  <LinksUpToDate>false</LinksUpToDate>
  <CharactersWithSpaces>2917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2024-10-25T06:25:00Z</dcterms:created>
  <dc:creator>畏虹 吴</dc:creator>
  <cp:lastModifiedBy>吴畏虹</cp:lastModifiedBy>
  <dcterms:modified xsi:type="dcterms:W3CDTF">2024-10-26T09:25:24Z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C1ADAF4F9530431DA4AE3C40B3C845DE_12</vt:lpwstr>
  </property>
</Properties>
</file>