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ms-office.chartcolorstyle+xml" PartName="/word/charts/colors2.xml"/>
  <Override ContentType="application/vnd.ms-office.chartcolorstyle+xml" PartName="/word/charts/colors1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60" w:before="60" w:lineRule="auto"/>
        <w:jc w:val="center"/>
        <w:rPr>
          <w:sz w:val="40"/>
          <w:szCs w:val="40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40"/>
              <w:szCs w:val="40"/>
              <w:rtl w:val="0"/>
            </w:rPr>
            <w:t xml:space="preserve">大學入學考試中心</w:t>
          </w:r>
        </w:sdtContent>
      </w:sdt>
    </w:p>
    <w:p w:rsidR="00000000" w:rsidDel="00000000" w:rsidP="00000000" w:rsidRDefault="00000000" w:rsidRPr="00000000" w14:paraId="00000002">
      <w:pPr>
        <w:widowControl w:val="1"/>
        <w:spacing w:after="60" w:before="60" w:lineRule="auto"/>
        <w:jc w:val="center"/>
        <w:rPr>
          <w:sz w:val="40"/>
          <w:szCs w:val="40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40"/>
              <w:szCs w:val="40"/>
              <w:rtl w:val="0"/>
            </w:rPr>
            <w:t xml:space="preserve">108學年度學科能力測驗試題</w:t>
          </w:r>
        </w:sdtContent>
      </w:sdt>
    </w:p>
    <w:p w:rsidR="00000000" w:rsidDel="00000000" w:rsidP="00000000" w:rsidRDefault="00000000" w:rsidRPr="00000000" w14:paraId="00000003">
      <w:pPr>
        <w:widowControl w:val="1"/>
        <w:spacing w:before="12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before="120" w:lineRule="auto"/>
        <w:jc w:val="center"/>
        <w:rPr>
          <w:sz w:val="52"/>
          <w:szCs w:val="52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52"/>
              <w:szCs w:val="52"/>
              <w:rtl w:val="0"/>
            </w:rPr>
            <w:t xml:space="preserve">國語文寫作能力測驗</w:t>
          </w:r>
        </w:sdtContent>
      </w:sdt>
    </w:p>
    <w:p w:rsidR="00000000" w:rsidDel="00000000" w:rsidP="00000000" w:rsidRDefault="00000000" w:rsidRPr="00000000" w14:paraId="00000005">
      <w:pPr>
        <w:widowControl w:val="1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04.0" w:type="dxa"/>
        <w:jc w:val="center"/>
        <w:tblLayout w:type="fixed"/>
        <w:tblLook w:val="0000"/>
      </w:tblPr>
      <w:tblGrid>
        <w:gridCol w:w="8004"/>
        <w:tblGridChange w:id="0">
          <w:tblGrid>
            <w:gridCol w:w="8004"/>
          </w:tblGrid>
        </w:tblGridChange>
      </w:tblGrid>
      <w:tr>
        <w:trPr>
          <w:cantSplit w:val="1"/>
          <w:trHeight w:val="840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DFKai-SB" w:cs="DFKai-SB" w:eastAsia="DFKai-SB" w:hAnsi="DFKai-SB"/>
                <w:sz w:val="36"/>
                <w:szCs w:val="3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6"/>
                <w:szCs w:val="36"/>
                <w:rtl w:val="0"/>
              </w:rPr>
              <w:t xml:space="preserve">－作答注意事項－</w:t>
            </w:r>
          </w:p>
          <w:p w:rsidR="00000000" w:rsidDel="00000000" w:rsidP="00000000" w:rsidRDefault="00000000" w:rsidRPr="00000000" w14:paraId="00000008">
            <w:pPr>
              <w:widowControl w:val="1"/>
              <w:ind w:left="567"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1"/>
              <w:spacing w:before="60" w:lineRule="auto"/>
              <w:ind w:left="567" w:firstLine="0"/>
              <w:rPr>
                <w:sz w:val="32"/>
                <w:szCs w:val="3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32"/>
                    <w:szCs w:val="32"/>
                    <w:rtl w:val="0"/>
                  </w:rPr>
                  <w:t xml:space="preserve">考試時間：90</w:t>
                </w:r>
              </w:sdtContent>
            </w:sdt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32"/>
                    <w:szCs w:val="32"/>
                    <w:rtl w:val="0"/>
                  </w:rPr>
                  <w:t xml:space="preserve">分鐘。請妥善分配作答時間。</w:t>
                </w:r>
              </w:sdtContent>
            </w:sdt>
          </w:p>
          <w:p w:rsidR="00000000" w:rsidDel="00000000" w:rsidP="00000000" w:rsidRDefault="00000000" w:rsidRPr="00000000" w14:paraId="0000000A">
            <w:pPr>
              <w:widowControl w:val="1"/>
              <w:spacing w:before="60" w:lineRule="auto"/>
              <w:ind w:left="567" w:firstLine="0"/>
              <w:rPr>
                <w:sz w:val="32"/>
                <w:szCs w:val="3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32"/>
                    <w:szCs w:val="32"/>
                    <w:rtl w:val="0"/>
                  </w:rPr>
                  <w:t xml:space="preserve">題型題數：</w:t>
                </w:r>
              </w:sdtContent>
            </w:sdt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0" w:right="0" w:hanging="3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30"/>
                    <w:szCs w:val="30"/>
                    <w:u w:val="none"/>
                    <w:shd w:fill="auto" w:val="clear"/>
                    <w:vertAlign w:val="baseline"/>
                    <w:rtl w:val="0"/>
                  </w:rPr>
                  <w:t xml:space="preserve">˙非選擇題共 二 大題</w:t>
                </w:r>
              </w:sdtContent>
            </w:sdt>
          </w:p>
          <w:p w:rsidR="00000000" w:rsidDel="00000000" w:rsidP="00000000" w:rsidRDefault="00000000" w:rsidRPr="00000000" w14:paraId="0000000C">
            <w:pPr>
              <w:widowControl w:val="1"/>
              <w:spacing w:before="60" w:lineRule="auto"/>
              <w:ind w:left="567" w:firstLine="0"/>
              <w:rPr>
                <w:sz w:val="32"/>
                <w:szCs w:val="3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32"/>
                    <w:szCs w:val="32"/>
                    <w:rtl w:val="0"/>
                  </w:rPr>
                  <w:t xml:space="preserve">作答方式：</w:t>
                </w:r>
              </w:sdtContent>
            </w:sdt>
          </w:p>
          <w:p w:rsidR="00000000" w:rsidDel="00000000" w:rsidP="00000000" w:rsidRDefault="00000000" w:rsidRPr="00000000" w14:paraId="0000000D">
            <w:pPr>
              <w:widowControl w:val="1"/>
              <w:ind w:left="1200" w:right="480" w:hanging="300"/>
              <w:jc w:val="both"/>
              <w:rPr>
                <w:rFonts w:ascii="DFKai-SB" w:cs="DFKai-SB" w:eastAsia="DFKai-SB" w:hAnsi="DFKai-SB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30"/>
                <w:szCs w:val="30"/>
                <w:rtl w:val="0"/>
              </w:rPr>
              <w:t xml:space="preserve">˙限用中文書寫，違者該作答部分不予評閱計分，惟專有名詞或試題有特殊要求者不在此限。</w:t>
            </w:r>
          </w:p>
          <w:p w:rsidR="00000000" w:rsidDel="00000000" w:rsidP="00000000" w:rsidRDefault="00000000" w:rsidRPr="00000000" w14:paraId="0000000E">
            <w:pPr>
              <w:widowControl w:val="1"/>
              <w:ind w:left="1200" w:right="480" w:hanging="300"/>
              <w:jc w:val="both"/>
              <w:rPr>
                <w:rFonts w:ascii="DFKai-SB" w:cs="DFKai-SB" w:eastAsia="DFKai-SB" w:hAnsi="DFKai-SB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30"/>
                <w:szCs w:val="30"/>
                <w:rtl w:val="0"/>
              </w:rPr>
              <w:t xml:space="preserve">˙限在作答區範圍內作答，第一題須作答於答案卷「正面」，第二題須作答於答案卷「背面」。違者將酌予扣分。</w:t>
            </w:r>
          </w:p>
          <w:p w:rsidR="00000000" w:rsidDel="00000000" w:rsidP="00000000" w:rsidRDefault="00000000" w:rsidRPr="00000000" w14:paraId="0000000F">
            <w:pPr>
              <w:widowControl w:val="1"/>
              <w:ind w:left="1200" w:right="480" w:hanging="300"/>
              <w:jc w:val="both"/>
              <w:rPr>
                <w:rFonts w:ascii="DFKai-SB" w:cs="DFKai-SB" w:eastAsia="DFKai-SB" w:hAnsi="DFKai-SB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30"/>
                <w:szCs w:val="30"/>
                <w:rtl w:val="0"/>
              </w:rPr>
              <w:t xml:space="preserve">˙使用黑色墨水的筆（建議使用筆尖較粗約 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30"/>
                    <w:szCs w:val="30"/>
                    <w:rtl w:val="0"/>
                  </w:rPr>
                  <w:t xml:space="preserve">0.5mm〜0.7mm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color w:val="000000"/>
                <w:sz w:val="30"/>
                <w:szCs w:val="30"/>
                <w:rtl w:val="0"/>
              </w:rPr>
              <w:t xml:space="preserve">之原子筆）書寫，不得使用鉛筆，並力求字跡清晰及字體大小適中，否則致評閱人員無法辨認機器掃描後之答案者，其後果由考生自行承擔。更正時，可以使用修正液或修正帶。</w:t>
            </w:r>
          </w:p>
          <w:p w:rsidR="00000000" w:rsidDel="00000000" w:rsidP="00000000" w:rsidRDefault="00000000" w:rsidRPr="00000000" w14:paraId="00000010">
            <w:pPr>
              <w:widowControl w:val="1"/>
              <w:ind w:left="1200" w:right="480" w:hanging="300"/>
              <w:jc w:val="both"/>
              <w:rPr>
                <w:rFonts w:ascii="DFKai-SB" w:cs="DFKai-SB" w:eastAsia="DFKai-SB" w:hAnsi="DFKai-SB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sz w:val="30"/>
                <w:szCs w:val="30"/>
                <w:rtl w:val="0"/>
              </w:rPr>
              <w:t xml:space="preserve">˙答案卷每人一張，不得要求增補。</w:t>
            </w:r>
          </w:p>
          <w:p w:rsidR="00000000" w:rsidDel="00000000" w:rsidP="00000000" w:rsidRDefault="00000000" w:rsidRPr="00000000" w14:paraId="00000011">
            <w:pPr>
              <w:widowControl w:val="1"/>
              <w:ind w:left="1140" w:right="480" w:hanging="24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非選擇題（共二大題，占50分）</w:t>
          </w:r>
        </w:sdtContent>
      </w:sdt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1" w:sz="6" w:val="single"/>
          <w:left w:color="000000" w:space="0" w:sz="6" w:val="single"/>
          <w:bottom w:color="000000" w:space="1" w:sz="6" w:val="single"/>
          <w:right w:color="000000" w:space="4" w:sz="6" w:val="single"/>
          <w:between w:space="0" w:sz="0" w:val="nil"/>
        </w:pBdr>
        <w:shd w:fill="auto" w:val="clear"/>
        <w:tabs>
          <w:tab w:val="left" w:leader="none" w:pos="964"/>
        </w:tabs>
        <w:spacing w:after="60" w:before="60" w:line="240" w:lineRule="auto"/>
        <w:ind w:left="696" w:right="0" w:hanging="6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說明：本部分共有二題，請依各題指示作答，答案必須寫在「答案卷」上。第一題限作答於答案卷「正面」，第二題限作答於答案卷「背面」。作答使用筆尖較粗之黑色墨水的筆書寫，且不得使用鉛筆。</w:t>
          </w:r>
        </w:sdtContent>
      </w:sdt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若因字跡潦草、未標示題號、標錯題號等原因，致評閱人員無法清楚辨識，其後果由考生自行承擔。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Rule="auto"/>
        <w:rPr>
          <w:rFonts w:ascii="PMingLiu" w:cs="PMingLiu" w:eastAsia="PMingLiu" w:hAnsi="PMingLiu"/>
          <w:b w:val="1"/>
          <w:sz w:val="26"/>
          <w:szCs w:val="26"/>
        </w:rPr>
      </w:pPr>
      <w:r w:rsidDel="00000000" w:rsidR="00000000" w:rsidRPr="00000000">
        <w:rPr>
          <w:rFonts w:ascii="PMingLiu" w:cs="PMingLiu" w:eastAsia="PMingLiu" w:hAnsi="PMingLiu"/>
          <w:b w:val="1"/>
          <w:sz w:val="26"/>
          <w:szCs w:val="26"/>
          <w:rtl w:val="0"/>
        </w:rPr>
        <w:t xml:space="preserve">一、</w:t>
      </w:r>
    </w:p>
    <w:p w:rsidR="00000000" w:rsidDel="00000000" w:rsidP="00000000" w:rsidRDefault="00000000" w:rsidRPr="00000000" w14:paraId="00000016">
      <w:pPr>
        <w:spacing w:before="120" w:lineRule="auto"/>
        <w:ind w:firstLine="480"/>
        <w:jc w:val="both"/>
        <w:rPr>
          <w:color w:val="00000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糖對身體是有好處的，運動過後或飢餓時，適當地補充糖會讓我們迅速恢復體力。科學研究也發現，大腦細胞的能量來源主要來自葡萄糖，當血糖濃度降低時，大腦難以順利運轉，容易注意力不集中，學習或做事效果不佳。不過，哈佛醫學院等多個研究機構指出，高糖飲食會增加罹患乳癌及憂鬱症等疾病的風險；世界衛生組織也指出，高糖飲食是造成體重過重、第二型糖尿病、蛀牙、心臟病的元兇，並建議每日飲食中「添加糖」的攝取量不宜超過總熱量的10%。以每日熱量攝取量2000大卡為例，也就是50公克糖。我國國民健康署於民國103年至106年的「國民營養健康狀況變遷調查」中，有關國人飲用含糖飲料的結果如圖1、圖2所示。</w:t>
          </w:r>
        </w:sdtContent>
      </w:sdt>
    </w:p>
    <w:p w:rsidR="00000000" w:rsidDel="00000000" w:rsidP="00000000" w:rsidRDefault="00000000" w:rsidRPr="00000000" w14:paraId="00000017">
      <w:pPr>
        <w:spacing w:before="120" w:lineRule="auto"/>
        <w:rPr>
          <w:color w:val="222222"/>
        </w:rPr>
      </w:pPr>
      <w:r w:rsidDel="00000000" w:rsidR="00000000" w:rsidRPr="00000000">
        <w:rPr/>
        <w:drawing>
          <wp:inline distB="0" distT="0" distL="0" distR="0">
            <wp:extent cx="5940000" cy="3448800"/>
            <wp:docPr id="308" name=""/>
            <a:graphic>
              <a:graphicData uri="http://schemas.openxmlformats.org/drawingml/2006/chart">
                <c:chart r:id="rId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20" w:lineRule="auto"/>
        <w:jc w:val="center"/>
        <w:rPr>
          <w:color w:val="000000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圖1、國人每週至少喝 1次含糖飲料之人數百分比</w:t>
          </w:r>
        </w:sdtContent>
      </w:sdt>
    </w:p>
    <w:p w:rsidR="00000000" w:rsidDel="00000000" w:rsidP="00000000" w:rsidRDefault="00000000" w:rsidRPr="00000000" w14:paraId="00000019">
      <w:pPr>
        <w:spacing w:before="12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22645" cy="3152775"/>
            <wp:docPr id="309" name=""/>
            <a:graphic>
              <a:graphicData uri="http://schemas.openxmlformats.org/drawingml/2006/chart">
                <c:chart r:id="rId8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0" w:lineRule="auto"/>
        <w:jc w:val="center"/>
        <w:rPr>
          <w:color w:val="00000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圖2、國人每週至少喝 1次含糖飲料者，其每週平均喝的次數</w:t>
          </w:r>
        </w:sdtContent>
      </w:sdt>
    </w:p>
    <w:p w:rsidR="00000000" w:rsidDel="00000000" w:rsidP="00000000" w:rsidRDefault="00000000" w:rsidRPr="00000000" w14:paraId="0000001B">
      <w:pPr>
        <w:rPr>
          <w:rFonts w:ascii="DFKai-SB" w:cs="DFKai-SB" w:eastAsia="DFKai-SB" w:hAnsi="DFKai-S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0" w:lineRule="auto"/>
        <w:ind w:firstLine="480"/>
        <w:jc w:val="both"/>
        <w:rPr>
          <w:color w:val="000000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請分項回答下列問題。</w:t>
          </w:r>
        </w:sdtContent>
      </w:sdt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428" w:right="0" w:hanging="14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問題（一）：國民健康署若欲針對18歲（含）以下的學生進行減糖宣導，請依據圖1、圖2具體說明哪一群體（須註明性別）應列為最優先宣導對象？理由為何？文長限80字以內（至多4行）。（占4分）</w:t>
          </w:r>
        </w:sdtContent>
      </w:sdt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416" w:right="0" w:hanging="14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問題（二）：</w:t>
          </w:r>
        </w:sdtContent>
      </w:sdt>
      <w:r w:rsidDel="00000000" w:rsidR="00000000" w:rsidRPr="00000000"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讀完以上材料，對於「中、小學校園禁止含糖飲料」，你贊成或反對？</w:t>
      </w: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請撰寫一篇短文，提出你的看法與論述。文長限400字以內（至多19行）。（占21分）</w:t>
          </w:r>
        </w:sdtContent>
      </w:sdt>
    </w:p>
    <w:p w:rsidR="00000000" w:rsidDel="00000000" w:rsidP="00000000" w:rsidRDefault="00000000" w:rsidRPr="00000000" w14:paraId="0000001F">
      <w:pPr>
        <w:spacing w:before="120" w:lineRule="auto"/>
        <w:rPr>
          <w:rFonts w:ascii="PMingLiu" w:cs="PMingLiu" w:eastAsia="PMingLiu" w:hAnsi="PMingLiu"/>
          <w:b w:val="1"/>
          <w:color w:val="000000"/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612325" cy="650325"/>
                <wp:effectExtent b="0" l="0" r="0" t="0"/>
                <wp:wrapSquare wrapText="bothSides" distB="0" distT="0" distL="114300" distR="114300"/>
                <wp:docPr id="3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44600" y="3459600"/>
                          <a:ext cx="2602800" cy="6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192.00000762939453" w:right="192.00000762939453" w:firstLine="192.0000076293945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背面還有試題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612325" cy="650325"/>
                <wp:effectExtent b="0" l="0" r="0" t="0"/>
                <wp:wrapSquare wrapText="bothSides" distB="0" distT="0" distL="114300" distR="114300"/>
                <wp:docPr id="3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2325" cy="65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PMingLiu" w:cs="PMingLiu" w:eastAsia="PMingLiu" w:hAnsi="PMingLiu"/>
          <w:b w:val="1"/>
          <w:color w:val="000000"/>
          <w:sz w:val="26"/>
          <w:szCs w:val="26"/>
          <w:rtl w:val="0"/>
        </w:rPr>
        <w:t xml:space="preserve">二、</w:t>
      </w:r>
    </w:p>
    <w:p w:rsidR="00000000" w:rsidDel="00000000" w:rsidP="00000000" w:rsidRDefault="00000000" w:rsidRPr="00000000" w14:paraId="00000020">
      <w:pPr>
        <w:spacing w:before="120" w:lineRule="auto"/>
        <w:jc w:val="both"/>
        <w:rPr>
          <w:color w:val="000000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甲</w:t>
          </w:r>
        </w:sdtContent>
      </w:sdt>
    </w:p>
    <w:p w:rsidR="00000000" w:rsidDel="00000000" w:rsidP="00000000" w:rsidRDefault="00000000" w:rsidRPr="00000000" w14:paraId="00000021">
      <w:pPr>
        <w:ind w:firstLine="446"/>
        <w:jc w:val="both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(陶潛)為彭澤令。不以家累自隨，送一力給其子，書曰：「汝旦夕之費，自給為難。今遣此力，助汝薪水之勞。此亦人子也，可善遇之。」(《南史．隱逸．陶潛傳》)</w:t>
      </w:r>
    </w:p>
    <w:p w:rsidR="00000000" w:rsidDel="00000000" w:rsidP="00000000" w:rsidRDefault="00000000" w:rsidRPr="00000000" w14:paraId="00000022">
      <w:pPr>
        <w:widowControl w:val="1"/>
        <w:jc w:val="right"/>
        <w:rPr>
          <w:rFonts w:ascii="DFKai-SB" w:cs="DFKai-SB" w:eastAsia="DFKai-SB" w:hAnsi="DFKai-SB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71120</wp:posOffset>
                </wp:positionV>
                <wp:extent cx="1771650" cy="733425"/>
                <wp:effectExtent b="0" l="0" r="0" t="0"/>
                <wp:wrapSquare wrapText="bothSides" distB="45720" distT="45720" distL="114300" distR="114300"/>
                <wp:docPr id="3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64938" y="3418050"/>
                          <a:ext cx="17621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0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力：勞役、人力。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0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旦夕之費：日常的花費。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0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薪水：打柴汲水。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0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71120</wp:posOffset>
                </wp:positionV>
                <wp:extent cx="1771650" cy="733425"/>
                <wp:effectExtent b="0" l="0" r="0" t="0"/>
                <wp:wrapSquare wrapText="bothSides" distB="45720" distT="45720" distL="114300" distR="114300"/>
                <wp:docPr id="3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20" w:lineRule="auto"/>
        <w:jc w:val="both"/>
        <w:rPr>
          <w:rFonts w:ascii="DFKai-SB" w:cs="DFKai-SB" w:eastAsia="DFKai-SB" w:hAnsi="DFKai-SB"/>
          <w:color w:val="000000"/>
          <w:sz w:val="21"/>
          <w:szCs w:val="21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乙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446"/>
        <w:jc w:val="both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飯後，眾人各自有事離去，留下貞觀靜坐桌前獃想。她今日的這番感慨，實是前未曾有的。</w:t>
      </w:r>
    </w:p>
    <w:p w:rsidR="00000000" w:rsidDel="00000000" w:rsidP="00000000" w:rsidRDefault="00000000" w:rsidRPr="00000000" w14:paraId="00000027">
      <w:pPr>
        <w:ind w:firstLine="446"/>
        <w:jc w:val="both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阿啟伯摘瓜，乃她親眼所見。今早，她突發奇想，陪著外公去巡魚塭，回來時，祖孫二人，都在門口停住了，因為後門虛掩，阿啟伯拿著菜刀，正在棚下摘瓜，並未發覺他們，祖孫二個都閃到門背後。貞觀當時是真愣住了，在那種情況下，是前進呢？抑是後退？她不能很快作選擇。</w:t>
      </w:r>
    </w:p>
    <w:p w:rsidR="00000000" w:rsidDel="00000000" w:rsidP="00000000" w:rsidRDefault="00000000" w:rsidRPr="00000000" w14:paraId="00000028">
      <w:pPr>
        <w:ind w:firstLine="446"/>
        <w:jc w:val="both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然而這種遲疑也只有幾秒鐘，她一下就被外公拉到門後，正是屏息靜氣時，老人家又帶了她拐出小巷口，走到前街來。</w:t>
      </w:r>
    </w:p>
    <w:p w:rsidR="00000000" w:rsidDel="00000000" w:rsidP="00000000" w:rsidRDefault="00000000" w:rsidRPr="00000000" w14:paraId="00000029">
      <w:pPr>
        <w:ind w:firstLine="446"/>
        <w:jc w:val="both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貞觀人到了大路上，心下才逐漸明白：外公躲那人的心，竟比那偷瓜的人所做的遮遮掩掩更甚！</w:t>
      </w:r>
    </w:p>
    <w:p w:rsidR="00000000" w:rsidDel="00000000" w:rsidP="00000000" w:rsidRDefault="00000000" w:rsidRPr="00000000" w14:paraId="0000002A">
      <w:pPr>
        <w:ind w:firstLine="446"/>
        <w:jc w:val="both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貞觀以為懂得了外公的心意：他怕阿啟伯當下撞見自己的那種難堪。</w:t>
      </w:r>
    </w:p>
    <w:p w:rsidR="00000000" w:rsidDel="00000000" w:rsidP="00000000" w:rsidRDefault="00000000" w:rsidRPr="00000000" w14:paraId="0000002B">
      <w:pPr>
        <w:ind w:firstLine="446"/>
        <w:jc w:val="both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Fonts w:ascii="DFKai-SB" w:cs="DFKai-SB" w:eastAsia="DFKai-SB" w:hAnsi="DFKai-SB"/>
          <w:color w:val="000000"/>
          <w:rtl w:val="0"/>
        </w:rPr>
        <w:t xml:space="preserve">事實上，他還有另一層深意，貪當然不好，而貧的本身沒有錯。外公不以阿啟伯為不是，是知道他家中十口，有菜就沒飯，有飯就沒菜。(改寫自蕭麗紅《千江有水千江月》)</w:t>
      </w:r>
    </w:p>
    <w:p w:rsidR="00000000" w:rsidDel="00000000" w:rsidP="00000000" w:rsidRDefault="00000000" w:rsidRPr="00000000" w14:paraId="0000002C">
      <w:pPr>
        <w:ind w:firstLine="446"/>
        <w:jc w:val="both"/>
        <w:rPr>
          <w:rFonts w:ascii="DFKai-SB" w:cs="DFKai-SB" w:eastAsia="DFKai-SB" w:hAnsi="DFKai-SB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60" w:lineRule="auto"/>
        <w:ind w:firstLine="480"/>
        <w:jc w:val="both"/>
        <w:rPr>
          <w:color w:val="000000"/>
        </w:rPr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閱讀甲、乙二文，分項回答下列問題。</w:t>
          </w:r>
        </w:sdtContent>
      </w:sdt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416" w:right="0" w:hanging="14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問題（一）：請依據甲、乙二文，分別說明陶潛對於人子、外公對於阿啟伯的善意。文長限120字以內（至多6行）。（占7分）</w:t>
          </w:r>
        </w:sdtContent>
      </w:sdt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416" w:right="0" w:hanging="14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問題（二）：陶潛或者外公對他人的善意，你可能也曾見聞或經歷過，請以「溫暖的心」為題，寫一篇文章，分享你的經驗及體會。（占18分）</w:t>
          </w:r>
        </w:sdtContent>
      </w:sdt>
    </w:p>
    <w:p w:rsidR="00000000" w:rsidDel="00000000" w:rsidP="00000000" w:rsidRDefault="00000000" w:rsidRPr="00000000" w14:paraId="00000030">
      <w:pPr>
        <w:widowControl w:val="1"/>
        <w:rPr>
          <w:rFonts w:ascii="&amp;quot" w:cs="&amp;quot" w:eastAsia="&amp;quot" w:hAnsi="&amp;quo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6840" w:w="11907" w:orient="portrait"/>
      <w:pgMar w:bottom="1134" w:top="1701" w:left="1276" w:right="1276" w:header="851" w:footer="85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  <w:font w:name="DFKai-SB"/>
  <w:font w:name="Times New Roman"/>
  <w:font w:name="PMingLiu"/>
  <w:font w:name="&amp;quo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935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935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widowControl w:val="1"/>
      <w:tabs>
        <w:tab w:val="right" w:leader="none" w:pos="8760"/>
        <w:tab w:val="right" w:leader="none" w:pos="9360"/>
      </w:tabs>
      <w:spacing w:line="240" w:lineRule="auto"/>
      <w:rPr>
        <w:sz w:val="22"/>
        <w:szCs w:val="22"/>
      </w:rPr>
    </w:pPr>
    <w:sdt>
      <w:sdtPr>
        <w:tag w:val="goog_rdk_23"/>
      </w:sdtPr>
      <w:sdtContent>
        <w:r w:rsidDel="00000000" w:rsidR="00000000" w:rsidRPr="00000000">
          <w:rPr>
            <w:rFonts w:ascii="Gungsuh" w:cs="Gungsuh" w:eastAsia="Gungsuh" w:hAnsi="Gungsuh"/>
            <w:sz w:val="22"/>
            <w:szCs w:val="22"/>
            <w:rtl w:val="0"/>
          </w:rPr>
          <w:t xml:space="preserve">108年學測</w:t>
          <w:tab/>
          <w:t xml:space="preserve">第</w:t>
          <w:tab/>
        </w:r>
      </w:sdtContent>
    </w:sdt>
    <w:r w:rsidDel="00000000" w:rsidR="00000000" w:rsidRPr="00000000">
      <w:rPr>
        <w:sz w:val="22"/>
        <w:szCs w:val="22"/>
      </w:rPr>
      <w:fldChar w:fldCharType="begin"/>
      <w:instrText xml:space="preserve">PAGE</w:instrText>
      <w:fldChar w:fldCharType="separate"/>
      <w:fldChar w:fldCharType="end"/>
    </w:r>
    <w:sdt>
      <w:sdtPr>
        <w:tag w:val="goog_rdk_24"/>
      </w:sdtPr>
      <w:sdtContent>
        <w:r w:rsidDel="00000000" w:rsidR="00000000" w:rsidRPr="00000000">
          <w:rPr>
            <w:rFonts w:ascii="Gungsuh" w:cs="Gungsuh" w:eastAsia="Gungsuh" w:hAnsi="Gungsuh"/>
            <w:sz w:val="22"/>
            <w:szCs w:val="22"/>
            <w:rtl w:val="0"/>
          </w:rPr>
          <w:t xml:space="preserve"> 頁</w:t>
        </w:r>
      </w:sdtContent>
    </w:sdt>
  </w:p>
  <w:p w:rsidR="00000000" w:rsidDel="00000000" w:rsidP="00000000" w:rsidRDefault="00000000" w:rsidRPr="00000000" w14:paraId="00000033">
    <w:pPr>
      <w:widowControl w:val="1"/>
      <w:tabs>
        <w:tab w:val="right" w:leader="none" w:pos="8760"/>
        <w:tab w:val="right" w:leader="none" w:pos="9360"/>
      </w:tabs>
      <w:spacing w:line="240" w:lineRule="auto"/>
      <w:rPr>
        <w:sz w:val="22"/>
        <w:szCs w:val="22"/>
      </w:rPr>
    </w:pPr>
    <w:sdt>
      <w:sdtPr>
        <w:tag w:val="goog_rdk_25"/>
      </w:sdtPr>
      <w:sdtContent>
        <w:r w:rsidDel="00000000" w:rsidR="00000000" w:rsidRPr="00000000">
          <w:rPr>
            <w:rFonts w:ascii="Gungsuh" w:cs="Gungsuh" w:eastAsia="Gungsuh" w:hAnsi="Gungsuh"/>
            <w:sz w:val="22"/>
            <w:szCs w:val="22"/>
            <w:rtl w:val="0"/>
          </w:rPr>
          <w:t xml:space="preserve">國語文寫作能力測驗</w:t>
          <w:tab/>
          <w:t xml:space="preserve">共</w:t>
          <w:tab/>
        </w:r>
      </w:sdtContent>
    </w:sdt>
    <w:r w:rsidDel="00000000" w:rsidR="00000000" w:rsidRPr="00000000">
      <w:rPr>
        <w:color w:val="000000"/>
        <w:sz w:val="22"/>
        <w:szCs w:val="22"/>
        <w:rtl w:val="0"/>
      </w:rPr>
      <w:t xml:space="preserve">3</w:t>
    </w:r>
    <w:sdt>
      <w:sdtPr>
        <w:tag w:val="goog_rdk_26"/>
      </w:sdtPr>
      <w:sdtContent>
        <w:r w:rsidDel="00000000" w:rsidR="00000000" w:rsidRPr="00000000">
          <w:rPr>
            <w:rFonts w:ascii="Gungsuh" w:cs="Gungsuh" w:eastAsia="Gungsuh" w:hAnsi="Gungsuh"/>
            <w:sz w:val="22"/>
            <w:szCs w:val="22"/>
            <w:rtl w:val="0"/>
          </w:rPr>
          <w:t xml:space="preserve"> 頁</w:t>
        </w:r>
      </w:sdtContent>
    </w:sdt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widowControl w:val="1"/>
      <w:tabs>
        <w:tab w:val="right" w:leader="none" w:pos="840"/>
        <w:tab w:val="right" w:leader="none" w:pos="9360"/>
      </w:tabs>
      <w:spacing w:line="240" w:lineRule="auto"/>
      <w:rPr/>
    </w:pPr>
    <w:sdt>
      <w:sdtPr>
        <w:tag w:val="goog_rdk_27"/>
      </w:sdtPr>
      <w:sdtContent>
        <w:r w:rsidDel="00000000" w:rsidR="00000000" w:rsidRPr="00000000">
          <w:rPr>
            <w:rFonts w:ascii="Gungsuh" w:cs="Gungsuh" w:eastAsia="Gungsuh" w:hAnsi="Gungsuh"/>
            <w:sz w:val="22"/>
            <w:szCs w:val="22"/>
            <w:rtl w:val="0"/>
          </w:rPr>
          <w:t xml:space="preserve">第</w:t>
          <w:tab/>
        </w:r>
      </w:sdtContent>
    </w:sdt>
    <w:r w:rsidDel="00000000" w:rsidR="00000000" w:rsidRPr="00000000">
      <w:rPr>
        <w:sz w:val="22"/>
        <w:szCs w:val="22"/>
      </w:rPr>
      <w:fldChar w:fldCharType="begin"/>
      <w:instrText xml:space="preserve">PAGE</w:instrText>
      <w:fldChar w:fldCharType="separate"/>
      <w:fldChar w:fldCharType="end"/>
    </w:r>
    <w:sdt>
      <w:sdtPr>
        <w:tag w:val="goog_rdk_28"/>
      </w:sdtPr>
      <w:sdtContent>
        <w:r w:rsidDel="00000000" w:rsidR="00000000" w:rsidRPr="00000000">
          <w:rPr>
            <w:rFonts w:ascii="Gungsuh" w:cs="Gungsuh" w:eastAsia="Gungsuh" w:hAnsi="Gungsuh"/>
            <w:sz w:val="22"/>
            <w:szCs w:val="22"/>
            <w:rtl w:val="0"/>
          </w:rPr>
          <w:t xml:space="preserve"> 頁</w:t>
          <w:tab/>
          <w:t xml:space="preserve">108年學測共</w:t>
          <w:tab/>
        </w:r>
      </w:sdtContent>
    </w:sdt>
    <w:r w:rsidDel="00000000" w:rsidR="00000000" w:rsidRPr="00000000">
      <w:rPr>
        <w:color w:val="000000"/>
        <w:sz w:val="22"/>
        <w:szCs w:val="22"/>
        <w:rtl w:val="0"/>
      </w:rPr>
      <w:t xml:space="preserve">3 </w:t>
    </w:r>
    <w:sdt>
      <w:sdtPr>
        <w:tag w:val="goog_rdk_29"/>
      </w:sdtPr>
      <w:sdtContent>
        <w:r w:rsidDel="00000000" w:rsidR="00000000" w:rsidRPr="00000000">
          <w:rPr>
            <w:rFonts w:ascii="Gungsuh" w:cs="Gungsuh" w:eastAsia="Gungsuh" w:hAnsi="Gungsuh"/>
            <w:sz w:val="22"/>
            <w:szCs w:val="22"/>
            <w:rtl w:val="0"/>
          </w:rPr>
          <w:t xml:space="preserve">頁</w:t>
          <w:tab/>
          <w:t xml:space="preserve">國語文寫作能力測驗</w:t>
        </w:r>
      </w:sdtContent>
    </w:sdt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60FEA"/>
    <w:pPr>
      <w:widowControl w:val="0"/>
      <w:adjustRightInd w:val="0"/>
      <w:spacing w:line="360" w:lineRule="atLeast"/>
      <w:textAlignment w:val="baseline"/>
    </w:pPr>
    <w:rPr>
      <w:rFonts w:ascii="Times New Roman" w:cs="Times New Roman" w:eastAsia="細明體" w:hAnsi="Times New Roman"/>
      <w:kern w:val="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說明"/>
    <w:basedOn w:val="a"/>
    <w:rsid w:val="00360FEA"/>
    <w:pPr>
      <w:widowControl w:val="1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tabs>
        <w:tab w:val="left" w:pos="964"/>
      </w:tabs>
      <w:autoSpaceDE w:val="0"/>
      <w:autoSpaceDN w:val="0"/>
      <w:spacing w:after="72" w:afterLines="30"/>
      <w:ind w:left="680" w:hanging="680"/>
      <w:jc w:val="both"/>
      <w:textAlignment w:val="bottom"/>
    </w:pPr>
    <w:rPr>
      <w:rFonts w:eastAsia="標楷體"/>
      <w:sz w:val="26"/>
    </w:rPr>
  </w:style>
  <w:style w:type="paragraph" w:styleId="a4">
    <w:name w:val="header"/>
    <w:basedOn w:val="a"/>
    <w:link w:val="a5"/>
    <w:semiHidden w:val="1"/>
    <w:rsid w:val="00360FEA"/>
    <w:pPr>
      <w:tabs>
        <w:tab w:val="center" w:pos="4153"/>
        <w:tab w:val="right" w:pos="8306"/>
      </w:tabs>
    </w:pPr>
    <w:rPr>
      <w:sz w:val="20"/>
    </w:rPr>
  </w:style>
  <w:style w:type="character" w:styleId="a5" w:customStyle="1">
    <w:name w:val="頁首 字元"/>
    <w:basedOn w:val="a0"/>
    <w:link w:val="a4"/>
    <w:semiHidden w:val="1"/>
    <w:rsid w:val="00360FEA"/>
    <w:rPr>
      <w:rFonts w:ascii="Times New Roman" w:cs="Times New Roman" w:eastAsia="細明體" w:hAnsi="Times New Roman"/>
      <w:kern w:val="0"/>
      <w:sz w:val="20"/>
      <w:szCs w:val="20"/>
    </w:rPr>
  </w:style>
  <w:style w:type="paragraph" w:styleId="a6">
    <w:name w:val="footer"/>
    <w:basedOn w:val="a"/>
    <w:link w:val="a7"/>
    <w:rsid w:val="00360FEA"/>
    <w:pPr>
      <w:tabs>
        <w:tab w:val="center" w:pos="4153"/>
        <w:tab w:val="right" w:pos="8306"/>
      </w:tabs>
    </w:pPr>
    <w:rPr>
      <w:sz w:val="20"/>
    </w:rPr>
  </w:style>
  <w:style w:type="character" w:styleId="a7" w:customStyle="1">
    <w:name w:val="頁尾 字元"/>
    <w:basedOn w:val="a0"/>
    <w:link w:val="a6"/>
    <w:uiPriority w:val="99"/>
    <w:rsid w:val="00360FEA"/>
    <w:rPr>
      <w:rFonts w:ascii="Times New Roman" w:cs="Times New Roman" w:eastAsia="細明體" w:hAnsi="Times New Roman"/>
      <w:kern w:val="0"/>
      <w:sz w:val="20"/>
      <w:szCs w:val="20"/>
    </w:rPr>
  </w:style>
  <w:style w:type="paragraph" w:styleId="002" w:customStyle="1">
    <w:name w:val="002"/>
    <w:basedOn w:val="a"/>
    <w:rsid w:val="00360FEA"/>
    <w:pPr>
      <w:spacing w:line="480" w:lineRule="atLeast"/>
      <w:ind w:left="1276" w:right="823" w:hanging="284"/>
    </w:pPr>
    <w:rPr>
      <w:rFonts w:ascii="全真楷書" w:eastAsia="全真楷書"/>
      <w:sz w:val="30"/>
    </w:rPr>
  </w:style>
  <w:style w:type="paragraph" w:styleId="a8" w:customStyle="1">
    <w:name w:val="壹"/>
    <w:autoRedefine w:val="1"/>
    <w:rsid w:val="00360FEA"/>
    <w:pPr>
      <w:spacing w:before="48" w:beforeLines="20" w:line="320" w:lineRule="atLeast"/>
    </w:pPr>
    <w:rPr>
      <w:rFonts w:ascii="Times New Roman" w:cs="Times New Roman" w:eastAsia="新細明體" w:hAnsi="Times New Roman"/>
      <w:b w:val="1"/>
      <w:bCs w:val="1"/>
      <w:spacing w:val="45"/>
      <w:kern w:val="0"/>
      <w:sz w:val="26"/>
      <w:szCs w:val="26"/>
    </w:rPr>
  </w:style>
  <w:style w:type="paragraph" w:styleId="a9">
    <w:name w:val="List Paragraph"/>
    <w:basedOn w:val="a"/>
    <w:link w:val="aa"/>
    <w:uiPriority w:val="34"/>
    <w:qFormat w:val="1"/>
    <w:rsid w:val="00360FEA"/>
    <w:pPr>
      <w:widowControl w:val="1"/>
      <w:adjustRightInd w:val="1"/>
      <w:spacing w:line="240" w:lineRule="auto"/>
      <w:ind w:left="480" w:leftChars="200"/>
      <w:textAlignment w:val="auto"/>
    </w:pPr>
    <w:rPr>
      <w:rFonts w:eastAsia="新細明體"/>
      <w:szCs w:val="24"/>
    </w:rPr>
  </w:style>
  <w:style w:type="paragraph" w:styleId="1517562" w:customStyle="1">
    <w:name w:val="樣式 (中文) 標楷體 (符號) 標楷體 15 點 左:  1.75 公分 套用前:  6 點 行距:  最小行高 2..."/>
    <w:basedOn w:val="a"/>
    <w:rsid w:val="00360FEA"/>
    <w:pPr>
      <w:adjustRightInd w:val="1"/>
      <w:spacing w:before="120" w:line="400" w:lineRule="atLeast"/>
      <w:ind w:left="1212" w:hanging="220"/>
      <w:jc w:val="both"/>
      <w:textAlignment w:val="auto"/>
    </w:pPr>
    <w:rPr>
      <w:rFonts w:cs="新細明體" w:eastAsia="標楷體" w:hAnsi="標楷體"/>
      <w:kern w:val="2"/>
      <w:sz w:val="30"/>
    </w:rPr>
  </w:style>
  <w:style w:type="character" w:styleId="aa" w:customStyle="1">
    <w:name w:val="清單段落 字元"/>
    <w:link w:val="a9"/>
    <w:uiPriority w:val="34"/>
    <w:rsid w:val="00360FEA"/>
    <w:rPr>
      <w:rFonts w:ascii="Times New Roman" w:cs="Times New Roman" w:eastAsia="新細明體" w:hAnsi="Times New Roman"/>
      <w:kern w:val="0"/>
      <w:szCs w:val="24"/>
    </w:rPr>
  </w:style>
  <w:style w:type="paragraph" w:styleId="TIT1TimesNewRoman0cm36911" w:customStyle="1">
    <w:name w:val="樣式 樣式 樣式 TIT1 + (拉丁) Times New Roman 左:  0 cm 凸出:  3.69 字元 加寬  1...1"/>
    <w:basedOn w:val="a"/>
    <w:rsid w:val="00360FEA"/>
    <w:pPr>
      <w:widowControl w:val="1"/>
      <w:autoSpaceDE w:val="0"/>
      <w:autoSpaceDN w:val="0"/>
      <w:spacing w:before="90" w:line="400" w:lineRule="atLeast"/>
      <w:ind w:left="480" w:leftChars="200"/>
      <w:jc w:val="both"/>
      <w:textAlignment w:val="bottom"/>
    </w:pPr>
    <w:rPr>
      <w:rFonts w:ascii="標楷體" w:cs="新細明體" w:eastAsia="新細明體" w:hAnsi="標楷體"/>
      <w:spacing w:val="24"/>
      <w:kern w:val="2"/>
      <w:lang w:val="zh-TW"/>
    </w:rPr>
  </w:style>
  <w:style w:type="paragraph" w:styleId="025" w:customStyle="1">
    <w:name w:val="樣式 測驗目標 + 套用前:  0.25 列"/>
    <w:basedOn w:val="a"/>
    <w:rsid w:val="00360FEA"/>
    <w:pPr>
      <w:adjustRightInd w:val="1"/>
      <w:spacing w:before="90" w:beforeLines="25" w:line="400" w:lineRule="atLeast"/>
      <w:ind w:left="1680" w:leftChars="200" w:hanging="1200" w:hangingChars="500"/>
      <w:jc w:val="both"/>
      <w:textAlignment w:val="auto"/>
    </w:pPr>
    <w:rPr>
      <w:rFonts w:cs="新細明體" w:eastAsia="新細明體"/>
      <w:kern w:val="2"/>
    </w:rPr>
  </w:style>
  <w:style w:type="table" w:styleId="ab">
    <w:name w:val="Table Grid"/>
    <w:basedOn w:val="a1"/>
    <w:uiPriority w:val="59"/>
    <w:rsid w:val="00DB287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Web">
    <w:name w:val="Normal (Web)"/>
    <w:basedOn w:val="a"/>
    <w:uiPriority w:val="99"/>
    <w:unhideWhenUsed w:val="1"/>
    <w:rsid w:val="00F57F3C"/>
    <w:pPr>
      <w:widowControl w:val="1"/>
      <w:adjustRightInd w:val="1"/>
      <w:spacing w:after="100" w:afterAutospacing="1" w:before="100" w:beforeAutospacing="1" w:line="240" w:lineRule="auto"/>
      <w:textAlignment w:val="auto"/>
    </w:pPr>
    <w:rPr>
      <w:rFonts w:ascii="新細明體" w:cs="新細明體" w:eastAsia="新細明體" w:hAnsi="新細明體"/>
      <w:szCs w:val="24"/>
    </w:rPr>
  </w:style>
  <w:style w:type="paragraph" w:styleId="ac">
    <w:name w:val="Balloon Text"/>
    <w:basedOn w:val="a"/>
    <w:link w:val="ad"/>
    <w:uiPriority w:val="99"/>
    <w:semiHidden w:val="1"/>
    <w:unhideWhenUsed w:val="1"/>
    <w:rsid w:val="001941A0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ad" w:customStyle="1">
    <w:name w:val="註解方塊文字 字元"/>
    <w:basedOn w:val="a0"/>
    <w:link w:val="ac"/>
    <w:uiPriority w:val="99"/>
    <w:semiHidden w:val="1"/>
    <w:rsid w:val="001941A0"/>
    <w:rPr>
      <w:rFonts w:asciiTheme="majorHAnsi" w:cstheme="majorBidi" w:eastAsiaTheme="majorEastAsia" w:hAnsiTheme="majorHAnsi"/>
      <w:kern w:val="0"/>
      <w:sz w:val="18"/>
      <w:szCs w:val="18"/>
    </w:rPr>
  </w:style>
  <w:style w:type="character" w:styleId="ae">
    <w:name w:val="annotation reference"/>
    <w:semiHidden w:val="1"/>
    <w:rsid w:val="00695606"/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Relationship Id="rId8" Type="http://schemas.openxmlformats.org/officeDocument/2006/relationships/chart" Target="charts/chart2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\\10.100.100.102\home\108w\0109&#23450;\(&#20462;&#22294;).xlsx" TargetMode="External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D:\&#33673;&#29801;2018\8-&#22283;&#23531;&#35430;&#38988;&#30740;&#30332;\&#25214;&#25214;&#32032;&#26448;\&#39154;&#26009;\&#22283;&#20154;&#27599;&#21608;&#33267;&#23569;&#21917;&#19968;&#27425;&#21547;&#31958;&#39154;&#26009;&#20154;&#25976;&#30334;&#20998;&#2957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5423117756347866E-2"/>
          <c:y val="9.3858943416465543E-2"/>
          <c:w val="0.83516593431439035"/>
          <c:h val="0.810557177939241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'[(修圖).xlsx]圖1'!$A$2</c:f>
              <c:strCache>
                <c:ptCount val="1"/>
                <c:pt idx="0">
                  <c:v>全體</c:v>
                </c:pt>
              </c:strCache>
            </c:strRef>
          </c:tx>
          <c:spPr>
            <a:pattFill prst="ltUpDiag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'[(修圖).xlsx]圖1'!$B$1:$F$1</c:f>
              <c:strCache>
                <c:ptCount val="5"/>
                <c:pt idx="0">
                  <c:v>7-12歲
(國小生)</c:v>
                </c:pt>
                <c:pt idx="1">
                  <c:v>13-15歲
(國中生)</c:v>
                </c:pt>
                <c:pt idx="2">
                  <c:v>16-18歲
(高中生)</c:v>
                </c:pt>
                <c:pt idx="3">
                  <c:v>19-64歲</c:v>
                </c:pt>
                <c:pt idx="4">
                  <c:v>65歲以上</c:v>
                </c:pt>
              </c:strCache>
            </c:strRef>
          </c:cat>
          <c:val>
            <c:numRef>
              <c:f>'[(修圖).xlsx]圖1'!$B$2:$F$2</c:f>
              <c:numCache>
                <c:formatCode>General</c:formatCode>
                <c:ptCount val="5"/>
                <c:pt idx="0">
                  <c:v>91.7</c:v>
                </c:pt>
                <c:pt idx="1">
                  <c:v>94.8</c:v>
                </c:pt>
                <c:pt idx="2">
                  <c:v>90.9</c:v>
                </c:pt>
                <c:pt idx="3">
                  <c:v>74.7</c:v>
                </c:pt>
                <c:pt idx="4">
                  <c:v>40.5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5E-430F-AC31-725634688145}"/>
            </c:ext>
          </c:extLst>
        </c:ser>
        <c:ser>
          <c:idx val="1"/>
          <c:order val="1"/>
          <c:tx>
            <c:strRef>
              <c:f>'[(修圖).xlsx]圖1'!$A$3</c:f>
              <c:strCache>
                <c:ptCount val="1"/>
                <c:pt idx="0">
                  <c:v>男</c:v>
                </c:pt>
              </c:strCache>
            </c:strRef>
          </c:tx>
          <c:spPr>
            <a:solidFill>
              <a:schemeClr val="tx1"/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'[(修圖).xlsx]圖1'!$B$1:$F$1</c:f>
              <c:strCache>
                <c:ptCount val="5"/>
                <c:pt idx="0">
                  <c:v>7-12歲
(國小生)</c:v>
                </c:pt>
                <c:pt idx="1">
                  <c:v>13-15歲
(國中生)</c:v>
                </c:pt>
                <c:pt idx="2">
                  <c:v>16-18歲
(高中生)</c:v>
                </c:pt>
                <c:pt idx="3">
                  <c:v>19-64歲</c:v>
                </c:pt>
                <c:pt idx="4">
                  <c:v>65歲以上</c:v>
                </c:pt>
              </c:strCache>
            </c:strRef>
          </c:cat>
          <c:val>
            <c:numRef>
              <c:f>'[(修圖).xlsx]圖1'!$B$3:$F$3</c:f>
              <c:numCache>
                <c:formatCode>General</c:formatCode>
                <c:ptCount val="5"/>
                <c:pt idx="0">
                  <c:v>89.8</c:v>
                </c:pt>
                <c:pt idx="1">
                  <c:v>95.7</c:v>
                </c:pt>
                <c:pt idx="2" formatCode="0.0">
                  <c:v>94</c:v>
                </c:pt>
                <c:pt idx="3" formatCode="0.0">
                  <c:v>80</c:v>
                </c:pt>
                <c:pt idx="4">
                  <c:v>41.8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5E-430F-AC31-725634688145}"/>
            </c:ext>
          </c:extLst>
        </c:ser>
        <c:ser>
          <c:idx val="2"/>
          <c:order val="2"/>
          <c:tx>
            <c:strRef>
              <c:f>'[(修圖).xlsx]圖1'!$A$4</c:f>
              <c:strCache>
                <c:ptCount val="1"/>
                <c:pt idx="0">
                  <c:v>女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'[(修圖).xlsx]圖1'!$B$1:$F$1</c:f>
              <c:strCache>
                <c:ptCount val="5"/>
                <c:pt idx="0">
                  <c:v>7-12歲
(國小生)</c:v>
                </c:pt>
                <c:pt idx="1">
                  <c:v>13-15歲
(國中生)</c:v>
                </c:pt>
                <c:pt idx="2">
                  <c:v>16-18歲
(高中生)</c:v>
                </c:pt>
                <c:pt idx="3">
                  <c:v>19-64歲</c:v>
                </c:pt>
                <c:pt idx="4">
                  <c:v>65歲以上</c:v>
                </c:pt>
              </c:strCache>
            </c:strRef>
          </c:cat>
          <c:val>
            <c:numRef>
              <c:f>'[(修圖).xlsx]圖1'!$B$4:$F$4</c:f>
              <c:numCache>
                <c:formatCode>General</c:formatCode>
                <c:ptCount val="5"/>
                <c:pt idx="0">
                  <c:v>93.9</c:v>
                </c:pt>
                <c:pt idx="1">
                  <c:v>93.9</c:v>
                </c:pt>
                <c:pt idx="2">
                  <c:v>87.7</c:v>
                </c:pt>
                <c:pt idx="3">
                  <c:v>69.3</c:v>
                </c:pt>
                <c:pt idx="4">
                  <c:v>39.299999999999997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5E-430F-AC31-72563468814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1784800"/>
        <c:axId val="231785360"/>
      </c:barChart>
      <c:catAx>
        <c:axId val="231784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231785360"/>
        <c:crosses val="autoZero"/>
        <c:auto val="1"/>
        <c:lblAlgn val="ctr"/>
        <c:lblOffset val="100"/>
        <c:noMultiLvlLbl val="0"/>
      </c:catAx>
      <c:valAx>
        <c:axId val="2317853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/>
                  <a:t>(%)</a:t>
                </a:r>
                <a:endParaRPr lang="zh-TW" sz="1200"/>
              </a:p>
            </c:rich>
          </c:tx>
          <c:layout>
            <c:manualLayout>
              <c:xMode val="edge"/>
              <c:yMode val="edge"/>
              <c:x val="1.2695903390523908E-2"/>
              <c:y val="2.9979542927231679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#,##0.0_);[Red]\(#,##0.0\)" sourceLinked="0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231784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725916236095893"/>
          <c:y val="3.2749584261827336E-2"/>
          <c:w val="8.3515073765234121E-2"/>
          <c:h val="0.150817485505344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5423117756347866E-2"/>
          <c:y val="9.3858943416465543E-2"/>
          <c:w val="0.83516592691745462"/>
          <c:h val="0.7409855349919414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圖2!$A$2</c:f>
              <c:strCache>
                <c:ptCount val="1"/>
                <c:pt idx="0">
                  <c:v>全體</c:v>
                </c:pt>
              </c:strCache>
            </c:strRef>
          </c:tx>
          <c:spPr>
            <a:pattFill prst="ltUpDiag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圖2!$B$1:$F$1</c:f>
              <c:strCache>
                <c:ptCount val="5"/>
                <c:pt idx="0">
                  <c:v>7-12歲
(國小生)</c:v>
                </c:pt>
                <c:pt idx="1">
                  <c:v>13-15歲
(國中生)</c:v>
                </c:pt>
                <c:pt idx="2">
                  <c:v>16-18歲
(高中生)</c:v>
                </c:pt>
                <c:pt idx="3">
                  <c:v>19-64歲</c:v>
                </c:pt>
                <c:pt idx="4">
                  <c:v>65歲以上</c:v>
                </c:pt>
              </c:strCache>
            </c:strRef>
          </c:cat>
          <c:val>
            <c:numRef>
              <c:f>圖2!$B$2:$F$2</c:f>
              <c:numCache>
                <c:formatCode>General</c:formatCode>
                <c:ptCount val="5"/>
                <c:pt idx="0">
                  <c:v>6.7</c:v>
                </c:pt>
                <c:pt idx="1">
                  <c:v>7.8</c:v>
                </c:pt>
                <c:pt idx="2">
                  <c:v>7.1</c:v>
                </c:pt>
                <c:pt idx="3">
                  <c:v>6.6</c:v>
                </c:pt>
                <c:pt idx="4">
                  <c:v>5.4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80-4CF9-9CFC-AD02ACE7E527}"/>
            </c:ext>
          </c:extLst>
        </c:ser>
        <c:ser>
          <c:idx val="1"/>
          <c:order val="1"/>
          <c:tx>
            <c:strRef>
              <c:f>圖2!$A$3</c:f>
              <c:strCache>
                <c:ptCount val="1"/>
                <c:pt idx="0">
                  <c:v>男</c:v>
                </c:pt>
              </c:strCache>
            </c:strRef>
          </c:tx>
          <c:spPr>
            <a:solidFill>
              <a:schemeClr val="tx1"/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圖2!$B$1:$F$1</c:f>
              <c:strCache>
                <c:ptCount val="5"/>
                <c:pt idx="0">
                  <c:v>7-12歲
(國小生)</c:v>
                </c:pt>
                <c:pt idx="1">
                  <c:v>13-15歲
(國中生)</c:v>
                </c:pt>
                <c:pt idx="2">
                  <c:v>16-18歲
(高中生)</c:v>
                </c:pt>
                <c:pt idx="3">
                  <c:v>19-64歲</c:v>
                </c:pt>
                <c:pt idx="4">
                  <c:v>65歲以上</c:v>
                </c:pt>
              </c:strCache>
            </c:strRef>
          </c:cat>
          <c:val>
            <c:numRef>
              <c:f>圖2!$B$3:$F$3</c:f>
              <c:numCache>
                <c:formatCode>0.0</c:formatCode>
                <c:ptCount val="5"/>
                <c:pt idx="0" formatCode="General">
                  <c:v>6.8</c:v>
                </c:pt>
                <c:pt idx="1">
                  <c:v>9</c:v>
                </c:pt>
                <c:pt idx="2" formatCode="General">
                  <c:v>8.1</c:v>
                </c:pt>
                <c:pt idx="3">
                  <c:v>7.2</c:v>
                </c:pt>
                <c:pt idx="4" formatCode="General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80-4CF9-9CFC-AD02ACE7E527}"/>
            </c:ext>
          </c:extLst>
        </c:ser>
        <c:ser>
          <c:idx val="2"/>
          <c:order val="2"/>
          <c:tx>
            <c:strRef>
              <c:f>圖2!$A$4</c:f>
              <c:strCache>
                <c:ptCount val="1"/>
                <c:pt idx="0">
                  <c:v>女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圖2!$B$1:$F$1</c:f>
              <c:strCache>
                <c:ptCount val="5"/>
                <c:pt idx="0">
                  <c:v>7-12歲
(國小生)</c:v>
                </c:pt>
                <c:pt idx="1">
                  <c:v>13-15歲
(國中生)</c:v>
                </c:pt>
                <c:pt idx="2">
                  <c:v>16-18歲
(高中生)</c:v>
                </c:pt>
                <c:pt idx="3">
                  <c:v>19-64歲</c:v>
                </c:pt>
                <c:pt idx="4">
                  <c:v>65歲以上</c:v>
                </c:pt>
              </c:strCache>
            </c:strRef>
          </c:cat>
          <c:val>
            <c:numRef>
              <c:f>圖2!$B$4:$F$4</c:f>
              <c:numCache>
                <c:formatCode>General</c:formatCode>
                <c:ptCount val="5"/>
                <c:pt idx="0">
                  <c:v>6.6</c:v>
                </c:pt>
                <c:pt idx="1">
                  <c:v>6.6</c:v>
                </c:pt>
                <c:pt idx="2" formatCode="0.0">
                  <c:v>6</c:v>
                </c:pt>
                <c:pt idx="3">
                  <c:v>5.9</c:v>
                </c:pt>
                <c:pt idx="4" formatCode="0.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80-4CF9-9CFC-AD02ACE7E52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1892080"/>
        <c:axId val="231892640"/>
      </c:barChart>
      <c:catAx>
        <c:axId val="231892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231892640"/>
        <c:crosses val="autoZero"/>
        <c:auto val="1"/>
        <c:lblAlgn val="ctr"/>
        <c:lblOffset val="100"/>
        <c:noMultiLvlLbl val="0"/>
      </c:catAx>
      <c:valAx>
        <c:axId val="231892640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每週平均次數</a:t>
                </a:r>
              </a:p>
            </c:rich>
          </c:tx>
          <c:layout>
            <c:manualLayout>
              <c:xMode val="edge"/>
              <c:yMode val="edge"/>
              <c:x val="8.2029563536933844E-3"/>
              <c:y val="6.0586176727909008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#,##0.0_);[Red]\(#,##0.0\)" sourceLinked="0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23189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317619566483697"/>
          <c:y val="6.4773107405691921E-2"/>
          <c:w val="8.5653145182694859E-2"/>
          <c:h val="0.1618652075270252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VdBZ1FRfdNG+5z1RSceTNcPJlQ==">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2018-11-26T05:28:00Z</dcterms:created>
  <dc:creator>user</dc:creator>
</cp:coreProperties>
</file>