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0" w:lineRule="exact" w:before="0" w:after="0"/>
      </w:pPr>
      <w:r>
        <w:rPr>
          <w:sz w:val="2"/>
        </w:rPr>
        <w:drawing>
          <wp:anchor distT="0" distB="0" distL="0" distR="0" simplePos="0" relativeHeight="0" behindDoc="0" locked="0" layoutInCell="1" allowOverlap="1">
            <wp:simplePos x="0" y="0"/>
            <wp:positionH relativeFrom="page">
              <wp:posOffset>1007999</wp:posOffset>
            </wp:positionH>
            <wp:positionV relativeFrom="page">
              <wp:posOffset>1224000</wp:posOffset>
            </wp:positionV>
            <wp:extent cx="1260000" cy="480000"/>
            <wp:effectExtent l="0" t="0" r="0" b="0"/>
            <wp:wrapNone/>
            <wp:docPr id="1" name="Picture 1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480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="560" w:lineRule="exact" w:before="280" w:after="280"/>
      </w:pPr>
    </w:p>
    <w:p>
      <w:pPr>
        <w:spacing w:line="560" w:lineRule="exact" w:before="280" w:after="280"/>
      </w:pPr>
    </w:p>
    <w:p>
      <w:pPr>
        <w:spacing w:line="560" w:lineRule="exact" w:before="280" w:after="280"/>
      </w:pPr>
    </w:p>
    <w:p>
      <w:pPr>
        <w:spacing w:line="560" w:lineRule="exact" w:before="280" w:after="280"/>
      </w:pPr>
    </w:p>
    <w:p>
      <w:pPr>
        <w:spacing w:line="560" w:lineRule="exact" w:before="280" w:after="280"/>
        <w:jc w:val="center"/>
      </w:pPr>
      <w:r>
        <w:rPr>
          <w:rFonts w:ascii="方正小标宋_GBK" w:hAnsi="方正小标宋_GBK" w:eastAsia="方正小标宋_GBK"/>
          <w:b/>
          <w:color w:val="000000"/>
          <w:sz w:val="44"/>
        </w:rPr>
        <w:t>内外网网上国网灰度和生产环境创建 Redis 实例检修方案</w:t>
      </w:r>
    </w:p>
    <w:p>
      <w:pPr>
        <w:spacing w:line="560" w:lineRule="exact" w:before="280" w:after="280"/>
      </w:pPr>
    </w:p>
    <w:p>
      <w:pPr>
        <w:spacing w:line="560" w:lineRule="exact" w:before="280" w:after="280"/>
      </w:pPr>
    </w:p>
    <w:p>
      <w:pPr>
        <w:spacing w:line="560" w:lineRule="exact" w:before="280" w:after="280"/>
      </w:pPr>
    </w:p>
    <w:p>
      <w:pPr>
        <w:spacing w:line="560" w:lineRule="exact" w:before="280" w:after="280"/>
      </w:pPr>
    </w:p>
    <w:p>
      <w:pPr>
        <w:spacing w:line="560" w:lineRule="exact" w:before="280" w:after="280"/>
      </w:pPr>
    </w:p>
    <w:p>
      <w:pPr>
        <w:spacing w:line="560" w:lineRule="exact" w:before="280" w:after="280"/>
        <w:jc w:val="center"/>
      </w:pPr>
      <w:r>
        <w:rPr>
          <w:rFonts w:ascii="仿宋_GB2312" w:hAnsi="仿宋_GB2312" w:eastAsia="仿宋_GB2312"/>
          <w:b w:val="0"/>
          <w:color w:val="000000"/>
          <w:sz w:val="32"/>
        </w:rPr>
        <w:t>云运营中心平台运维处</w:t>
      </w:r>
    </w:p>
    <w:p>
      <w:pPr>
        <w:spacing w:line="560" w:lineRule="exact" w:before="280" w:after="280"/>
        <w:jc w:val="center"/>
      </w:pPr>
      <w:r>
        <w:rPr>
          <w:rFonts w:ascii="仿宋_GB2312" w:hAnsi="仿宋_GB2312" w:eastAsia="仿宋_GB2312"/>
          <w:b w:val="0"/>
          <w:color w:val="000000"/>
          <w:sz w:val="32"/>
        </w:rPr>
        <w:t>2025年8月18日</w:t>
      </w:r>
    </w:p>
    <w:p>
      <w:pPr>
        <w:spacing w:line="560" w:lineRule="exact" w:before="280" w:after="280"/>
      </w:pPr>
    </w:p>
    <w:p>
      <w:r>
        <w:br w:type="page"/>
      </w:r>
    </w:p>
    <w:p>
      <w:pPr>
        <w:spacing w:line="560" w:lineRule="exact" w:before="280" w:after="280"/>
        <w:ind w:firstLine="0"/>
        <w:outlineLvl w:val="0"/>
      </w:pPr>
      <w:r>
        <w:rPr>
          <w:rFonts w:ascii="黑体" w:hAnsi="黑体" w:eastAsia="黑体"/>
          <w:b/>
          <w:color w:val="000000"/>
          <w:sz w:val="32"/>
        </w:rPr>
        <w:t>1. 背景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内外网网上国网灰度和生产环境创建 Redis 实例，项目组已提报问题工单，需通过本次检修完成资源创建和配置确认，实现问题工单闭环。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该事项项目组提报问题工单，需检修进行处理，实现问题工单闭环。</w:t>
      </w:r>
    </w:p>
    <w:p>
      <w:pPr>
        <w:spacing w:line="560" w:lineRule="exact" w:before="280" w:after="280"/>
        <w:ind w:firstLine="0"/>
        <w:outlineLvl w:val="0"/>
      </w:pPr>
      <w:r>
        <w:rPr>
          <w:rFonts w:ascii="黑体" w:hAnsi="黑体" w:eastAsia="黑体"/>
          <w:b/>
          <w:color w:val="000000"/>
          <w:sz w:val="32"/>
        </w:rPr>
        <w:t>2. 检修类型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（勾选对应检修类型）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 xml:space="preserve">  ☑ 配置变更   </w:t>
      </w:r>
      <w:r>
        <w:rPr>
          <w:rFonts w:ascii="仿宋_GB2312" w:hAnsi="仿宋_GB2312" w:eastAsia="仿宋_GB2312"/>
          <w:b w:val="0"/>
          <w:color w:val="000000"/>
          <w:sz w:val="32"/>
        </w:rPr>
        <w:t xml:space="preserve">  ☐ 组件升级   </w:t>
      </w:r>
      <w:r>
        <w:rPr>
          <w:rFonts w:ascii="仿宋_GB2312" w:hAnsi="仿宋_GB2312" w:eastAsia="仿宋_GB2312"/>
          <w:b w:val="0"/>
          <w:color w:val="000000"/>
          <w:sz w:val="32"/>
        </w:rPr>
        <w:t xml:space="preserve">  ☐ 组件扩缩容   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 xml:space="preserve">  ☐ 数据库变更   </w:t>
      </w:r>
      <w:r>
        <w:rPr>
          <w:rFonts w:ascii="仿宋_GB2312" w:hAnsi="仿宋_GB2312" w:eastAsia="仿宋_GB2312"/>
          <w:b w:val="0"/>
          <w:color w:val="000000"/>
          <w:sz w:val="32"/>
        </w:rPr>
        <w:t xml:space="preserve">  ☐ 日常维护（原硬件设备）   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 xml:space="preserve">  ☐ 其他 ____</w:t>
      </w:r>
    </w:p>
    <w:p>
      <w:pPr>
        <w:spacing w:line="560" w:lineRule="exact" w:before="280" w:after="280"/>
        <w:ind w:firstLine="0"/>
        <w:outlineLvl w:val="0"/>
      </w:pPr>
      <w:r>
        <w:rPr>
          <w:rFonts w:ascii="黑体" w:hAnsi="黑体" w:eastAsia="黑体"/>
          <w:b/>
          <w:color w:val="000000"/>
          <w:sz w:val="32"/>
        </w:rPr>
        <w:t>3. 现场环境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（1）内网环境/外网环境：内外网（本次创建操作在外网执行）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（2）实施地点：国网亦庄数据中心二期运维专区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（3）专有云版本：v3.16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（4）涉及的组件实例信息：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组织：国网营销部2.0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资源集：营销2.0灰度环境资源集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涉及创建的Redis实例：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7"/>
        <w:gridCol w:w="1007"/>
        <w:gridCol w:w="1007"/>
        <w:gridCol w:w="1007"/>
        <w:gridCol w:w="1007"/>
        <w:gridCol w:w="1007"/>
        <w:gridCol w:w="1007"/>
        <w:gridCol w:w="1007"/>
        <w:gridCol w:w="1007"/>
      </w:tblGrid>
      <w:tr>
        <w:tc>
          <w:tcPr>
            <w:tcW w:type="dxa" w:w="1007"/>
          </w:tcPr>
          <w:p>
            <w:pPr>
              <w:spacing w:line="560" w:lineRule="exact" w:before="0"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2"/>
              </w:rPr>
              <w:t>数据库名称</w:t>
            </w:r>
          </w:p>
        </w:tc>
        <w:tc>
          <w:tcPr>
            <w:tcW w:type="dxa" w:w="1007"/>
          </w:tcPr>
          <w:p>
            <w:pPr>
              <w:spacing w:line="560" w:lineRule="exact" w:before="0"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2"/>
              </w:rPr>
              <w:t>数据库版本</w:t>
            </w:r>
          </w:p>
        </w:tc>
        <w:tc>
          <w:tcPr>
            <w:tcW w:type="dxa" w:w="1007"/>
          </w:tcPr>
          <w:p>
            <w:pPr>
              <w:spacing w:line="560" w:lineRule="exact" w:before="0"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2"/>
              </w:rPr>
              <w:t>实例规格</w:t>
            </w:r>
          </w:p>
        </w:tc>
        <w:tc>
          <w:tcPr>
            <w:tcW w:type="dxa" w:w="1007"/>
          </w:tcPr>
          <w:p>
            <w:pPr>
              <w:spacing w:line="560" w:lineRule="exact" w:before="0"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2"/>
              </w:rPr>
              <w:t>芯片架构</w:t>
            </w:r>
          </w:p>
        </w:tc>
        <w:tc>
          <w:tcPr>
            <w:tcW w:type="dxa" w:w="1007"/>
          </w:tcPr>
          <w:p>
            <w:pPr>
              <w:spacing w:line="560" w:lineRule="exact" w:before="0"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2"/>
              </w:rPr>
              <w:t>VPC ID或名称</w:t>
            </w:r>
          </w:p>
        </w:tc>
        <w:tc>
          <w:tcPr>
            <w:tcW w:type="dxa" w:w="1007"/>
          </w:tcPr>
          <w:p>
            <w:pPr>
              <w:spacing w:line="560" w:lineRule="exact" w:before="0"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2"/>
              </w:rPr>
              <w:t>Vswitch ID或名称</w:t>
            </w:r>
          </w:p>
        </w:tc>
        <w:tc>
          <w:tcPr>
            <w:tcW w:type="dxa" w:w="1007"/>
          </w:tcPr>
          <w:p>
            <w:pPr>
              <w:spacing w:line="560" w:lineRule="exact" w:before="0"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2"/>
              </w:rPr>
              <w:t>密码</w:t>
            </w:r>
          </w:p>
        </w:tc>
        <w:tc>
          <w:tcPr>
            <w:tcW w:type="dxa" w:w="1007"/>
          </w:tcPr>
          <w:p>
            <w:pPr>
              <w:spacing w:line="560" w:lineRule="exact" w:before="0"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2"/>
              </w:rPr>
              <w:t>数量</w:t>
            </w:r>
          </w:p>
        </w:tc>
        <w:tc>
          <w:tcPr>
            <w:tcW w:type="dxa" w:w="1007"/>
          </w:tcPr>
          <w:p>
            <w:pPr>
              <w:spacing w:line="560" w:lineRule="exact" w:before="0"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2"/>
              </w:rPr>
              <w:t>环境</w:t>
            </w:r>
          </w:p>
        </w:tc>
      </w:tr>
      <w:tr>
        <w:tc>
          <w:tcPr>
            <w:tcW w:type="dxa" w:w="1007"/>
          </w:tcPr>
          <w:p>
            <w:pPr>
              <w:spacing w:line="560" w:lineRule="exact" w:before="0" w:after="0"/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营销20用户中心业务验证redis</w:t>
            </w:r>
          </w:p>
        </w:tc>
        <w:tc>
          <w:tcPr>
            <w:tcW w:type="dxa" w:w="1007"/>
          </w:tcPr>
          <w:p>
            <w:pPr>
              <w:spacing w:line="560" w:lineRule="exact" w:before="0" w:after="0"/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Redis 4.0</w:t>
            </w:r>
          </w:p>
        </w:tc>
        <w:tc>
          <w:tcPr>
            <w:tcW w:type="dxa" w:w="1007"/>
          </w:tcPr>
          <w:p>
            <w:pPr>
              <w:spacing w:line="560" w:lineRule="exact" w:before="0" w:after="0"/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64G主从版</w:t>
            </w:r>
          </w:p>
        </w:tc>
        <w:tc>
          <w:tcPr>
            <w:tcW w:type="dxa" w:w="1007"/>
          </w:tcPr>
          <w:p>
            <w:pPr>
              <w:spacing w:line="560" w:lineRule="exact" w:before="0" w:after="0"/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hygon（海光）</w:t>
            </w:r>
          </w:p>
        </w:tc>
        <w:tc>
          <w:tcPr>
            <w:tcW w:type="dxa" w:w="1007"/>
          </w:tcPr>
          <w:p>
            <w:pPr>
              <w:spacing w:line="560" w:lineRule="exact" w:before="0" w:after="0"/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营销2.0专用vpc</w:t>
            </w:r>
          </w:p>
        </w:tc>
        <w:tc>
          <w:tcPr>
            <w:tcW w:type="dxa" w:w="1007"/>
          </w:tcPr>
          <w:p>
            <w:pPr>
              <w:spacing w:line="560" w:lineRule="exact" w:before="0" w:after="0"/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营销灰度环境系统生产Vswitch</w:t>
            </w:r>
          </w:p>
        </w:tc>
        <w:tc>
          <w:tcPr>
            <w:tcW w:type="dxa" w:w="1007"/>
          </w:tcPr>
          <w:p>
            <w:pPr>
              <w:spacing w:line="560" w:lineRule="exact" w:before="0" w:after="0"/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******</w:t>
            </w:r>
          </w:p>
        </w:tc>
        <w:tc>
          <w:tcPr>
            <w:tcW w:type="dxa" w:w="1007"/>
          </w:tcPr>
          <w:p>
            <w:pPr>
              <w:spacing w:line="560" w:lineRule="exact" w:before="0" w:after="0"/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1</w:t>
            </w:r>
          </w:p>
        </w:tc>
        <w:tc>
          <w:tcPr>
            <w:tcW w:type="dxa" w:w="1007"/>
          </w:tcPr>
          <w:p>
            <w:pPr>
              <w:spacing w:line="560" w:lineRule="exact" w:before="0" w:after="0"/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外网</w:t>
            </w:r>
          </w:p>
        </w:tc>
      </w:tr>
    </w:tbl>
    <w:p>
      <w:pPr>
        <w:spacing w:line="560" w:lineRule="exact" w:before="280" w:after="280"/>
        <w:ind w:firstLine="0"/>
      </w:pPr>
      <w:r>
        <w:rPr>
          <w:rFonts w:ascii="仿宋_GB2312" w:hAnsi="仿宋_GB2312" w:eastAsia="仿宋_GB2312"/>
          <w:b w:val="0"/>
          <w:color w:val="000000"/>
          <w:sz w:val="32"/>
        </w:rPr>
      </w:r>
    </w:p>
    <w:p>
      <w:pPr>
        <w:spacing w:line="560" w:lineRule="exact" w:before="280" w:after="280"/>
        <w:ind w:firstLine="0"/>
        <w:outlineLvl w:val="0"/>
      </w:pPr>
      <w:r>
        <w:rPr>
          <w:rFonts w:ascii="黑体" w:hAnsi="黑体" w:eastAsia="黑体"/>
          <w:b/>
          <w:color w:val="000000"/>
          <w:sz w:val="32"/>
        </w:rPr>
        <w:t>4. 实施计划</w:t>
      </w:r>
    </w:p>
    <w:p>
      <w:pPr>
        <w:spacing w:line="560" w:lineRule="exact" w:before="280" w:after="280"/>
        <w:ind w:firstLine="320"/>
        <w:outlineLvl w:val="1"/>
      </w:pPr>
      <w:r>
        <w:rPr>
          <w:rFonts w:ascii="楷体_GB2312" w:hAnsi="楷体_GB2312" w:eastAsia="楷体_GB2312"/>
          <w:b/>
          <w:color w:val="000000"/>
          <w:sz w:val="32"/>
        </w:rPr>
        <w:t>4.1 检修窗口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spacing w:line="560" w:lineRule="exact" w:before="0"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8"/>
              </w:rPr>
              <w:t>年份</w:t>
            </w:r>
          </w:p>
        </w:tc>
        <w:tc>
          <w:tcPr>
            <w:tcW w:type="dxa" w:w="3022"/>
          </w:tcPr>
          <w:p>
            <w:pPr>
              <w:spacing w:line="560" w:lineRule="exact" w:before="0"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8"/>
              </w:rPr>
              <w:t>开始时间</w:t>
            </w:r>
          </w:p>
        </w:tc>
        <w:tc>
          <w:tcPr>
            <w:tcW w:type="dxa" w:w="3022"/>
          </w:tcPr>
          <w:p>
            <w:pPr>
              <w:spacing w:line="560" w:lineRule="exact" w:before="0"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8"/>
              </w:rPr>
              <w:t>结束时间</w:t>
            </w:r>
          </w:p>
        </w:tc>
      </w:tr>
      <w:tr>
        <w:tc>
          <w:tcPr>
            <w:tcW w:type="dxa" w:w="3022"/>
          </w:tcPr>
          <w:p>
            <w:pPr>
              <w:spacing w:line="560" w:lineRule="exact" w:before="0" w:after="0"/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2025年</w:t>
            </w:r>
          </w:p>
        </w:tc>
        <w:tc>
          <w:tcPr>
            <w:tcW w:type="dxa" w:w="3022"/>
          </w:tcPr>
          <w:p>
            <w:pPr>
              <w:spacing w:line="560" w:lineRule="exact" w:before="0" w:after="0"/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08月18日 10:00</w:t>
            </w:r>
          </w:p>
        </w:tc>
        <w:tc>
          <w:tcPr>
            <w:tcW w:type="dxa" w:w="3022"/>
          </w:tcPr>
          <w:p>
            <w:pPr>
              <w:spacing w:line="560" w:lineRule="exact" w:before="0" w:after="0"/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08月18日 22:00</w:t>
            </w:r>
          </w:p>
        </w:tc>
      </w:tr>
    </w:tbl>
    <w:p>
      <w:pPr>
        <w:spacing w:line="560" w:lineRule="exact" w:before="280" w:after="280"/>
        <w:ind w:firstLine="0"/>
      </w:pPr>
      <w:r>
        <w:rPr>
          <w:rFonts w:ascii="仿宋_GB2312" w:hAnsi="仿宋_GB2312" w:eastAsia="仿宋_GB2312"/>
          <w:b w:val="0"/>
          <w:color w:val="000000"/>
          <w:sz w:val="32"/>
        </w:rPr>
      </w:r>
    </w:p>
    <w:p>
      <w:pPr>
        <w:spacing w:line="560" w:lineRule="exact" w:before="280" w:after="280"/>
        <w:ind w:firstLine="320"/>
        <w:outlineLvl w:val="1"/>
      </w:pPr>
      <w:r>
        <w:rPr>
          <w:rFonts w:ascii="楷体_GB2312" w:hAnsi="楷体_GB2312" w:eastAsia="楷体_GB2312"/>
          <w:b/>
          <w:color w:val="000000"/>
          <w:sz w:val="32"/>
        </w:rPr>
        <w:t>4.2 实施人员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spacing w:line="560" w:lineRule="exact" w:before="0"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8"/>
              </w:rPr>
              <w:t>角色</w:t>
            </w:r>
          </w:p>
        </w:tc>
        <w:tc>
          <w:tcPr>
            <w:tcW w:type="dxa" w:w="4533"/>
          </w:tcPr>
          <w:p>
            <w:pPr>
              <w:spacing w:line="560" w:lineRule="exact" w:before="0"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8"/>
              </w:rPr>
              <w:t>姓名</w:t>
            </w:r>
          </w:p>
        </w:tc>
      </w:tr>
      <w:tr>
        <w:tc>
          <w:tcPr>
            <w:tcW w:type="dxa" w:w="4533"/>
          </w:tcPr>
          <w:p>
            <w:pPr>
              <w:spacing w:line="560" w:lineRule="exact" w:before="0" w:after="0"/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方案提供人</w:t>
            </w:r>
          </w:p>
        </w:tc>
        <w:tc>
          <w:tcPr>
            <w:tcW w:type="dxa" w:w="4533"/>
          </w:tcPr>
          <w:p>
            <w:pPr>
              <w:spacing w:line="560" w:lineRule="exact" w:before="0" w:after="0"/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张远飞</w:t>
            </w:r>
          </w:p>
        </w:tc>
      </w:tr>
      <w:tr>
        <w:tc>
          <w:tcPr>
            <w:tcW w:type="dxa" w:w="4533"/>
          </w:tcPr>
          <w:p>
            <w:pPr>
              <w:spacing w:line="560" w:lineRule="exact" w:before="0" w:after="0"/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检修执行人</w:t>
            </w:r>
          </w:p>
        </w:tc>
        <w:tc>
          <w:tcPr>
            <w:tcW w:type="dxa" w:w="4533"/>
          </w:tcPr>
          <w:p>
            <w:pPr>
              <w:spacing w:line="560" w:lineRule="exact" w:before="0" w:after="0"/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张远飞、林立杰、沈依达</w:t>
            </w:r>
          </w:p>
        </w:tc>
      </w:tr>
      <w:tr>
        <w:tc>
          <w:tcPr>
            <w:tcW w:type="dxa" w:w="4533"/>
          </w:tcPr>
          <w:p>
            <w:pPr>
              <w:spacing w:line="560" w:lineRule="exact" w:before="0" w:after="0"/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检修复核人</w:t>
            </w:r>
          </w:p>
        </w:tc>
        <w:tc>
          <w:tcPr>
            <w:tcW w:type="dxa" w:w="4533"/>
          </w:tcPr>
          <w:p>
            <w:pPr>
              <w:spacing w:line="560" w:lineRule="exact" w:before="0" w:after="0"/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林立杰、张远飞、张梦蕾</w:t>
            </w:r>
          </w:p>
        </w:tc>
      </w:tr>
      <w:tr>
        <w:tc>
          <w:tcPr>
            <w:tcW w:type="dxa" w:w="4533"/>
          </w:tcPr>
          <w:p>
            <w:pPr>
              <w:spacing w:line="560" w:lineRule="exact" w:before="0" w:after="0"/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业务系统参与人</w:t>
            </w:r>
          </w:p>
        </w:tc>
        <w:tc>
          <w:tcPr>
            <w:tcW w:type="dxa" w:w="4533"/>
          </w:tcPr>
          <w:p>
            <w:pPr>
              <w:spacing w:line="560" w:lineRule="exact" w:before="0" w:after="0"/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不涉及</w:t>
            </w:r>
          </w:p>
        </w:tc>
      </w:tr>
      <w:tr>
        <w:tc>
          <w:tcPr>
            <w:tcW w:type="dxa" w:w="4533"/>
          </w:tcPr>
          <w:p>
            <w:pPr>
              <w:spacing w:line="560" w:lineRule="exact" w:before="0" w:after="0"/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安全责任人</w:t>
            </w:r>
          </w:p>
        </w:tc>
        <w:tc>
          <w:tcPr>
            <w:tcW w:type="dxa" w:w="4533"/>
          </w:tcPr>
          <w:p>
            <w:pPr>
              <w:spacing w:line="560" w:lineRule="exact" w:before="0" w:after="0"/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张梦蕾</w:t>
            </w:r>
          </w:p>
        </w:tc>
      </w:tr>
    </w:tbl>
    <w:p>
      <w:pPr>
        <w:spacing w:line="560" w:lineRule="exact" w:before="280" w:after="280"/>
        <w:ind w:firstLine="0"/>
      </w:pPr>
      <w:r>
        <w:rPr>
          <w:rFonts w:ascii="仿宋_GB2312" w:hAnsi="仿宋_GB2312" w:eastAsia="仿宋_GB2312"/>
          <w:b w:val="0"/>
          <w:color w:val="000000"/>
          <w:sz w:val="32"/>
        </w:rPr>
      </w:r>
    </w:p>
    <w:p>
      <w:pPr>
        <w:spacing w:line="560" w:lineRule="exact" w:before="280" w:after="280"/>
        <w:ind w:firstLine="0"/>
        <w:outlineLvl w:val="0"/>
      </w:pPr>
      <w:r>
        <w:rPr>
          <w:rFonts w:ascii="黑体" w:hAnsi="黑体" w:eastAsia="黑体"/>
          <w:b/>
          <w:color w:val="000000"/>
          <w:sz w:val="32"/>
        </w:rPr>
        <w:t>5. 风险评估</w:t>
      </w:r>
    </w:p>
    <w:p>
      <w:pPr>
        <w:spacing w:line="560" w:lineRule="exact" w:before="280" w:after="280"/>
        <w:ind w:firstLine="320"/>
        <w:outlineLvl w:val="1"/>
      </w:pPr>
      <w:r>
        <w:rPr>
          <w:rFonts w:ascii="楷体_GB2312" w:hAnsi="楷体_GB2312" w:eastAsia="楷体_GB2312"/>
          <w:b/>
          <w:color w:val="000000"/>
          <w:sz w:val="32"/>
        </w:rPr>
        <w:t>5.1 影响范围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内外网网上国网灰度和生产环境创建 Redis 实例对业务无影响。</w:t>
      </w:r>
    </w:p>
    <w:p>
      <w:pPr>
        <w:spacing w:line="560" w:lineRule="exact" w:before="280" w:after="280"/>
        <w:ind w:firstLine="320"/>
        <w:outlineLvl w:val="1"/>
      </w:pPr>
      <w:r>
        <w:rPr>
          <w:rFonts w:ascii="楷体_GB2312" w:hAnsi="楷体_GB2312" w:eastAsia="楷体_GB2312"/>
          <w:b/>
          <w:color w:val="000000"/>
          <w:sz w:val="32"/>
        </w:rPr>
        <w:t>5.2 危险点分析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（1）授权不当危险点：授权过大，导致操作影响预定方案以外的生产环境实例。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（2）备份不当危险点：检修前实例未进行备份或备份无效，导致操作失败后无法完成应急回退。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（3）验证不当危险点：操作对象以及服务是否存在单点隐患未核实清楚，导致操作后出现业务影响。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（4）双人复核不当危险点：双人复核不仔细，导致操作错误执行而出现业务影响。</w:t>
      </w:r>
    </w:p>
    <w:p>
      <w:pPr>
        <w:spacing w:line="560" w:lineRule="exact" w:before="280" w:after="280"/>
        <w:ind w:firstLine="320"/>
        <w:outlineLvl w:val="1"/>
      </w:pPr>
      <w:r>
        <w:rPr>
          <w:rFonts w:ascii="楷体_GB2312" w:hAnsi="楷体_GB2312" w:eastAsia="楷体_GB2312"/>
          <w:b/>
          <w:color w:val="000000"/>
          <w:sz w:val="32"/>
        </w:rPr>
        <w:t>5.3 安全措施</w:t>
      </w:r>
    </w:p>
    <w:p>
      <w:pPr>
        <w:spacing w:line="560" w:lineRule="exact" w:before="280" w:after="280"/>
        <w:ind w:firstLine="640"/>
        <w:outlineLvl w:val="2"/>
      </w:pPr>
      <w:r>
        <w:rPr>
          <w:rFonts w:ascii="仿宋_GB2312" w:hAnsi="仿宋_GB2312" w:eastAsia="仿宋_GB2312"/>
          <w:b/>
          <w:color w:val="000000"/>
          <w:sz w:val="32"/>
        </w:rPr>
        <w:t>5.3.1 授权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ASCM：国网总部直属单位权限      授权账号：zongbu_zhangyuanfei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堡垒机账号：zhangyuanfei, linlijie, shenyida</w:t>
      </w:r>
    </w:p>
    <w:p>
      <w:pPr>
        <w:spacing w:line="560" w:lineRule="exact" w:before="280" w:after="280"/>
        <w:ind w:firstLine="640"/>
        <w:outlineLvl w:val="2"/>
      </w:pPr>
      <w:r>
        <w:rPr>
          <w:rFonts w:ascii="仿宋_GB2312" w:hAnsi="仿宋_GB2312" w:eastAsia="仿宋_GB2312"/>
          <w:b/>
          <w:color w:val="000000"/>
          <w:sz w:val="32"/>
        </w:rPr>
        <w:t>5.3.2 备份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（1）内外网网上国网灰度和生产环境创建 Redis 实例不涉及备份</w:t>
      </w:r>
    </w:p>
    <w:p>
      <w:pPr>
        <w:spacing w:line="560" w:lineRule="exact" w:before="280" w:after="280"/>
        <w:ind w:firstLine="640"/>
        <w:outlineLvl w:val="2"/>
      </w:pPr>
      <w:r>
        <w:rPr>
          <w:rFonts w:ascii="仿宋_GB2312" w:hAnsi="仿宋_GB2312" w:eastAsia="仿宋_GB2312"/>
          <w:b/>
          <w:color w:val="000000"/>
          <w:sz w:val="32"/>
        </w:rPr>
        <w:t>5.3.3 验证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（1）内外网网上国网灰度和生产环境创建 Redis 实例检查资源集IP充足</w:t>
      </w:r>
    </w:p>
    <w:p>
      <w:pPr>
        <w:spacing w:line="560" w:lineRule="exact" w:before="280" w:after="280"/>
        <w:ind w:firstLine="640"/>
        <w:outlineLvl w:val="2"/>
      </w:pPr>
      <w:r>
        <w:rPr>
          <w:rFonts w:ascii="仿宋_GB2312" w:hAnsi="仿宋_GB2312" w:eastAsia="仿宋_GB2312"/>
          <w:b/>
          <w:color w:val="000000"/>
          <w:sz w:val="32"/>
        </w:rPr>
        <w:t>5.3.4 双人复核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（1）确认在正确的组织和资源集下做操作，检查实例操作对象是否正确；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（2）严格按照文档复核关键步骤及关键点。</w:t>
      </w:r>
    </w:p>
    <w:p>
      <w:pPr>
        <w:spacing w:line="560" w:lineRule="exact" w:before="280" w:after="280"/>
        <w:ind w:firstLine="0"/>
        <w:outlineLvl w:val="0"/>
      </w:pPr>
      <w:r>
        <w:rPr>
          <w:rFonts w:ascii="黑体" w:hAnsi="黑体" w:eastAsia="黑体"/>
          <w:b/>
          <w:color w:val="000000"/>
          <w:sz w:val="32"/>
        </w:rPr>
        <w:t>6. 实施步骤</w:t>
      </w:r>
    </w:p>
    <w:p>
      <w:pPr>
        <w:spacing w:line="560" w:lineRule="exact" w:before="280" w:after="280"/>
        <w:ind w:firstLine="320"/>
        <w:outlineLvl w:val="1"/>
      </w:pPr>
      <w:r>
        <w:rPr>
          <w:rFonts w:ascii="楷体_GB2312" w:hAnsi="楷体_GB2312" w:eastAsia="楷体_GB2312"/>
          <w:b/>
          <w:color w:val="000000"/>
          <w:sz w:val="32"/>
        </w:rPr>
        <w:t>6.1 备份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1、内外网网上国网灰度和生产环境创建 Redis 实例不涉及备份</w:t>
      </w:r>
    </w:p>
    <w:p>
      <w:pPr>
        <w:spacing w:line="560" w:lineRule="exact" w:before="280" w:after="280"/>
        <w:ind w:firstLine="320"/>
        <w:outlineLvl w:val="1"/>
      </w:pPr>
      <w:r>
        <w:rPr>
          <w:rFonts w:ascii="楷体_GB2312" w:hAnsi="楷体_GB2312" w:eastAsia="楷体_GB2312"/>
          <w:b/>
          <w:color w:val="000000"/>
          <w:sz w:val="32"/>
        </w:rPr>
        <w:t>6.2 检修前验证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1、内外网网上国网灰度和生产环境创建 Redis 实例检查资源集IP充足</w:t>
      </w:r>
    </w:p>
    <w:p>
      <w:pPr>
        <w:spacing w:line="560" w:lineRule="exact" w:before="280" w:after="280"/>
        <w:ind w:firstLine="320"/>
        <w:outlineLvl w:val="1"/>
      </w:pPr>
      <w:r>
        <w:rPr>
          <w:rFonts w:ascii="楷体_GB2312" w:hAnsi="楷体_GB2312" w:eastAsia="楷体_GB2312"/>
          <w:b/>
          <w:color w:val="000000"/>
          <w:sz w:val="32"/>
        </w:rPr>
        <w:t>6.3 检修操作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6.3.1 内外网网上国网灰度和生产环境创建 Redis 实例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涉及创建的Redis实例：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7"/>
        <w:gridCol w:w="1007"/>
        <w:gridCol w:w="1007"/>
        <w:gridCol w:w="1007"/>
        <w:gridCol w:w="1007"/>
        <w:gridCol w:w="1007"/>
        <w:gridCol w:w="1007"/>
        <w:gridCol w:w="1007"/>
        <w:gridCol w:w="1007"/>
      </w:tblGrid>
      <w:tr>
        <w:tc>
          <w:tcPr>
            <w:tcW w:type="dxa" w:w="1007"/>
          </w:tcPr>
          <w:p>
            <w:pPr>
              <w:spacing w:line="560" w:lineRule="exact" w:before="0"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2"/>
              </w:rPr>
              <w:t>数据库名称</w:t>
            </w:r>
          </w:p>
        </w:tc>
        <w:tc>
          <w:tcPr>
            <w:tcW w:type="dxa" w:w="1007"/>
          </w:tcPr>
          <w:p>
            <w:pPr>
              <w:spacing w:line="560" w:lineRule="exact" w:before="0"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2"/>
              </w:rPr>
              <w:t>数据库版本</w:t>
            </w:r>
          </w:p>
        </w:tc>
        <w:tc>
          <w:tcPr>
            <w:tcW w:type="dxa" w:w="1007"/>
          </w:tcPr>
          <w:p>
            <w:pPr>
              <w:spacing w:line="560" w:lineRule="exact" w:before="0"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2"/>
              </w:rPr>
              <w:t>实例规格</w:t>
            </w:r>
          </w:p>
        </w:tc>
        <w:tc>
          <w:tcPr>
            <w:tcW w:type="dxa" w:w="1007"/>
          </w:tcPr>
          <w:p>
            <w:pPr>
              <w:spacing w:line="560" w:lineRule="exact" w:before="0"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2"/>
              </w:rPr>
              <w:t>芯片架构</w:t>
            </w:r>
          </w:p>
        </w:tc>
        <w:tc>
          <w:tcPr>
            <w:tcW w:type="dxa" w:w="1007"/>
          </w:tcPr>
          <w:p>
            <w:pPr>
              <w:spacing w:line="560" w:lineRule="exact" w:before="0"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2"/>
              </w:rPr>
              <w:t>VPC ID或名称</w:t>
            </w:r>
          </w:p>
        </w:tc>
        <w:tc>
          <w:tcPr>
            <w:tcW w:type="dxa" w:w="1007"/>
          </w:tcPr>
          <w:p>
            <w:pPr>
              <w:spacing w:line="560" w:lineRule="exact" w:before="0"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2"/>
              </w:rPr>
              <w:t>Vswitch ID或名称</w:t>
            </w:r>
          </w:p>
        </w:tc>
        <w:tc>
          <w:tcPr>
            <w:tcW w:type="dxa" w:w="1007"/>
          </w:tcPr>
          <w:p>
            <w:pPr>
              <w:spacing w:line="560" w:lineRule="exact" w:before="0"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2"/>
              </w:rPr>
              <w:t>密码</w:t>
            </w:r>
          </w:p>
        </w:tc>
        <w:tc>
          <w:tcPr>
            <w:tcW w:type="dxa" w:w="1007"/>
          </w:tcPr>
          <w:p>
            <w:pPr>
              <w:spacing w:line="560" w:lineRule="exact" w:before="0"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2"/>
              </w:rPr>
              <w:t>数量</w:t>
            </w:r>
          </w:p>
        </w:tc>
        <w:tc>
          <w:tcPr>
            <w:tcW w:type="dxa" w:w="1007"/>
          </w:tcPr>
          <w:p>
            <w:pPr>
              <w:spacing w:line="560" w:lineRule="exact" w:before="0"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2"/>
              </w:rPr>
              <w:t>环境</w:t>
            </w:r>
          </w:p>
        </w:tc>
      </w:tr>
      <w:tr>
        <w:tc>
          <w:tcPr>
            <w:tcW w:type="dxa" w:w="1007"/>
          </w:tcPr>
          <w:p>
            <w:pPr>
              <w:spacing w:line="560" w:lineRule="exact" w:before="0" w:after="0"/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营销20用户中心业务验证redis</w:t>
            </w:r>
          </w:p>
        </w:tc>
        <w:tc>
          <w:tcPr>
            <w:tcW w:type="dxa" w:w="1007"/>
          </w:tcPr>
          <w:p>
            <w:pPr>
              <w:spacing w:line="560" w:lineRule="exact" w:before="0" w:after="0"/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Redis 4.0</w:t>
            </w:r>
          </w:p>
        </w:tc>
        <w:tc>
          <w:tcPr>
            <w:tcW w:type="dxa" w:w="1007"/>
          </w:tcPr>
          <w:p>
            <w:pPr>
              <w:spacing w:line="560" w:lineRule="exact" w:before="0" w:after="0"/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64G主从版</w:t>
            </w:r>
          </w:p>
        </w:tc>
        <w:tc>
          <w:tcPr>
            <w:tcW w:type="dxa" w:w="1007"/>
          </w:tcPr>
          <w:p>
            <w:pPr>
              <w:spacing w:line="560" w:lineRule="exact" w:before="0" w:after="0"/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hygon（海光）</w:t>
            </w:r>
          </w:p>
        </w:tc>
        <w:tc>
          <w:tcPr>
            <w:tcW w:type="dxa" w:w="1007"/>
          </w:tcPr>
          <w:p>
            <w:pPr>
              <w:spacing w:line="560" w:lineRule="exact" w:before="0" w:after="0"/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营销2.0专用vpc</w:t>
            </w:r>
          </w:p>
        </w:tc>
        <w:tc>
          <w:tcPr>
            <w:tcW w:type="dxa" w:w="1007"/>
          </w:tcPr>
          <w:p>
            <w:pPr>
              <w:spacing w:line="560" w:lineRule="exact" w:before="0" w:after="0"/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营销灰度环境系统生产Vswitch</w:t>
            </w:r>
          </w:p>
        </w:tc>
        <w:tc>
          <w:tcPr>
            <w:tcW w:type="dxa" w:w="1007"/>
          </w:tcPr>
          <w:p>
            <w:pPr>
              <w:spacing w:line="560" w:lineRule="exact" w:before="0" w:after="0"/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******</w:t>
            </w:r>
          </w:p>
        </w:tc>
        <w:tc>
          <w:tcPr>
            <w:tcW w:type="dxa" w:w="1007"/>
          </w:tcPr>
          <w:p>
            <w:pPr>
              <w:spacing w:line="560" w:lineRule="exact" w:before="0" w:after="0"/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1</w:t>
            </w:r>
          </w:p>
        </w:tc>
        <w:tc>
          <w:tcPr>
            <w:tcW w:type="dxa" w:w="1007"/>
          </w:tcPr>
          <w:p>
            <w:pPr>
              <w:spacing w:line="560" w:lineRule="exact" w:before="0" w:after="0"/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外网</w:t>
            </w:r>
          </w:p>
        </w:tc>
      </w:tr>
    </w:tbl>
    <w:p>
      <w:pPr>
        <w:spacing w:line="560" w:lineRule="exact" w:before="280" w:after="280"/>
        <w:ind w:firstLine="0"/>
      </w:pPr>
      <w:r>
        <w:rPr>
          <w:rFonts w:ascii="仿宋_GB2312" w:hAnsi="仿宋_GB2312" w:eastAsia="仿宋_GB2312"/>
          <w:b w:val="0"/>
          <w:color w:val="000000"/>
          <w:sz w:val="32"/>
        </w:rPr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1、登陆 ASCM 平台，产品选择"云数据库Redis"。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2、选择组织"国网营销部2.0" → 资源集"营销2.0灰度环境资源集"，点击"创建实例"。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3、按需选择芯片、数据库版本、架构类型、实例规格。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4、网络类型选择专有网络，选择 VPC 和 Vswitch。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5、输入实例名称、密码、创建数量，点击提交。</w:t>
      </w:r>
    </w:p>
    <w:p>
      <w:pPr>
        <w:spacing w:line="560" w:lineRule="exact" w:before="280" w:after="280"/>
        <w:ind w:firstLine="320"/>
        <w:outlineLvl w:val="1"/>
      </w:pPr>
      <w:r>
        <w:rPr>
          <w:rFonts w:ascii="楷体_GB2312" w:hAnsi="楷体_GB2312" w:eastAsia="楷体_GB2312"/>
          <w:b/>
          <w:color w:val="000000"/>
          <w:sz w:val="32"/>
        </w:rPr>
        <w:t>6.4 检修后验证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1、验证内外网网上国网灰度和生产环境创建 Redis 实例正常；联系项目组验证业务正常。</w:t>
      </w:r>
    </w:p>
    <w:p>
      <w:pPr>
        <w:spacing w:line="560" w:lineRule="exact" w:before="280" w:after="280"/>
        <w:ind w:firstLine="0"/>
        <w:outlineLvl w:val="0"/>
      </w:pPr>
      <w:r>
        <w:rPr>
          <w:rFonts w:ascii="黑体" w:hAnsi="黑体" w:eastAsia="黑体"/>
          <w:b/>
          <w:color w:val="000000"/>
          <w:sz w:val="32"/>
        </w:rPr>
        <w:t>7. 回滚步骤</w:t>
      </w:r>
    </w:p>
    <w:p>
      <w:pPr>
        <w:spacing w:line="560" w:lineRule="exact" w:before="280" w:after="280"/>
        <w:ind w:firstLine="320"/>
        <w:outlineLvl w:val="1"/>
      </w:pPr>
      <w:r>
        <w:rPr>
          <w:rFonts w:ascii="楷体_GB2312" w:hAnsi="楷体_GB2312" w:eastAsia="楷体_GB2312"/>
          <w:b/>
          <w:color w:val="000000"/>
          <w:sz w:val="32"/>
        </w:rPr>
        <w:t>7.1 回滚操作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1、内外网网上国网灰度和生产环境创建 Redis 实例回退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（1）删除新建redis实例</w:t>
      </w:r>
    </w:p>
    <w:p>
      <w:pPr>
        <w:spacing w:line="560" w:lineRule="exact" w:before="280" w:after="280"/>
        <w:ind w:firstLine="320"/>
        <w:outlineLvl w:val="1"/>
      </w:pPr>
      <w:r>
        <w:rPr>
          <w:rFonts w:ascii="楷体_GB2312" w:hAnsi="楷体_GB2312" w:eastAsia="楷体_GB2312"/>
          <w:b/>
          <w:color w:val="000000"/>
          <w:sz w:val="32"/>
        </w:rPr>
        <w:t>7.2 回滚后验证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1、验证内外网网上国网灰度和生产环境创建 Redis 实例回退正常；联系项目组验证业务正常。</w:t>
      </w:r>
    </w:p>
    <w:sectPr w:rsidR="00FC693F" w:rsidRPr="0006063C" w:rsidSect="00034616">
      <w:footerReference w:type="default" r:id="rId9"/>
      <w:pgSz w:w="12240" w:h="15840"/>
      <w:pgMar w:top="1928" w:right="1587" w:bottom="1928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560" w:lineRule="exact" w:before="0" w:after="0"/>
      <w:jc w:val="center"/>
    </w:pPr>
    <w:r>
      <w:rPr>
        <w:rFonts w:ascii="宋体" w:hAnsi="宋体" w:eastAsia="宋体"/>
        <w:b w:val="0"/>
        <w:color w:val="000000"/>
        <w:sz w:val="28"/>
      </w:rPr>
      <w:t>—</w:t>
    </w:r>
    <w:r>
      <w:fldChar w:fldCharType="begin"/>
    </w:r>
    <w:r>
      <w:instrText xml:space="preserve"> PAGE </w:instrText>
    </w:r>
    <w:r>
      <w:fldChar w:fldCharType="end"/>
    </w:r>
    <w:r>
      <w:rPr>
        <w:rFonts w:ascii="宋体" w:hAnsi="宋体" w:eastAsia="宋体"/>
        <w:b w:val="0"/>
        <w:color w:val="000000"/>
        <w:sz w:val="28"/>
      </w:rPr>
      <w:t>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