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farmaciaUAEH;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farmaciaUAEH;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id_usuario INT IDENTITY(1,1) PRIMARY KEY,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nombre_usuario VARCHAR(50),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contrasena VARCHAR(250)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catalogo_medicamentos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id_catalogo INT IDENTITY(1,1) PRIMARY 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nombre VARCHAR(200)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forma_farmaceutica VARCHAR(100),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concentracion VARCHAR(100),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es_controlado BIT DEFAULT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inventario_farmacia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id_inventario INT IDENTITY(1,1) PRIMARY KEY,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id_catalogo INT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ubicacion VARCHAR(200)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caducidad DATE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stock INT DEFAULT 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es_donacion BIT DEFAULT 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donante VARCHAR(200)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observaciones VARCHAR(500)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FOREIGN KEY (id_catalogo) REFERENCES catalogo_medicamentos(id_catalogo)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movimientos_farmacia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id_movimiento INT IDENTITY(1,1) PRIMARY KEY,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id_inventario INT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tipo VARCHAR(50)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quien_recibe VARCHAR(200)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quien_retira VARCHAR(200)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motivo VARCHAR(200)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fecha DATE DEFAULT GETDATE(),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FOREIGN KEY (id_inventario) REFERENCES inventario_farmacia(id_inventario)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inventario_odontologia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id_inventario INT IDENTITY(1,1)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id_catalogo INT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ubicacion VARCHAR(200)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caducidad DATE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stock INT DEFAULT 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es_donacion BIT DEFAULT 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donante VARCHAR(200)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observaciones VARCHAR(500)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FOREIGN KEY (id_catalogo) REFERENCES catalogo_medicamentos(id_catalogo)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movimientos_odontologia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id_movimiento INT IDENTITY(1,1) PRIMARY KEY,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id_inventario INT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tipo VARCHAR(50)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quien_recibe VARCHAR(200)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quien_retira VARCHAR(200)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motivo VARCHAR(200)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fecha DATE DEFAULT GETDATE(),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FOREIGN KEY (id_inventario) REFERENCES inventario_odontologia(id_inventario)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 -m pip install pandas openpyxl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