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D78"/>
          <w:sz w:val="40"/>
        </w:rPr>
        <w:t>MEMS 麦克风阻尼孔与结构优化仿真报告</w:t>
      </w:r>
    </w:p>
    <w:p>
      <w:pPr>
        <w:jc w:val="center"/>
      </w:pPr>
      <w:r>
        <w:t>COMSOL 6.3 批处理结果；目标：20 Hz-20 kHz 全频段平坦且提高灵敏度</w:t>
      </w:r>
    </w:p>
    <w:p>
      <w:pPr>
        <w:pStyle w:val="Heading1"/>
      </w:pPr>
      <w:r>
        <w:t>1. 设计目标与最终方案</w:t>
      </w:r>
    </w:p>
    <w:p>
      <w:r>
        <w:t>本轮优化优先改变背板/膜片阻尼孔分布和扭转梁结构。最终采用单侧 5-3-5 错列阻尼孔，孔半径由 20 um 降为 18 um；扭转梁宽度从上一高灵敏版本的 30 um 进一步降为 24 um，气隙为 1.8 um，偏置电压 8 V。这样降低结构刚度以提高差分位移和电容灵敏度，同时通过等效阻尼 eta_s=0.35 抑制 20 kHz 端接近一阶模态前的幅值抬升。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参数</w:t>
            </w:r>
          </w:p>
        </w:tc>
        <w:tc>
          <w:tcPr>
            <w:tcW w:type="dxa" w:w="3120"/>
          </w:tcPr>
          <w:p>
            <w:r>
              <w:t>最终值</w:t>
            </w:r>
          </w:p>
        </w:tc>
        <w:tc>
          <w:tcPr>
            <w:tcW w:type="dxa" w:w="3120"/>
          </w:tcPr>
          <w:p>
            <w:r>
              <w:t>说明</w:t>
            </w:r>
          </w:p>
        </w:tc>
      </w:tr>
      <w:tr>
        <w:tc>
          <w:tcPr>
            <w:tcW w:type="dxa" w:w="3120"/>
          </w:tcPr>
          <w:p>
            <w:r>
              <w:t>阻尼孔分布</w:t>
            </w:r>
          </w:p>
        </w:tc>
        <w:tc>
          <w:tcPr>
            <w:tcW w:type="dxa" w:w="3120"/>
          </w:tcPr>
          <w:p>
            <w:r>
              <w:t>5-3-5 错列/单侧</w:t>
            </w:r>
          </w:p>
        </w:tc>
        <w:tc>
          <w:tcPr>
            <w:tcW w:type="dxa" w:w="3120"/>
          </w:tcPr>
          <w:p>
            <w:r>
              <w:t>增加泄放路径，降低局部挤压空气阻尼集中</w:t>
            </w:r>
          </w:p>
        </w:tc>
      </w:tr>
      <w:tr>
        <w:tc>
          <w:tcPr>
            <w:tcW w:type="dxa" w:w="3120"/>
          </w:tcPr>
          <w:p>
            <w:r>
              <w:t>R_hole</w:t>
            </w:r>
          </w:p>
        </w:tc>
        <w:tc>
          <w:tcPr>
            <w:tcW w:type="dxa" w:w="3120"/>
          </w:tcPr>
          <w:p>
            <w:r>
              <w:t>18 um</w:t>
            </w:r>
          </w:p>
        </w:tc>
        <w:tc>
          <w:tcPr>
            <w:tcW w:type="dxa" w:w="3120"/>
          </w:tcPr>
          <w:p>
            <w:r>
              <w:t>小于原 20 um，保留更多有效电极面积</w:t>
            </w:r>
          </w:p>
        </w:tc>
      </w:tr>
      <w:tr>
        <w:tc>
          <w:tcPr>
            <w:tcW w:type="dxa" w:w="3120"/>
          </w:tcPr>
          <w:p>
            <w:r>
              <w:t>T_mem</w:t>
            </w:r>
          </w:p>
        </w:tc>
        <w:tc>
          <w:tcPr>
            <w:tcW w:type="dxa" w:w="3120"/>
          </w:tcPr>
          <w:p>
            <w:r>
              <w:t>12 um</w:t>
            </w:r>
          </w:p>
        </w:tc>
        <w:tc>
          <w:tcPr>
            <w:tcW w:type="dxa" w:w="3120"/>
          </w:tcPr>
          <w:p>
            <w:r>
              <w:t>参考 30 kHz 附近纯固体一阶方案</w:t>
            </w:r>
          </w:p>
        </w:tc>
      </w:tr>
      <w:tr>
        <w:tc>
          <w:tcPr>
            <w:tcW w:type="dxa" w:w="3120"/>
          </w:tcPr>
          <w:p>
            <w:r>
              <w:t>L_beam / W_beam</w:t>
            </w:r>
          </w:p>
        </w:tc>
        <w:tc>
          <w:tcPr>
            <w:tcW w:type="dxa" w:w="3120"/>
          </w:tcPr>
          <w:p>
            <w:r>
              <w:t>12 um / 24 um</w:t>
            </w:r>
          </w:p>
        </w:tc>
        <w:tc>
          <w:tcPr>
            <w:tcW w:type="dxa" w:w="3120"/>
          </w:tcPr>
          <w:p>
            <w:r>
              <w:t>提高顺应性，同时保持一阶在音频带外</w:t>
            </w:r>
          </w:p>
        </w:tc>
      </w:tr>
      <w:tr>
        <w:tc>
          <w:tcPr>
            <w:tcW w:type="dxa" w:w="3120"/>
          </w:tcPr>
          <w:p>
            <w:r>
              <w:t>H_gap</w:t>
            </w:r>
          </w:p>
        </w:tc>
        <w:tc>
          <w:tcPr>
            <w:tcW w:type="dxa" w:w="3120"/>
          </w:tcPr>
          <w:p>
            <w:r>
              <w:t>1.8 um</w:t>
            </w:r>
          </w:p>
        </w:tc>
        <w:tc>
          <w:tcPr>
            <w:tcW w:type="dxa" w:w="3120"/>
          </w:tcPr>
          <w:p>
            <w:r>
              <w:t>提高电容灵敏度，并做拉入裕量估算</w:t>
            </w:r>
          </w:p>
        </w:tc>
      </w:tr>
      <w:tr>
        <w:tc>
          <w:tcPr>
            <w:tcW w:type="dxa" w:w="3120"/>
          </w:tcPr>
          <w:p>
            <w:r>
              <w:t>Vbias</w:t>
            </w:r>
          </w:p>
        </w:tc>
        <w:tc>
          <w:tcPr>
            <w:tcW w:type="dxa" w:w="3120"/>
          </w:tcPr>
          <w:p>
            <w:r>
              <w:t>8 V</w:t>
            </w:r>
          </w:p>
        </w:tc>
        <w:tc>
          <w:tcPr>
            <w:tcW w:type="dxa" w:w="3120"/>
          </w:tcPr>
          <w:p>
            <w:r>
              <w:t>提高 deltaQ 输出，保留静电吸附安全裕量</w:t>
            </w:r>
          </w:p>
        </w:tc>
      </w:tr>
      <w:tr>
        <w:tc>
          <w:tcPr>
            <w:tcW w:type="dxa" w:w="3120"/>
          </w:tcPr>
          <w:p>
            <w:r>
              <w:t>eta_s</w:t>
            </w:r>
          </w:p>
        </w:tc>
        <w:tc>
          <w:tcPr>
            <w:tcW w:type="dxa" w:w="3120"/>
          </w:tcPr>
          <w:p>
            <w:r>
              <w:t>0.35</w:t>
            </w:r>
          </w:p>
        </w:tc>
        <w:tc>
          <w:tcPr>
            <w:tcW w:type="dxa" w:w="3120"/>
          </w:tcPr>
          <w:p>
            <w:r>
              <w:t>等效空气/挤压膜阻尼损耗因子</w:t>
            </w:r>
          </w:p>
        </w:tc>
      </w:tr>
    </w:tbl>
    <w:p/>
    <w:p>
      <w:pPr>
        <w:pStyle w:val="Heading1"/>
      </w:pPr>
      <w:r>
        <w:t>2. 仿真步骤</w:t>
      </w:r>
    </w:p>
    <w:p>
      <w:r>
        <w:t>第一步运行纯固体特征频率分析，关闭阻尼、静电和热粘性声学耦合，用于判断结构模态位置。第二步运行带等效空气阻尼的频域响应分析，频点为 20 Hz、1 kHz、5 kHz、10 kHz、15 kHz、20 kHz。第三步根据 1 Pa 输入下的差分位移计算 deltaC 和 deltaQ，并进行准静态静电压力与拉入裕量估算。</w:t>
      </w:r>
    </w:p>
    <w:p>
      <w:r>
        <w:t>说明：当前参考模型中静电场设置存在，但没有建立移动网格和 Maxwell 应力对固体的强耦合反馈。因此频响中的静电部分按偏置电容/电荷输出和拉入裕量进行后处理估算，而不是宣称完成了完整电-机强耦合拉入仿真。</w:t>
      </w:r>
    </w:p>
    <w:p>
      <w:pPr>
        <w:pStyle w:val="Heading1"/>
      </w:pPr>
      <w:r>
        <w:t>3. 模态结果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模态</w:t>
            </w:r>
          </w:p>
        </w:tc>
        <w:tc>
          <w:tcPr>
            <w:tcW w:type="dxa" w:w="3120"/>
          </w:tcPr>
          <w:p>
            <w:r>
              <w:t>频率/kHz</w:t>
            </w:r>
          </w:p>
        </w:tc>
        <w:tc>
          <w:tcPr>
            <w:tcW w:type="dxa" w:w="3120"/>
          </w:tcPr>
          <w:p>
            <w:r>
              <w:t>虚部/Hz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34.947</w:t>
            </w:r>
          </w:p>
        </w:tc>
        <w:tc>
          <w:tcPr>
            <w:tcW w:type="dxa" w:w="3120"/>
          </w:tcPr>
          <w:p>
            <w:r>
              <w:t>0.0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54.024</w:t>
            </w:r>
          </w:p>
        </w:tc>
        <w:tc>
          <w:tcPr>
            <w:tcW w:type="dxa" w:w="3120"/>
          </w:tcPr>
          <w:p>
            <w:r>
              <w:t>0.0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149.915</w:t>
            </w:r>
          </w:p>
        </w:tc>
        <w:tc>
          <w:tcPr>
            <w:tcW w:type="dxa" w:w="3120"/>
          </w:tcPr>
          <w:p>
            <w:r>
              <w:t>0.0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157.127</w:t>
            </w:r>
          </w:p>
        </w:tc>
        <w:tc>
          <w:tcPr>
            <w:tcW w:type="dxa" w:w="3120"/>
          </w:tcPr>
          <w:p>
            <w:r>
              <w:t>0.0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299.527</w:t>
            </w:r>
          </w:p>
        </w:tc>
        <w:tc>
          <w:tcPr>
            <w:tcW w:type="dxa" w:w="3120"/>
          </w:tcPr>
          <w:p>
            <w:r>
              <w:t>0.0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314.972</w:t>
            </w:r>
          </w:p>
        </w:tc>
        <w:tc>
          <w:tcPr>
            <w:tcW w:type="dxa" w:w="3120"/>
          </w:tcPr>
          <w:p>
            <w:r>
              <w:t>0.0</w:t>
            </w:r>
          </w:p>
        </w:tc>
      </w:tr>
    </w:tbl>
    <w:p/>
    <w:p>
      <w:r>
        <w:t>一阶模态为 34.95 kHz，二阶模态为 54.02 kHz，二阶/一阶为 1.55。二阶没有贴近一阶，能降低两个低阶模态在音频上端附近相互耦合造成曲线变形的风险。纯固体特征频率没有虚部，是因为该步骤特意关闭了阻尼。</w:t>
      </w:r>
    </w:p>
    <w:p>
      <w:pPr>
        <w:pStyle w:val="Heading1"/>
      </w:pPr>
      <w:r>
        <w:t>4. 频域响应与灵敏度</w:t>
      </w:r>
    </w:p>
    <w:p>
      <w:r>
        <w:drawing>
          <wp:inline xmlns:a="http://schemas.openxmlformats.org/drawingml/2006/main" xmlns:pic="http://schemas.openxmlformats.org/drawingml/2006/picture">
            <wp:extent cx="5669280" cy="33661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quency_response_displace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1  差分位移频率响应。</w:t>
      </w:r>
    </w:p>
    <w:p>
      <w:r>
        <w:drawing>
          <wp:inline xmlns:a="http://schemas.openxmlformats.org/drawingml/2006/main" xmlns:pic="http://schemas.openxmlformats.org/drawingml/2006/picture">
            <wp:extent cx="5669280" cy="33661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quency_response_delta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2  deltaC 频率响应。</w:t>
      </w:r>
    </w:p>
    <w:p>
      <w:r>
        <w:drawing>
          <wp:inline xmlns:a="http://schemas.openxmlformats.org/drawingml/2006/main" xmlns:pic="http://schemas.openxmlformats.org/drawingml/2006/picture">
            <wp:extent cx="5669280" cy="33661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quency_response_deltaQ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3  deltaQ 频率响应。</w:t>
      </w:r>
    </w:p>
    <w:p>
      <w:r>
        <w:drawing>
          <wp:inline xmlns:a="http://schemas.openxmlformats.org/drawingml/2006/main" xmlns:pic="http://schemas.openxmlformats.org/drawingml/2006/picture">
            <wp:extent cx="5669280" cy="33661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quency_response_flatness_d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  相对 1 kHz 的全频段平坦度。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频率/Hz</w:t>
            </w:r>
          </w:p>
        </w:tc>
        <w:tc>
          <w:tcPr>
            <w:tcW w:type="dxa" w:w="1872"/>
          </w:tcPr>
          <w:p>
            <w:r>
              <w:t>差分位移/nm/Pa</w:t>
            </w:r>
          </w:p>
        </w:tc>
        <w:tc>
          <w:tcPr>
            <w:tcW w:type="dxa" w:w="1872"/>
          </w:tcPr>
          <w:p>
            <w:r>
              <w:t>deltaC/fF/Pa</w:t>
            </w:r>
          </w:p>
        </w:tc>
        <w:tc>
          <w:tcPr>
            <w:tcW w:type="dxa" w:w="1872"/>
          </w:tcPr>
          <w:p>
            <w:r>
              <w:t>deltaQ/fC/Pa</w:t>
            </w:r>
          </w:p>
        </w:tc>
        <w:tc>
          <w:tcPr>
            <w:tcW w:type="dxa" w:w="1872"/>
          </w:tcPr>
          <w:p>
            <w:r>
              <w:t>相对1k/dB</w:t>
            </w:r>
          </w:p>
        </w:tc>
      </w:tr>
      <w:tr>
        <w:tc>
          <w:tcPr>
            <w:tcW w:type="dxa" w:w="1872"/>
          </w:tcPr>
          <w:p>
            <w:r>
              <w:t>20</w:t>
            </w:r>
          </w:p>
        </w:tc>
        <w:tc>
          <w:tcPr>
            <w:tcW w:type="dxa" w:w="1872"/>
          </w:tcPr>
          <w:p>
            <w:r>
              <w:t>1.168</w:t>
            </w:r>
          </w:p>
        </w:tc>
        <w:tc>
          <w:tcPr>
            <w:tcW w:type="dxa" w:w="1872"/>
          </w:tcPr>
          <w:p>
            <w:r>
              <w:t>0.468</w:t>
            </w:r>
          </w:p>
        </w:tc>
        <w:tc>
          <w:tcPr>
            <w:tcW w:type="dxa" w:w="1872"/>
          </w:tcPr>
          <w:p>
            <w:r>
              <w:t>3.747</w:t>
            </w:r>
          </w:p>
        </w:tc>
        <w:tc>
          <w:tcPr>
            <w:tcW w:type="dxa" w:w="1872"/>
          </w:tcPr>
          <w:p>
            <w:r>
              <w:t>-0.01</w:t>
            </w:r>
          </w:p>
        </w:tc>
      </w:tr>
      <w:tr>
        <w:tc>
          <w:tcPr>
            <w:tcW w:type="dxa" w:w="1872"/>
          </w:tcPr>
          <w:p>
            <w:r>
              <w:t>1000</w:t>
            </w:r>
          </w:p>
        </w:tc>
        <w:tc>
          <w:tcPr>
            <w:tcW w:type="dxa" w:w="1872"/>
          </w:tcPr>
          <w:p>
            <w:r>
              <w:t>1.169</w:t>
            </w:r>
          </w:p>
        </w:tc>
        <w:tc>
          <w:tcPr>
            <w:tcW w:type="dxa" w:w="1872"/>
          </w:tcPr>
          <w:p>
            <w:r>
              <w:t>0.469</w:t>
            </w:r>
          </w:p>
        </w:tc>
        <w:tc>
          <w:tcPr>
            <w:tcW w:type="dxa" w:w="1872"/>
          </w:tcPr>
          <w:p>
            <w:r>
              <w:t>3.750</w:t>
            </w:r>
          </w:p>
        </w:tc>
        <w:tc>
          <w:tcPr>
            <w:tcW w:type="dxa" w:w="1872"/>
          </w:tcPr>
          <w:p>
            <w:r>
              <w:t>0.00</w:t>
            </w:r>
          </w:p>
        </w:tc>
      </w:tr>
      <w:tr>
        <w:tc>
          <w:tcPr>
            <w:tcW w:type="dxa" w:w="1872"/>
          </w:tcPr>
          <w:p>
            <w:r>
              <w:t>5000</w:t>
            </w:r>
          </w:p>
        </w:tc>
        <w:tc>
          <w:tcPr>
            <w:tcW w:type="dxa" w:w="1872"/>
          </w:tcPr>
          <w:p>
            <w:r>
              <w:t>1.189</w:t>
            </w:r>
          </w:p>
        </w:tc>
        <w:tc>
          <w:tcPr>
            <w:tcW w:type="dxa" w:w="1872"/>
          </w:tcPr>
          <w:p>
            <w:r>
              <w:t>0.477</w:t>
            </w:r>
          </w:p>
        </w:tc>
        <w:tc>
          <w:tcPr>
            <w:tcW w:type="dxa" w:w="1872"/>
          </w:tcPr>
          <w:p>
            <w:r>
              <w:t>3.816</w:t>
            </w:r>
          </w:p>
        </w:tc>
        <w:tc>
          <w:tcPr>
            <w:tcW w:type="dxa" w:w="1872"/>
          </w:tcPr>
          <w:p>
            <w:r>
              <w:t>0.15</w:t>
            </w:r>
          </w:p>
        </w:tc>
      </w:tr>
      <w:tr>
        <w:tc>
          <w:tcPr>
            <w:tcW w:type="dxa" w:w="1872"/>
          </w:tcPr>
          <w:p>
            <w:r>
              <w:t>10000</w:t>
            </w:r>
          </w:p>
        </w:tc>
        <w:tc>
          <w:tcPr>
            <w:tcW w:type="dxa" w:w="1872"/>
          </w:tcPr>
          <w:p>
            <w:r>
              <w:t>1.259</w:t>
            </w:r>
          </w:p>
        </w:tc>
        <w:tc>
          <w:tcPr>
            <w:tcW w:type="dxa" w:w="1872"/>
          </w:tcPr>
          <w:p>
            <w:r>
              <w:t>0.505</w:t>
            </w:r>
          </w:p>
        </w:tc>
        <w:tc>
          <w:tcPr>
            <w:tcW w:type="dxa" w:w="1872"/>
          </w:tcPr>
          <w:p>
            <w:r>
              <w:t>4.040</w:t>
            </w:r>
          </w:p>
        </w:tc>
        <w:tc>
          <w:tcPr>
            <w:tcW w:type="dxa" w:w="1872"/>
          </w:tcPr>
          <w:p>
            <w:r>
              <w:t>0.65</w:t>
            </w:r>
          </w:p>
        </w:tc>
      </w:tr>
      <w:tr>
        <w:tc>
          <w:tcPr>
            <w:tcW w:type="dxa" w:w="1872"/>
          </w:tcPr>
          <w:p>
            <w:r>
              <w:t>15000</w:t>
            </w:r>
          </w:p>
        </w:tc>
        <w:tc>
          <w:tcPr>
            <w:tcW w:type="dxa" w:w="1872"/>
          </w:tcPr>
          <w:p>
            <w:r>
              <w:t>1.393</w:t>
            </w:r>
          </w:p>
        </w:tc>
        <w:tc>
          <w:tcPr>
            <w:tcW w:type="dxa" w:w="1872"/>
          </w:tcPr>
          <w:p>
            <w:r>
              <w:t>0.559</w:t>
            </w:r>
          </w:p>
        </w:tc>
        <w:tc>
          <w:tcPr>
            <w:tcW w:type="dxa" w:w="1872"/>
          </w:tcPr>
          <w:p>
            <w:r>
              <w:t>4.471</w:t>
            </w:r>
          </w:p>
        </w:tc>
        <w:tc>
          <w:tcPr>
            <w:tcW w:type="dxa" w:w="1872"/>
          </w:tcPr>
          <w:p>
            <w:r>
              <w:t>1.53</w:t>
            </w:r>
          </w:p>
        </w:tc>
      </w:tr>
      <w:tr>
        <w:tc>
          <w:tcPr>
            <w:tcW w:type="dxa" w:w="1872"/>
          </w:tcPr>
          <w:p>
            <w:r>
              <w:t>20000</w:t>
            </w:r>
          </w:p>
        </w:tc>
        <w:tc>
          <w:tcPr>
            <w:tcW w:type="dxa" w:w="1872"/>
          </w:tcPr>
          <w:p>
            <w:r>
              <w:t>1.631</w:t>
            </w:r>
          </w:p>
        </w:tc>
        <w:tc>
          <w:tcPr>
            <w:tcW w:type="dxa" w:w="1872"/>
          </w:tcPr>
          <w:p>
            <w:r>
              <w:t>0.654</w:t>
            </w:r>
          </w:p>
        </w:tc>
        <w:tc>
          <w:tcPr>
            <w:tcW w:type="dxa" w:w="1872"/>
          </w:tcPr>
          <w:p>
            <w:r>
              <w:t>5.234</w:t>
            </w:r>
          </w:p>
        </w:tc>
        <w:tc>
          <w:tcPr>
            <w:tcW w:type="dxa" w:w="1872"/>
          </w:tcPr>
          <w:p>
            <w:r>
              <w:t>2.90</w:t>
            </w:r>
          </w:p>
        </w:tc>
      </w:tr>
    </w:tbl>
    <w:p/>
    <w:p>
      <w:r>
        <w:t>频响相对 1 kHz 的范围为 -0.01 dB 到 2.90 dB。20 kHz 点为 2.90 dB，满足 +/-3 dB 全频段要求。最大 deltaC 为 0.654 fF/Pa，最大 deltaQ 为 5.234 fC/Pa。</w:t>
      </w:r>
    </w:p>
    <w:p>
      <w:pPr>
        <w:pStyle w:val="Heading1"/>
      </w:pPr>
      <w:r>
        <w:t>5. 静电吸附与拉入裕量</w:t>
      </w:r>
    </w:p>
    <w:p>
      <w:r>
        <w:t>静电吸附估算采用平行板压力 p_es=0.5*eps0*Vbias^2/H_gap^2。拉入裕量定义为 (H_gap/3)/估算静电吸附位移。它表示距离经典平行板拉入位移阈值的安全倍数；数值越大，偏置电压下吸附到背板的风险越低。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项目</w:t>
            </w:r>
          </w:p>
        </w:tc>
        <w:tc>
          <w:tcPr>
            <w:tcW w:type="dxa" w:w="4680"/>
          </w:tcPr>
          <w:p>
            <w:r>
              <w:t>结果</w:t>
            </w:r>
          </w:p>
        </w:tc>
      </w:tr>
      <w:tr>
        <w:tc>
          <w:tcPr>
            <w:tcW w:type="dxa" w:w="4680"/>
          </w:tcPr>
          <w:p>
            <w:r>
              <w:t>单侧静态电容 C0</w:t>
            </w:r>
          </w:p>
        </w:tc>
        <w:tc>
          <w:tcPr>
            <w:tcW w:type="dxa" w:w="4680"/>
          </w:tcPr>
          <w:p>
            <w:r>
              <w:t>0.722 pF</w:t>
            </w:r>
          </w:p>
        </w:tc>
      </w:tr>
      <w:tr>
        <w:tc>
          <w:tcPr>
            <w:tcW w:type="dxa" w:w="4680"/>
          </w:tcPr>
          <w:p>
            <w:r>
              <w:t>单侧静态电荷 Q0</w:t>
            </w:r>
          </w:p>
        </w:tc>
        <w:tc>
          <w:tcPr>
            <w:tcW w:type="dxa" w:w="4680"/>
          </w:tcPr>
          <w:p>
            <w:r>
              <w:t>5.775 pC</w:t>
            </w:r>
          </w:p>
        </w:tc>
      </w:tr>
      <w:tr>
        <w:tc>
          <w:tcPr>
            <w:tcW w:type="dxa" w:w="4680"/>
          </w:tcPr>
          <w:p>
            <w:r>
              <w:t>静电压力</w:t>
            </w:r>
          </w:p>
        </w:tc>
        <w:tc>
          <w:tcPr>
            <w:tcW w:type="dxa" w:w="4680"/>
          </w:tcPr>
          <w:p>
            <w:r>
              <w:t>87.45 Pa</w:t>
            </w:r>
          </w:p>
        </w:tc>
      </w:tr>
      <w:tr>
        <w:tc>
          <w:tcPr>
            <w:tcW w:type="dxa" w:w="4680"/>
          </w:tcPr>
          <w:p>
            <w:r>
              <w:t>估算静电吸附位移</w:t>
            </w:r>
          </w:p>
        </w:tc>
        <w:tc>
          <w:tcPr>
            <w:tcW w:type="dxa" w:w="4680"/>
          </w:tcPr>
          <w:p>
            <w:r>
              <w:t>51.07 nm</w:t>
            </w:r>
          </w:p>
        </w:tc>
      </w:tr>
      <w:tr>
        <w:tc>
          <w:tcPr>
            <w:tcW w:type="dxa" w:w="4680"/>
          </w:tcPr>
          <w:p>
            <w:r>
              <w:t>H_gap/3 拉入位移阈值</w:t>
            </w:r>
          </w:p>
        </w:tc>
        <w:tc>
          <w:tcPr>
            <w:tcW w:type="dxa" w:w="4680"/>
          </w:tcPr>
          <w:p>
            <w:r>
              <w:t>600.0 nm</w:t>
            </w:r>
          </w:p>
        </w:tc>
      </w:tr>
      <w:tr>
        <w:tc>
          <w:tcPr>
            <w:tcW w:type="dxa" w:w="4680"/>
          </w:tcPr>
          <w:p>
            <w:r>
              <w:t>拉入裕量</w:t>
            </w:r>
          </w:p>
        </w:tc>
        <w:tc>
          <w:tcPr>
            <w:tcW w:type="dxa" w:w="4680"/>
          </w:tcPr>
          <w:p>
            <w:r>
              <w:t>11.75</w:t>
            </w:r>
          </w:p>
        </w:tc>
      </w:tr>
    </w:tbl>
    <w:p/>
    <w:p>
      <w:pPr>
        <w:pStyle w:val="Heading1"/>
      </w:pPr>
      <w:r>
        <w:t>6. 与上一版及常见标准对比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指标</w:t>
            </w:r>
          </w:p>
        </w:tc>
        <w:tc>
          <w:tcPr>
            <w:tcW w:type="dxa" w:w="2340"/>
          </w:tcPr>
          <w:p>
            <w:r>
              <w:t>上一高灵敏全频段版</w:t>
            </w:r>
          </w:p>
        </w:tc>
        <w:tc>
          <w:tcPr>
            <w:tcW w:type="dxa" w:w="2340"/>
          </w:tcPr>
          <w:p>
            <w:r>
              <w:t>本轮优化版</w:t>
            </w:r>
          </w:p>
        </w:tc>
        <w:tc>
          <w:tcPr>
            <w:tcW w:type="dxa" w:w="2340"/>
          </w:tcPr>
          <w:p>
            <w:r>
              <w:t>变化</w:t>
            </w:r>
          </w:p>
        </w:tc>
      </w:tr>
      <w:tr>
        <w:tc>
          <w:tcPr>
            <w:tcW w:type="dxa" w:w="2340"/>
          </w:tcPr>
          <w:p>
            <w:r>
              <w:t>一阶模态</w:t>
            </w:r>
          </w:p>
        </w:tc>
        <w:tc>
          <w:tcPr>
            <w:tcW w:type="dxa" w:w="2340"/>
          </w:tcPr>
          <w:p>
            <w:r>
              <w:t>约 37.11 kHz</w:t>
            </w:r>
          </w:p>
        </w:tc>
        <w:tc>
          <w:tcPr>
            <w:tcW w:type="dxa" w:w="2340"/>
          </w:tcPr>
          <w:p>
            <w:r>
              <w:t>34.95 kHz</w:t>
            </w:r>
          </w:p>
        </w:tc>
        <w:tc>
          <w:tcPr>
            <w:tcW w:type="dxa" w:w="2340"/>
          </w:tcPr>
          <w:p>
            <w:r>
              <w:t>略降低，提高顺应性</w:t>
            </w:r>
          </w:p>
        </w:tc>
      </w:tr>
      <w:tr>
        <w:tc>
          <w:tcPr>
            <w:tcW w:type="dxa" w:w="2340"/>
          </w:tcPr>
          <w:p>
            <w:r>
              <w:t>二阶/一阶</w:t>
            </w:r>
          </w:p>
        </w:tc>
        <w:tc>
          <w:tcPr>
            <w:tcW w:type="dxa" w:w="2340"/>
          </w:tcPr>
          <w:p>
            <w:r>
              <w:t>未作为重点</w:t>
            </w:r>
          </w:p>
        </w:tc>
        <w:tc>
          <w:tcPr>
            <w:tcW w:type="dxa" w:w="2340"/>
          </w:tcPr>
          <w:p>
            <w:r>
              <w:t>1.55</w:t>
            </w:r>
          </w:p>
        </w:tc>
        <w:tc>
          <w:tcPr>
            <w:tcW w:type="dxa" w:w="2340"/>
          </w:tcPr>
          <w:p>
            <w:r>
              <w:t>二阶远离一阶</w:t>
            </w:r>
          </w:p>
        </w:tc>
      </w:tr>
      <w:tr>
        <w:tc>
          <w:tcPr>
            <w:tcW w:type="dxa" w:w="2340"/>
          </w:tcPr>
          <w:p>
            <w:r>
              <w:t>最大 deltaC</w:t>
            </w:r>
          </w:p>
        </w:tc>
        <w:tc>
          <w:tcPr>
            <w:tcW w:type="dxa" w:w="2340"/>
          </w:tcPr>
          <w:p>
            <w:r>
              <w:t>0.405 fF/Pa</w:t>
            </w:r>
          </w:p>
        </w:tc>
        <w:tc>
          <w:tcPr>
            <w:tcW w:type="dxa" w:w="2340"/>
          </w:tcPr>
          <w:p>
            <w:r>
              <w:t>0.654 fF/Pa</w:t>
            </w:r>
          </w:p>
        </w:tc>
        <w:tc>
          <w:tcPr>
            <w:tcW w:type="dxa" w:w="2340"/>
          </w:tcPr>
          <w:p>
            <w:r>
              <w:t>+61.5%</w:t>
            </w:r>
          </w:p>
        </w:tc>
      </w:tr>
      <w:tr>
        <w:tc>
          <w:tcPr>
            <w:tcW w:type="dxa" w:w="2340"/>
          </w:tcPr>
          <w:p>
            <w:r>
              <w:t>最大 deltaQ</w:t>
            </w:r>
          </w:p>
        </w:tc>
        <w:tc>
          <w:tcPr>
            <w:tcW w:type="dxa" w:w="2340"/>
          </w:tcPr>
          <w:p>
            <w:r>
              <w:t>3.24 fC/Pa</w:t>
            </w:r>
          </w:p>
        </w:tc>
        <w:tc>
          <w:tcPr>
            <w:tcW w:type="dxa" w:w="2340"/>
          </w:tcPr>
          <w:p>
            <w:r>
              <w:t>5.23 fC/Pa</w:t>
            </w:r>
          </w:p>
        </w:tc>
        <w:tc>
          <w:tcPr>
            <w:tcW w:type="dxa" w:w="2340"/>
          </w:tcPr>
          <w:p>
            <w:r>
              <w:t>偏置 8 V 下同步提升</w:t>
            </w:r>
          </w:p>
        </w:tc>
      </w:tr>
      <w:tr>
        <w:tc>
          <w:tcPr>
            <w:tcW w:type="dxa" w:w="2340"/>
          </w:tcPr>
          <w:p>
            <w:r>
              <w:t>20 kHz 平坦度</w:t>
            </w:r>
          </w:p>
        </w:tc>
        <w:tc>
          <w:tcPr>
            <w:tcW w:type="dxa" w:w="2340"/>
          </w:tcPr>
          <w:p>
            <w:r>
              <w:t>+2.91 dB</w:t>
            </w:r>
          </w:p>
        </w:tc>
        <w:tc>
          <w:tcPr>
            <w:tcW w:type="dxa" w:w="2340"/>
          </w:tcPr>
          <w:p>
            <w:r>
              <w:t>2.90 dB</w:t>
            </w:r>
          </w:p>
        </w:tc>
        <w:tc>
          <w:tcPr>
            <w:tcW w:type="dxa" w:w="2340"/>
          </w:tcPr>
          <w:p>
            <w:r>
              <w:t>仍满足 +/-3 dB</w:t>
            </w:r>
          </w:p>
        </w:tc>
      </w:tr>
    </w:tbl>
    <w:p/>
    <w:p>
      <w:r>
        <w:t>按常见电容式 MEMS 麦克风工程量级，0.1-1 fF/Pa 可视为可用到较好的结构灵敏度区间；论文中的高灵敏结构可能达到 1 fF/Pa 到数 fF/Pa，但通常会牺牲全频段平坦度或依赖更完整封装/声学腔优化。本轮 0.654 fF/Pa 属于较好的全频段折中方案。整机电压灵敏度应以 1 kHz 为标称点，当前 deltaQ=3.75 fC/Pa。下表采用理想电荷放大关系 Vout=deltaQ/Cf；实际芯片还需考虑寄生电容、缓冲器有限增益、噪声和输出摆幅。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反馈电容 Cf</w:t>
            </w:r>
          </w:p>
        </w:tc>
        <w:tc>
          <w:tcPr>
            <w:tcW w:type="dxa" w:w="3120"/>
          </w:tcPr>
          <w:p>
            <w:r>
              <w:t>1 kHz 理想输出灵敏度</w:t>
            </w:r>
          </w:p>
        </w:tc>
        <w:tc>
          <w:tcPr>
            <w:tcW w:type="dxa" w:w="3120"/>
          </w:tcPr>
          <w:p>
            <w:r>
              <w:t>等效灵敏度</w:t>
            </w:r>
          </w:p>
        </w:tc>
      </w:tr>
      <w:tr>
        <w:tc>
          <w:tcPr>
            <w:tcW w:type="dxa" w:w="3120"/>
          </w:tcPr>
          <w:p>
            <w:r>
              <w:t>1.0 pF</w:t>
            </w:r>
          </w:p>
        </w:tc>
        <w:tc>
          <w:tcPr>
            <w:tcW w:type="dxa" w:w="3120"/>
          </w:tcPr>
          <w:p>
            <w:r>
              <w:t>3.75 mV/Pa</w:t>
            </w:r>
          </w:p>
        </w:tc>
        <w:tc>
          <w:tcPr>
            <w:tcW w:type="dxa" w:w="3120"/>
          </w:tcPr>
          <w:p>
            <w:r>
              <w:t>-48.5 dBV/Pa</w:t>
            </w:r>
          </w:p>
        </w:tc>
      </w:tr>
      <w:tr>
        <w:tc>
          <w:tcPr>
            <w:tcW w:type="dxa" w:w="3120"/>
          </w:tcPr>
          <w:p>
            <w:r>
              <w:t>0.5 pF</w:t>
            </w:r>
          </w:p>
        </w:tc>
        <w:tc>
          <w:tcPr>
            <w:tcW w:type="dxa" w:w="3120"/>
          </w:tcPr>
          <w:p>
            <w:r>
              <w:t>7.50 mV/Pa</w:t>
            </w:r>
          </w:p>
        </w:tc>
        <w:tc>
          <w:tcPr>
            <w:tcW w:type="dxa" w:w="3120"/>
          </w:tcPr>
          <w:p>
            <w:r>
              <w:t>-42.5 dBV/Pa</w:t>
            </w:r>
          </w:p>
        </w:tc>
      </w:tr>
      <w:tr>
        <w:tc>
          <w:tcPr>
            <w:tcW w:type="dxa" w:w="3120"/>
          </w:tcPr>
          <w:p>
            <w:r>
              <w:t>0.4 pF</w:t>
            </w:r>
          </w:p>
        </w:tc>
        <w:tc>
          <w:tcPr>
            <w:tcW w:type="dxa" w:w="3120"/>
          </w:tcPr>
          <w:p>
            <w:r>
              <w:t>9.37 mV/Pa</w:t>
            </w:r>
          </w:p>
        </w:tc>
        <w:tc>
          <w:tcPr>
            <w:tcW w:type="dxa" w:w="3120"/>
          </w:tcPr>
          <w:p>
            <w:r>
              <w:t>-40.6 dBV/Pa</w:t>
            </w:r>
          </w:p>
        </w:tc>
      </w:tr>
      <w:tr>
        <w:tc>
          <w:tcPr>
            <w:tcW w:type="dxa" w:w="3120"/>
          </w:tcPr>
          <w:p>
            <w:r>
              <w:t>0.3 pF</w:t>
            </w:r>
          </w:p>
        </w:tc>
        <w:tc>
          <w:tcPr>
            <w:tcW w:type="dxa" w:w="3120"/>
          </w:tcPr>
          <w:p>
            <w:r>
              <w:t>12.50 mV/Pa</w:t>
            </w:r>
          </w:p>
        </w:tc>
        <w:tc>
          <w:tcPr>
            <w:tcW w:type="dxa" w:w="3120"/>
          </w:tcPr>
          <w:p>
            <w:r>
              <w:t>-38.1 dBV/Pa</w:t>
            </w:r>
          </w:p>
        </w:tc>
      </w:tr>
    </w:tbl>
    <w:p/>
    <w:p>
      <w:r>
        <w:t>因此，Cf=0.30 pF 时 1 kHz 理想输出约 12.50 mV/Pa，即约 -38.1 dBV/Pa，可对标常见商业模拟 MEMS 麦克风。20 kHz 附近的输出是频响抬升后的带内最大值，不能作为整机标称灵敏度。减小 Cf 只提高读出电压增益，不改变膜片本身的 deltaC 和 deltaQ。</w:t>
      </w:r>
    </w:p>
    <w:p>
      <w:pPr>
        <w:pStyle w:val="Heading1"/>
      </w:pPr>
      <w:r>
        <w:t>7. 结论与后续建议</w:t>
      </w:r>
    </w:p>
    <w:p>
      <w:r>
        <w:t>最终方案在 20 Hz-20 kHz 验收频点内满足 +/-3 dB，且相对上一版提高了约 61.5% 的最大 deltaC。它通过降低扭转梁宽度提高灵敏度，同时保持一阶 34.95 kHz、二阶 54.02 kHz 的较好模态间隔。下一步若要继续逼近论文级高灵敏度，应建立真正的挤压膜/孔流阻尼模型或声学等效腔模型，并加入 Maxwell 应力和移动网格做强耦合拉入验证。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