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w:t>
      </w:r>
      <w:r w:rsidR="00C0212E">
        <w:t>tawia geometryczna interpretację</w:t>
      </w:r>
      <w:r>
        <w:t xml:space="preserve"> fali akustycznej. Praca ukazuje mechanizm odbicia fali od powierzchni plaskiej i stanowi wprowadzenie do geometrycznych metod analizy pola.</w:t>
      </w:r>
    </w:p>
    <w:p w:rsidR="00757D9A" w:rsidRDefault="00F72C7C" w:rsidP="00F72C7C">
      <w:r>
        <w:t>Powstale metody numeryczne stosowane byly w wielu dziedzinach analizy pól wektorowych. Rozwój tech</w:t>
      </w:r>
      <w:r w:rsidR="00C0212E">
        <w:t>nologii komputerowej doprowadził</w:t>
      </w:r>
      <w:r>
        <w:t xml:space="preserve">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w:t>
      </w:r>
      <w:r w:rsidR="00C0212E">
        <w:t xml:space="preserve">rójwymiarowej. Poprzez podobieństwo rozchodzenia się </w:t>
      </w:r>
      <w:r>
        <w:t>fali dźwiękowej do świetlnej</w:t>
      </w:r>
      <w:r w:rsidR="00C0212E">
        <w:t>,</w:t>
      </w:r>
      <w:r>
        <w:t xml:space="preserve">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w:t>
      </w:r>
      <w:r w:rsidR="00C0212E">
        <w:t>tanie dokładnie od</w:t>
      </w:r>
      <w:r>
        <w:t>w</w:t>
      </w:r>
      <w:r w:rsidR="00C0212E">
        <w:t>z</w:t>
      </w:r>
      <w:r>
        <w:t xml:space="preserve">orować badanego środowiska </w:t>
      </w:r>
      <w:r w:rsidR="00C0212E">
        <w:t>akustycznego. Obliczenia przy uż</w:t>
      </w:r>
      <w:r>
        <w:t xml:space="preserve">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0A7091" w:rsidP="00F72C7C">
      <w:r>
        <w:t xml:space="preserve">Metoda źródeł pozornych jest jedną z metod często wykorzystywanych w akustyce architektonicznej i cyfrowym przetwarzaniu sygnałów. Przy użyciu tej metody możemy wygenerować odpowiedź impulsową pomieszczenia, zbadać dyfuzyjność pola, prześledzić ścieżkę propagacji dźwięku. </w:t>
      </w:r>
      <w:r w:rsidR="008E475D">
        <w:t xml:space="preserve">Ze względu na liczne uproszczenia, w metodzie jest uwzględniane wiele zjawisk falowych. W jej najprostszej implementacji pomijane są takie zjawiska jak dyfrakcja, interferencja czy rozproszenie fali. </w:t>
      </w:r>
      <w:r w:rsidR="00BF0222">
        <w:t xml:space="preserve">W wielu przypadkach, aby ta metoda była skuteczna, należy </w:t>
      </w:r>
      <w:r w:rsidR="00D93F05">
        <w:t xml:space="preserve">przeprowadzić złożone obliczenia, lub wykorzystać ją równolegle wraz z innymi metodami numerycznymi. </w:t>
      </w:r>
    </w:p>
    <w:p w:rsidR="00E9071C" w:rsidRDefault="00E9071C" w:rsidP="00F72C7C">
      <w:r>
        <w:t>2.2 Główne założenia metody</w:t>
      </w:r>
    </w:p>
    <w:p w:rsidR="008E475D" w:rsidRDefault="00AF5806" w:rsidP="00F72C7C">
      <w:r>
        <w:t xml:space="preserve">W przypadku metod geometrycznych falę dźwiękową </w:t>
      </w:r>
      <w:r w:rsidR="00AB09CC">
        <w:t>modelujemy</w:t>
      </w:r>
      <w:r>
        <w:t xml:space="preserve"> jako prosty obiekt </w:t>
      </w:r>
      <w:r w:rsidR="0065143D">
        <w:t>przestrzenny. W metodzie</w:t>
      </w:r>
      <w:r>
        <w:t xml:space="preserve"> źródeł pozornych, punktowe źródło zastępujemy nieskończonym zbiorem półprostych.</w:t>
      </w:r>
      <w:r w:rsidR="00C0212E">
        <w:t xml:space="preserve"> Każdy</w:t>
      </w:r>
      <w:r w:rsidR="0065143D">
        <w:t xml:space="preserve"> </w:t>
      </w:r>
      <w:r w:rsidR="00C0212E">
        <w:t>taki promień dźwiękowy</w:t>
      </w:r>
      <w:r w:rsidR="0065143D">
        <w:t xml:space="preserve"> reprezentuje pewną część składową fali i jej kierunek propagacji. </w:t>
      </w:r>
      <w:r w:rsidR="00300063">
        <w:t>Każda składowa odbija się od powierzchni zgodnie z prawem Snella, a przy odbiciu zostaje pochłonięta część jej energii proporcjonalna to współczynnika pochłaniania dźwięku dla danego materiału. Kolejnym założeniem jest, że powierzchnie odbijające są powierzchniami płaskimi</w:t>
      </w:r>
      <w:r w:rsidR="00AB09CC">
        <w:t>, a w polu występują jedno punktowe źródło i jeden punkt odbioru. W przypadku większej ilości punktów obserwacji, lub większej ilości źródeł należałoby skorzystać z szerszych metod jakimi są metoda obrazów pozornych i metoda pozornych obrazów punktu obserwacji.</w:t>
      </w:r>
      <w:r w:rsidR="00300063">
        <w:t xml:space="preserve"> Przy powyższych założeniach, każdą </w:t>
      </w:r>
      <w:r w:rsidR="00744A28">
        <w:t xml:space="preserve">ścieżkę propagacji </w:t>
      </w:r>
      <w:r w:rsidR="00C0212E">
        <w:t>promienia dźwiękowego</w:t>
      </w:r>
      <w:r w:rsidR="00744A28">
        <w:t xml:space="preserve"> można zastąpić pozornym źródłem. Źródło pozorne dla danej składowej fali powstaje w wyniku odbicia lustrzanego punktu źródła względem powierzchni odbijającej tą składową. W przypadku większej ilości odbić, punkt źródła należy odbić lustrzanie względem każdej kolejnej powierzchni odbijającej. Zbiór wyznaczonych w ten sposób źródeł nazywamy siatką źródeł pozornych, która reprezentuje warunki akustyczne analizowanego pomieszczenia dla ściśle określonych punktów źródła i odbioru. Siatka źródeł pozornych może być podstawą do wyznaczenia echogramu</w:t>
      </w:r>
      <w:r w:rsidR="006E7294">
        <w:t xml:space="preserve"> i </w:t>
      </w:r>
      <w:r w:rsidR="00AA7EE7">
        <w:t xml:space="preserve">czasu pogłosu pomieszczenia. Ze względu na dużą złożoność </w:t>
      </w:r>
      <w:r w:rsidR="00174E42">
        <w:t xml:space="preserve"> </w:t>
      </w:r>
      <w:r w:rsidR="00AA7EE7">
        <w:lastRenderedPageBreak/>
        <w:t>obliczeniową metody, często uzyskiwane są wyniki, które nie wystarczają do analizy pola akustycznego. W tym wypadku stosuje się połączenie kilku metod numerycznych. [7] [8] [9] [10]</w:t>
      </w:r>
    </w:p>
    <w:p w:rsidR="00AA7EE7" w:rsidRDefault="00E9071C" w:rsidP="00F72C7C">
      <w:r>
        <w:t>2.3 Wyznaczanie siatki źródeł pozornych</w:t>
      </w:r>
    </w:p>
    <w:p w:rsidR="00443872" w:rsidRDefault="00AA7EE7" w:rsidP="00F72C7C">
      <w:r>
        <w:t>W celu wyznaczenia siatki źródeł pozornych N-tego rzędu zdefiniujmy punkt źródła dźw</w:t>
      </w:r>
      <w:r w:rsidR="00BD15C9">
        <w:t>ięku S, punkt odbioru  oraz K-liczny zbiór</w:t>
      </w:r>
      <w:r>
        <w:t xml:space="preserve"> powierzchni odbijających</w:t>
      </w:r>
      <w:r w:rsidR="00BD15C9">
        <w:t xml:space="preserve"> P. (rysunek z modelem pomieszczenia). </w:t>
      </w:r>
    </w:p>
    <w:p w:rsidR="00443872" w:rsidRDefault="00443872" w:rsidP="00443872">
      <w:pPr>
        <w:jc w:val="center"/>
      </w:pPr>
      <w:r>
        <w:t>Rysowando</w:t>
      </w:r>
    </w:p>
    <w:p w:rsidR="00443872" w:rsidRDefault="00BD15C9" w:rsidP="00F72C7C">
      <w:r>
        <w:t xml:space="preserve">Do znalezienia wszystkich źródeł pozornych N-tego rzędu należy wygenerować wszystkie K^N wariacje z powtórzeniami zbioru P. Na wstępie możemy pominąć wariacje, w których ta sama powierzchnia jest przynajmniej dwoma kolejnymi elementami ciągu ponieważ promień dźwiękowy nie może dwukrotnie z rzędu odbić się od tej samej powierzchni. Każda wariacja reprezentuje jeden promień dźwiękowy, który odbija się kolejno od każdej powierzchni w wariacji. Aby znaleźć źródło pozorne dla </w:t>
      </w:r>
      <w:r w:rsidR="00EA3694">
        <w:t xml:space="preserve">danego promienia dźwiękowego należy odbić punkt źródła symetrycznie względem każdej z płaszczyzn w wariacji. (znów rysunek kilku odbić). </w:t>
      </w:r>
    </w:p>
    <w:p w:rsidR="00443872" w:rsidRDefault="00443872" w:rsidP="00443872">
      <w:pPr>
        <w:jc w:val="center"/>
      </w:pPr>
      <w:r>
        <w:t>rysowando</w:t>
      </w:r>
    </w:p>
    <w:p w:rsidR="00EA3694" w:rsidRDefault="00EA3694" w:rsidP="00F72C7C">
      <w:r>
        <w:t xml:space="preserve">Dla uzyskanego punktu należy zweryfikować czy promień dźwiękowy jest w stanie dotrzeć od punktu źródła do punktu odbiornika w danym układzie geometrycznym. W tym celu należy prześledzić ścieżkę promienia dźwiękowego wstecz – zaczynając od punktu obserwacji. Początkowy kierunek promienia znajduje się wyznaczając </w:t>
      </w:r>
      <w:r w:rsidR="00EE3EB4">
        <w:t>wektor rozpięty od punktu źródła pozornego do punktu obserwacji. Prosta przechodząca przez te punkty</w:t>
      </w:r>
      <w:r>
        <w:t xml:space="preserve"> powinna przecinać ostatnią pow</w:t>
      </w:r>
      <w:r w:rsidR="00EE3EB4">
        <w:t>ierzchnie z wariacji, a kąt pomiędzy wektorem wyznaczającym kierunek ścieżki promienia dźwiękowego, a wektorem normalnym płaszczyzny, na której leży powierzchnia odbijająca powinien być mniejszy niż 90 stopni. Odcinek łączący punkt obserwacji z punktem przecięcia powyższej prostej z powierzchnią odbijającą stanowi fragment ścieżki promienia dźwiękowego. Kolejny kolejny fragment ścieżki promienia dźwiękowego wyznacza się odbijając symetrycznie poprzedni odcinek względem kolejnej powierzchni odbijającej. Z każdym krokiem należy sprawdzić czy odcinek ścieżki promienia dźwiękowego przecina płaszczyzny względem których się odbija. Jeśli uda się prześledzić ścieżkę promienia dźwiękowego od punktu obserwacji do punktu źródła</w:t>
      </w:r>
      <w:r w:rsidR="00867BD7">
        <w:t xml:space="preserve"> można sprawdzany punkt uznać za źródło pozorne i uwzględnić w siatce źródeł pozornych.</w:t>
      </w:r>
    </w:p>
    <w:p w:rsidR="00867BD7" w:rsidRDefault="00867BD7" w:rsidP="00F72C7C">
      <w:r>
        <w:t>2.4 Uwzględnienie współczynnika pochłaniania</w:t>
      </w:r>
    </w:p>
    <w:p w:rsidR="00443872" w:rsidRDefault="00383998" w:rsidP="00F72C7C">
      <w:r>
        <w:t>W akustyce architektonicznej przy symulacji warunków akustycznych w pomieszczeniu istotne jest uwzględnienie współczynnika pochłaniania dźwięku. (wzór 1)</w:t>
      </w:r>
      <w:r w:rsidR="00FF72C8">
        <w:t xml:space="preserve"> </w:t>
      </w:r>
    </w:p>
    <w:p w:rsidR="00443872" w:rsidRDefault="00443872" w:rsidP="00443872">
      <w:pPr>
        <w:jc w:val="center"/>
      </w:pPr>
      <w:r>
        <w:t>Wzór 1</w:t>
      </w:r>
    </w:p>
    <w:p w:rsidR="00FF72C8" w:rsidRDefault="00FF72C8" w:rsidP="00F72C7C">
      <w:r>
        <w:t>Definiując dla każdej powierzchni odbijającej współczynnik pochłaniania alpha_i, gdzie i jest indeksem powierzchni, możemy dla każdej z nich wyznaczyć współczynnik odbicia R_i. Mnożąc przez siebie współczynniki odbić fali dla kolejnych powierzchni i dzieląc przez energię źródła otrzymujemy energię źródła pozornego odpowiadającego odbiciom od powyższych powierzchni (wzór 2)</w:t>
      </w:r>
    </w:p>
    <w:p w:rsidR="00443872" w:rsidRDefault="00443872" w:rsidP="00443872">
      <w:pPr>
        <w:jc w:val="center"/>
      </w:pPr>
      <w:r>
        <w:t>Wzór 2</w:t>
      </w:r>
    </w:p>
    <w:p w:rsidR="00E9071C" w:rsidRDefault="008A4109" w:rsidP="00F72C7C">
      <w:r>
        <w:lastRenderedPageBreak/>
        <w:t xml:space="preserve"> </w:t>
      </w:r>
      <w:r w:rsidR="00867BD7">
        <w:br/>
        <w:t>2.5</w:t>
      </w:r>
      <w:r w:rsidR="00E9071C">
        <w:t xml:space="preserve"> </w:t>
      </w:r>
      <w:r w:rsidR="009D1B14">
        <w:t>Przykładowe użycie metody</w:t>
      </w:r>
    </w:p>
    <w:p w:rsidR="009D1B14" w:rsidRDefault="00443872" w:rsidP="00F72C7C">
      <w:r>
        <w:t xml:space="preserve">Przyjmując prostopadłościenne pomieszczenie z umieszczonym punktowym źródłem dźwięku i punktem obserwacji (rysunek x ) wyznaczamy siatkę źródeł pozornych ( rysunek y). Dla przejrzystości rysunku siatka została wyznaczona dla maksymalnie trzeciego odbicia. </w:t>
      </w:r>
    </w:p>
    <w:p w:rsidR="00443872" w:rsidRDefault="00443872" w:rsidP="00443872">
      <w:pPr>
        <w:jc w:val="center"/>
      </w:pPr>
      <w:r>
        <w:t>Rysunek x</w:t>
      </w:r>
    </w:p>
    <w:p w:rsidR="00443872" w:rsidRDefault="00443872" w:rsidP="00443872">
      <w:pPr>
        <w:jc w:val="center"/>
      </w:pPr>
      <w:r>
        <w:t>Rysunek y</w:t>
      </w:r>
    </w:p>
    <w:p w:rsidR="00443872" w:rsidRDefault="00443872" w:rsidP="00443872">
      <w:r>
        <w:t xml:space="preserve">Położenia źródeł pozornych w siatce daje informację o kierunkach promieni dźwiękowych dochodzących do punktu obserwacji. Uwzględniając straty energii pochłoniętej przez odbicia oraz </w:t>
      </w:r>
      <w:r w:rsidR="00BE755F">
        <w:t>starty energii związanej z rozchodzeniem się fali kulistej możemy wyznaczyć  ilość energii i czas w jakim dotrze ona do punktu obserwacji dla każdego źródła pozornego. Zależność energii dochodzącej do punktu odbioru od czasu przedstawiona jest na poniższym echogramie ( echogram).</w:t>
      </w:r>
    </w:p>
    <w:p w:rsidR="00BE755F" w:rsidRDefault="00BE755F" w:rsidP="00BE755F">
      <w:pPr>
        <w:jc w:val="center"/>
      </w:pPr>
      <w:r>
        <w:t>Echogram</w:t>
      </w:r>
    </w:p>
    <w:p w:rsidR="00521335" w:rsidRDefault="00BE755F" w:rsidP="00BE755F">
      <w:r>
        <w:t xml:space="preserve">Uzyskany echogram, lub jego część mogą być użyte do obliczenia wskaźników C50, C80, D50. </w:t>
      </w:r>
      <w:r w:rsidR="00521335">
        <w:t>Poprzez całkowanie wsteczne echogramu można uzyskać krzywą zaniku energii dźwięku w pomieszczeniu (rysunek milion).</w:t>
      </w:r>
    </w:p>
    <w:p w:rsidR="00521335" w:rsidRDefault="00521335" w:rsidP="00521335">
      <w:pPr>
        <w:jc w:val="center"/>
      </w:pPr>
      <w:r>
        <w:t>Rysunek milion</w:t>
      </w:r>
    </w:p>
    <w:p w:rsidR="00BE755F" w:rsidRDefault="00521335" w:rsidP="00521335">
      <w:r>
        <w:t>Na jej podstawie można wyznaczyć czas pogłosu pomieszczenia. W porównaniu do metody źródeł pozornych, w metodzie promieniowej, ze względu na mniejszą złożoność obliczeń, uzyskuje się dłuższe echogramy. Zaletą metody źródeł pozornych jest uzyskiwanie dokładnych ścieżek promieni dźwiękowych, a nie jak w przypadku metody promieniowej, ścieżek trafiających jedynie w okolice punktu obserwacji. Ze względu na zalety obu tych metod często stosuje się je w połączeniu [coś tam].</w:t>
      </w:r>
    </w:p>
    <w:p w:rsidR="00521335" w:rsidRDefault="00521335" w:rsidP="00521335">
      <w:r>
        <w:t xml:space="preserve">3. </w:t>
      </w:r>
      <w:r w:rsidR="00A92C12">
        <w:t xml:space="preserve">Przetwarzanie heterogeniczne </w:t>
      </w:r>
    </w:p>
    <w:p w:rsidR="00A92C12" w:rsidRDefault="00A92C12" w:rsidP="00521335">
      <w:r>
        <w:t>3.1 Wprowadzenie</w:t>
      </w:r>
    </w:p>
    <w:p w:rsidR="004C63A6" w:rsidRDefault="00993B95" w:rsidP="00521335">
      <w:r>
        <w:t>Lata 50-te XX wieku były przełomowym okresem w dziedzinie elektronicznego przetwarzania danych. Opracowana w 1945 roku Architekura von Neumana […] pozwoliła na uruchomienie pierwszych komputerów ogólnego przeznaczenia. Mimo, że Architektura Harwardzka</w:t>
      </w:r>
      <w:r w:rsidR="00174E42">
        <w:t xml:space="preserve"> […]</w:t>
      </w:r>
      <w:r>
        <w:t xml:space="preserve"> została opracowana 6 lat wcześniej, Architektura von Neumana była łatwiejsza w implementacji przez przechowywanie danych wraz z programem na jednej wspólnej pamięci</w:t>
      </w:r>
      <w:r w:rsidR="00174E42">
        <w:t xml:space="preserve">. Pierwszym komputerem opartym na pomyśle Neumana, który wykonywał instrukcje zapisane w fizycznej pamięci był powstały w 1948 roku </w:t>
      </w:r>
      <w:r w:rsidR="00174E42" w:rsidRPr="00174E42">
        <w:t>Small-Scale Experimental Machine</w:t>
      </w:r>
      <w:r w:rsidR="00174E42">
        <w:t xml:space="preserve">. Był on bazą do rozwijania kolejnych urządzeń i tak w 1949 roku powstał </w:t>
      </w:r>
      <w:r w:rsidR="00174E42" w:rsidRPr="00174E42">
        <w:t>EDSAC (akronim od ang. Electronic Delay Storage Automatic Calculator)</w:t>
      </w:r>
      <w:r w:rsidR="00174E42">
        <w:t xml:space="preserve">. Był to pierwszy komputer wykorzystywany w praktyce do obliczeń naukowych. </w:t>
      </w:r>
      <w:r w:rsidR="00A74671">
        <w:t xml:space="preserve">EDSAC rozbudowany był o dodatkowe układy peryferyjne. </w:t>
      </w:r>
      <w:r w:rsidR="00A12176">
        <w:t>W celu</w:t>
      </w:r>
      <w:r w:rsidR="00A74671">
        <w:t xml:space="preserve"> odczytu danych zastosowano w nim dalekopis – aparat drukujący dane w postaci alfanumerycznej. </w:t>
      </w:r>
      <w:r w:rsidR="00A12176">
        <w:t>Skonstruowanie komputerów zerowej, pierwszej i drugiej generacji znacznie rozwinęło moc obliczeniową tych urządzeń. W dalszym ciągu jednak stosowano niewygodne formy prezentacji danych – wyświetlacze złożone z szeregu lamp, perforowane karty. W 1975 roku w jednym z pierwszych komputerów osobistych IBM 5100 zasto</w:t>
      </w:r>
      <w:r w:rsidR="00633986">
        <w:t xml:space="preserve">sowano kineskopowy wyświetlacz, </w:t>
      </w:r>
      <w:r w:rsidR="00633986">
        <w:lastRenderedPageBreak/>
        <w:t xml:space="preserve">który mógł wyświetlać 16 linii po 64 znaków. 6 lat później w kolejnym modelu IBM 5150 wprowadzono możliwość instalacji kart rozszerzeń ISA. Zastosowano w nim pierwszą kartę graficzną </w:t>
      </w:r>
      <w:r w:rsidR="00633986" w:rsidRPr="00633986">
        <w:t>Monochrome Display Adapter (MDA)</w:t>
      </w:r>
      <w:r w:rsidR="00633986">
        <w:t>. Rozpoczęło to rozwój peryferyjnych układów komputera, które stały się niezależnymi platformami z własnym procesore</w:t>
      </w:r>
      <w:r w:rsidR="003E3E7E">
        <w:t xml:space="preserve">m i pamięcią. Początkowo karty graficzne były w stanie wyświetlać jedynie znaki alfanumeryczne przechowywane w pamięci karty. Kolejne generacje kart pozwalały na rysowanie obrazów przy użyciu pojedynczych pikseli, a nowoczesne układy graficzne pozwalały na akcelerację 2D i 3D korzystając z wbudowanych funkcji do generowania obrazu. W najnowszych procesorach grafiki umożliwiono użytkownikowi zaprogramowanie je w dowolny sposób. Charakterystyka obliczeń przy przetwarzaniu obrazów wymusiła architekturę procesorów graficznych w postaci dużej ilości jednakowych </w:t>
      </w:r>
      <w:r w:rsidR="0022108C">
        <w:t>jednostek ALU (ang. Arithmetic Logic Units)</w:t>
      </w:r>
      <w:r w:rsidR="003E3E7E">
        <w:t xml:space="preserve">, potrafiących wykonać równolegle wiele prostych operacji. </w:t>
      </w:r>
    </w:p>
    <w:p w:rsidR="004C63A6" w:rsidRDefault="004C63A6" w:rsidP="004C63A6">
      <w:pPr>
        <w:jc w:val="center"/>
      </w:pPr>
      <w:r>
        <w:t>Rysuneczek architektury GPGPU</w:t>
      </w:r>
    </w:p>
    <w:p w:rsidR="00A92C12" w:rsidRDefault="004C63A6" w:rsidP="004C63A6">
      <w:r>
        <w:br/>
      </w:r>
      <w:r w:rsidR="003E3E7E">
        <w:t xml:space="preserve">Taka budowa kart graficznych pozwoliła na wykorzystanie ich nie tylko do obliczeń związanych z generowaniem grafiki ale także </w:t>
      </w:r>
      <w:r w:rsidR="00B00922">
        <w:t>innych obliczeń przetwarzania danych co doprowadziło do powstania kart ogólnego przeznaczenia (GPGPU).</w:t>
      </w:r>
    </w:p>
    <w:p w:rsidR="00A92C12" w:rsidRDefault="00A92C12" w:rsidP="00A92C12">
      <w:r>
        <w:t>3.2 Heterogeniczne platformy obliczeniowe</w:t>
      </w:r>
    </w:p>
    <w:p w:rsidR="00521335" w:rsidRDefault="008A4109" w:rsidP="00521335">
      <w:r>
        <w:t>Początkowo GPGPU były wykorzystywane do zaawansowanego generowania grafiki. Dążenie do realizmu w grach komputerowych rozwinęło karty graficzne o algorytmy wymagające przetwarzania równoległego, takie jak shading [</w:t>
      </w:r>
      <w:r w:rsidRPr="008A4109">
        <w:t xml:space="preserve">Rost, Randi J. OpenGL Shading Language. Addison-Wesley Professional. </w:t>
      </w:r>
      <w:r w:rsidRPr="008A4109">
        <w:rPr>
          <w:lang w:val="en-US"/>
        </w:rPr>
        <w:t xml:space="preserve">ISBN 0-321-19789-5.] czy </w:t>
      </w:r>
      <w:r>
        <w:rPr>
          <w:lang w:val="en-US"/>
        </w:rPr>
        <w:t>ray-tracing [</w:t>
      </w:r>
      <w:r w:rsidRPr="008A4109">
        <w:rPr>
          <w:lang w:val="en-US"/>
        </w:rPr>
        <w:t xml:space="preserve">Appel A. (1968) Some techniques for shading machine renderings of solids. </w:t>
      </w:r>
      <w:r w:rsidRPr="009C2AA5">
        <w:t>AFIPS Conference Proc. 32 pp.37-45]</w:t>
      </w:r>
      <w:r>
        <w:t xml:space="preserve">. </w:t>
      </w:r>
      <w:r w:rsidR="009C2AA5">
        <w:t>W celu odciążenia procesora od złożonych obliczeń, na kartach graficznych zaczęto implementować fizykę obiektów – obliczenia związane z mechaniką klasyczną, symulac</w:t>
      </w:r>
      <w:r w:rsidR="005A447B">
        <w:t>je zachowania cieczy, zachowania</w:t>
      </w:r>
      <w:r w:rsidR="009C2AA5">
        <w:t xml:space="preserve"> układów ciągłych i inne efekty cząsteczkowe. Dla ułatwienia programistom wykorzystania możliwości GPGPU, NVIDIA w 2007 roku wprowadza platformę CUDA. Jest to środowisko programistyczne i biblioteka umożliwiająca wykorzystanie kart graficznych produkowanych przez firmę NVIDIA. </w:t>
      </w:r>
      <w:r w:rsidR="005A447B">
        <w:t>Umożliwia ona pisanie kodu opartego na C/C++ wykonywanego na procesorze karty i mającego bezpośredni dostęp do jej pamięci. Ułatwienie implementacji algorytmów na GPGPU rozwinęło wykorzystywanie tych kart w różnych dziedzinach naukowych – kryptografii, fizyki kwantowej, ekonomii, medycynie. Wykonywanie skomplikowanych obliczeń przy użyciu</w:t>
      </w:r>
      <w:r w:rsidR="00DF669D">
        <w:t xml:space="preserve"> CUDA</w:t>
      </w:r>
      <w:r w:rsidR="005A447B">
        <w:t xml:space="preserve"> stało się powszechne na komputerach domo</w:t>
      </w:r>
      <w:r w:rsidR="00DF669D">
        <w:t xml:space="preserve">wych, ale było ograniczone przez wymagania sprzętowe. 2 lata po wprowadzeniu CUDA firma Apple Inc wprowadza </w:t>
      </w:r>
      <w:r w:rsidR="00DF669D" w:rsidRPr="00DF669D">
        <w:t>OpenCL (ang. Open Computing Language)</w:t>
      </w:r>
      <w:r w:rsidR="00DF669D">
        <w:t>. W przeciwieństwie do produktu NVIDA, OpenCL umożliwia pisanie programów na heterogeniczne platformy – układy złożo</w:t>
      </w:r>
      <w:r w:rsidR="0022108C">
        <w:t xml:space="preserve">ne z różnego rodzaju procesorów. Daje to możliwość pisania aplikacji na komputery z układami większości popularnych producentów, lub dowolne układy złożone z </w:t>
      </w:r>
      <w:r w:rsidR="004C63A6">
        <w:t xml:space="preserve">różnych </w:t>
      </w:r>
      <w:r w:rsidR="0022108C">
        <w:t xml:space="preserve">procesorów </w:t>
      </w:r>
      <w:r w:rsidR="004C63A6">
        <w:t xml:space="preserve">(m. in. </w:t>
      </w:r>
      <w:r w:rsidR="0022108C">
        <w:t xml:space="preserve">CPU, GPU, </w:t>
      </w:r>
      <w:r w:rsidR="004C63A6">
        <w:t xml:space="preserve">DSP, </w:t>
      </w:r>
      <w:r w:rsidR="0022108C">
        <w:t>FPGA</w:t>
      </w:r>
      <w:r w:rsidR="004C63A6">
        <w:t>)</w:t>
      </w:r>
      <w:r w:rsidR="0022108C">
        <w:t xml:space="preserve">, oraz zapewnia przenośność programów.  </w:t>
      </w:r>
    </w:p>
    <w:p w:rsidR="00A92C12" w:rsidRDefault="00A92C12" w:rsidP="00521335">
      <w:r>
        <w:t>3.3 Środowisko OpenCL</w:t>
      </w:r>
    </w:p>
    <w:p w:rsidR="004C63A6" w:rsidRDefault="004C63A6" w:rsidP="00521335">
      <w:r>
        <w:t xml:space="preserve">OpenCL jest platformą programistyczną opracowaną w 2009 roku przez Apple Inc, a następnie utrzymywaną przez Khronos Group. </w:t>
      </w:r>
      <w:r w:rsidR="008A2AB4">
        <w:t xml:space="preserve">Umożliwia programowanie heterogenicznych </w:t>
      </w:r>
      <w:r w:rsidR="005244E8">
        <w:t>układów procesorowych</w:t>
      </w:r>
      <w:r w:rsidR="008A2AB4">
        <w:t xml:space="preserve"> w języku opartym na C99 i C++11.</w:t>
      </w:r>
      <w:r w:rsidR="005244E8">
        <w:t xml:space="preserve">  </w:t>
      </w:r>
    </w:p>
    <w:p w:rsidR="00D12224" w:rsidRDefault="005244E8" w:rsidP="00521335">
      <w:r>
        <w:lastRenderedPageBreak/>
        <w:t>Aplikacja pisana w OpenCL opiera się na jednostkach zwanych platformami. Każda platforma odpowiada za przygotowanie danych do obliczeń i rozdzieleniem zadań. W nowszych standardach kod platformy może być pisany w wielu popularnych jezykach (m. in. Python, Matlab). Każda platforma zawiera kontekst, w którym definiowane są dane wejściowe, kolejka zadań i urządzenia do wykonywania obliczeń. Każde urządzenie zawiera jednostki obliczeniowe (ang. compute units</w:t>
      </w:r>
      <w:r w:rsidR="00D12224">
        <w:t xml:space="preserve">, CU), które składają się z elementów przetwarzania (ang. processing elements, PEs). </w:t>
      </w:r>
    </w:p>
    <w:p w:rsidR="00D12224" w:rsidRDefault="00D12224" w:rsidP="00D12224">
      <w:pPr>
        <w:jc w:val="center"/>
      </w:pPr>
      <w:r>
        <w:t>Rysunek z architekturą programu OpenCL</w:t>
      </w:r>
    </w:p>
    <w:p w:rsidR="005244E8" w:rsidRDefault="00D12224" w:rsidP="00521335">
      <w:r>
        <w:t>Elementy przetwarzania wykonują specjalnie przygotowane funkcje (tzw. kernele) definiowane według standardu OpenCL. W zależności od urządzenia (karta graficzna, procesor itp.), CU i PE reprezentują różne elementy procesora, ale odwołuje się do nich w ten sam sposób. Umożliwia to wykonywanie kernela o jednakowej składni na różnych typach procesorów. Kernele wykonywane są według kolejki zadań i rozdzielone pomiędzy jednostki obliczeniowe mogą być wykonywane równolegle na wielu elementach przetwarzania.</w:t>
      </w:r>
      <w:r w:rsidR="008C1A64">
        <w:t xml:space="preserve"> Każda kolejka zadań definiuje przestrzeń indeksowania, w której wykonywane są poszczególne kernele. Instancje kernela wywołaną w obrębie jednego indeksu nazywamy wątkiem. Przestrzeń indeksów można podzielić na grupy (ang. work-group), do których należą poszczególne wątki.</w:t>
      </w:r>
    </w:p>
    <w:p w:rsidR="00E9071C" w:rsidRDefault="00D12224" w:rsidP="009A6D4C">
      <w:r>
        <w:t xml:space="preserve">OpenCL umożliwia </w:t>
      </w:r>
      <w:r w:rsidR="009A6D4C">
        <w:t xml:space="preserve">dynamiczny </w:t>
      </w:r>
      <w:r>
        <w:t xml:space="preserve">dostęp do </w:t>
      </w:r>
      <w:r w:rsidR="009A6D4C">
        <w:t>pamięci urządzeń. Zdefiniowane są cztery typy</w:t>
      </w:r>
      <w:r>
        <w:t xml:space="preserve"> pamięci:</w:t>
      </w:r>
      <w:r>
        <w:br/>
        <w:t xml:space="preserve">- </w:t>
      </w:r>
      <w:r w:rsidR="009A6D4C">
        <w:t>pamięć globalna – pamięć dostępną przez wszystkie wątki w obrębie jednego kontekstu</w:t>
      </w:r>
      <w:r w:rsidR="009A6D4C">
        <w:br/>
        <w:t>- pamięć stałą – pamięć tylko do odczytu, dostępna globalnie</w:t>
      </w:r>
      <w:r w:rsidR="009A6D4C">
        <w:br/>
        <w:t>- pamięć lokalną – pamięć dostępna w obrębie jednej grupy wątków</w:t>
      </w:r>
      <w:r w:rsidR="009A6D4C">
        <w:br/>
        <w:t>- pamięć prywatną – pamięć dostępna w obrębie jednego wątku</w:t>
      </w:r>
      <w:r w:rsidR="009A6D4C">
        <w:br/>
        <w:t>Przepływ danych między platformą, a urządzeniem może odbyć się poprzez operację kopiowania, lub odwzorowania z pamięci platformy do pamięci urządzenia.</w:t>
      </w:r>
    </w:p>
    <w:p w:rsidR="009A6D4C" w:rsidRPr="00E9071C" w:rsidRDefault="00615252" w:rsidP="009A6D4C">
      <w:r>
        <w:t>Dużym ograniczeniem wydajności obliczeń jest czas dostępu do pamięci. Pamięć o szerszym dostępie ma wolniejszy czas dostępu, dlatego dla przyspieszenia obliczeń należy wykonywać równolegle obliczenia niezależne od siebie, wykorzystujące pamięć lokalną.</w:t>
      </w:r>
    </w:p>
    <w:sectPr w:rsidR="009A6D4C"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9C4" w:rsidRDefault="00B579C4" w:rsidP="00E9071C">
      <w:pPr>
        <w:spacing w:after="0" w:line="240" w:lineRule="auto"/>
      </w:pPr>
      <w:r>
        <w:separator/>
      </w:r>
    </w:p>
  </w:endnote>
  <w:endnote w:type="continuationSeparator" w:id="1">
    <w:p w:rsidR="00B579C4" w:rsidRDefault="00B579C4"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9C4" w:rsidRDefault="00B579C4" w:rsidP="00E9071C">
      <w:pPr>
        <w:spacing w:after="0" w:line="240" w:lineRule="auto"/>
      </w:pPr>
      <w:r>
        <w:separator/>
      </w:r>
    </w:p>
  </w:footnote>
  <w:footnote w:type="continuationSeparator" w:id="1">
    <w:p w:rsidR="00B579C4" w:rsidRDefault="00B579C4" w:rsidP="00E907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070D98"/>
    <w:rsid w:val="000A7091"/>
    <w:rsid w:val="00174E42"/>
    <w:rsid w:val="001F5C3C"/>
    <w:rsid w:val="0022108C"/>
    <w:rsid w:val="002E3798"/>
    <w:rsid w:val="00300063"/>
    <w:rsid w:val="00383998"/>
    <w:rsid w:val="003E3E7E"/>
    <w:rsid w:val="00443872"/>
    <w:rsid w:val="004C63A6"/>
    <w:rsid w:val="00521335"/>
    <w:rsid w:val="005244E8"/>
    <w:rsid w:val="0057544A"/>
    <w:rsid w:val="005A1CDA"/>
    <w:rsid w:val="005A447B"/>
    <w:rsid w:val="005E3776"/>
    <w:rsid w:val="00615252"/>
    <w:rsid w:val="00633986"/>
    <w:rsid w:val="0065143D"/>
    <w:rsid w:val="006E7294"/>
    <w:rsid w:val="00744A28"/>
    <w:rsid w:val="00747ABD"/>
    <w:rsid w:val="00757D9A"/>
    <w:rsid w:val="0077494D"/>
    <w:rsid w:val="00867BD7"/>
    <w:rsid w:val="008A2AB4"/>
    <w:rsid w:val="008A4109"/>
    <w:rsid w:val="008C1A64"/>
    <w:rsid w:val="008E475D"/>
    <w:rsid w:val="0094129D"/>
    <w:rsid w:val="00993B95"/>
    <w:rsid w:val="009A6D4C"/>
    <w:rsid w:val="009C2AA5"/>
    <w:rsid w:val="009D1B14"/>
    <w:rsid w:val="00A12176"/>
    <w:rsid w:val="00A74671"/>
    <w:rsid w:val="00A92C12"/>
    <w:rsid w:val="00AA7EE7"/>
    <w:rsid w:val="00AB09CC"/>
    <w:rsid w:val="00AF5806"/>
    <w:rsid w:val="00B00922"/>
    <w:rsid w:val="00B579C4"/>
    <w:rsid w:val="00BD15C9"/>
    <w:rsid w:val="00BE755F"/>
    <w:rsid w:val="00BF0222"/>
    <w:rsid w:val="00C0212E"/>
    <w:rsid w:val="00D12224"/>
    <w:rsid w:val="00D93F05"/>
    <w:rsid w:val="00DF669D"/>
    <w:rsid w:val="00E22958"/>
    <w:rsid w:val="00E9071C"/>
    <w:rsid w:val="00EA3694"/>
    <w:rsid w:val="00ED11CF"/>
    <w:rsid w:val="00EE3EB4"/>
    <w:rsid w:val="00F04A9E"/>
    <w:rsid w:val="00F4365B"/>
    <w:rsid w:val="00F72C7C"/>
    <w:rsid w:val="00FF72C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s>
</file>

<file path=word/webSettings.xml><?xml version="1.0" encoding="utf-8"?>
<w:webSettings xmlns:r="http://schemas.openxmlformats.org/officeDocument/2006/relationships" xmlns:w="http://schemas.openxmlformats.org/wordprocessingml/2006/main">
  <w:divs>
    <w:div w:id="164248676">
      <w:bodyDiv w:val="1"/>
      <w:marLeft w:val="0"/>
      <w:marRight w:val="0"/>
      <w:marTop w:val="0"/>
      <w:marBottom w:val="0"/>
      <w:divBdr>
        <w:top w:val="none" w:sz="0" w:space="0" w:color="auto"/>
        <w:left w:val="none" w:sz="0" w:space="0" w:color="auto"/>
        <w:bottom w:val="none" w:sz="0" w:space="0" w:color="auto"/>
        <w:right w:val="none" w:sz="0" w:space="0" w:color="auto"/>
      </w:divBdr>
    </w:div>
    <w:div w:id="44165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2604</Words>
  <Characters>15625</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Dominik</cp:lastModifiedBy>
  <cp:revision>10</cp:revision>
  <dcterms:created xsi:type="dcterms:W3CDTF">2019-08-27T15:06:00Z</dcterms:created>
  <dcterms:modified xsi:type="dcterms:W3CDTF">2019-08-30T20:31:00Z</dcterms:modified>
</cp:coreProperties>
</file>