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E280F" w14:textId="77777777" w:rsidR="00925CC5" w:rsidRDefault="00267FA1" w:rsidP="00645672">
      <w:pPr>
        <w:spacing w:line="240" w:lineRule="auto"/>
        <w:jc w:val="center"/>
        <w:rPr>
          <w:b/>
        </w:rPr>
      </w:pPr>
      <w:r w:rsidRPr="006613F9">
        <w:rPr>
          <w:b/>
        </w:rPr>
        <w:t>RESEARCH NOTE</w:t>
      </w:r>
    </w:p>
    <w:p w14:paraId="00CE2810" w14:textId="77777777" w:rsidR="006613F9" w:rsidRPr="006613F9" w:rsidRDefault="006613F9" w:rsidP="00645672">
      <w:pPr>
        <w:spacing w:line="240" w:lineRule="auto"/>
        <w:rPr>
          <w:b/>
        </w:rPr>
      </w:pPr>
      <w:r>
        <w:rPr>
          <w:b/>
        </w:rPr>
        <w:t>From: Laila Poisson</w:t>
      </w:r>
    </w:p>
    <w:p w14:paraId="00CE2811" w14:textId="77777777" w:rsidR="00267FA1" w:rsidRPr="006613F9" w:rsidRDefault="00267FA1" w:rsidP="00645672">
      <w:pPr>
        <w:spacing w:line="240" w:lineRule="auto"/>
        <w:rPr>
          <w:b/>
        </w:rPr>
      </w:pPr>
      <w:r w:rsidRPr="006613F9">
        <w:rPr>
          <w:b/>
        </w:rPr>
        <w:t>DATE: January 8, 2014</w:t>
      </w:r>
    </w:p>
    <w:p w14:paraId="00CE2812" w14:textId="77777777" w:rsidR="00267FA1" w:rsidRPr="006613F9" w:rsidRDefault="00267FA1" w:rsidP="00645672">
      <w:pPr>
        <w:spacing w:line="240" w:lineRule="auto"/>
        <w:rPr>
          <w:b/>
        </w:rPr>
      </w:pPr>
      <w:r w:rsidRPr="006613F9">
        <w:rPr>
          <w:b/>
        </w:rPr>
        <w:t xml:space="preserve">RE: Patient characteristics for </w:t>
      </w:r>
      <w:r w:rsidR="000B4F7F">
        <w:rPr>
          <w:b/>
        </w:rPr>
        <w:t xml:space="preserve">GBM samples with </w:t>
      </w:r>
      <w:r w:rsidRPr="006613F9">
        <w:rPr>
          <w:b/>
        </w:rPr>
        <w:t xml:space="preserve">RNA-seq </w:t>
      </w:r>
      <w:r w:rsidR="000B4F7F">
        <w:rPr>
          <w:b/>
        </w:rPr>
        <w:t>data</w:t>
      </w:r>
    </w:p>
    <w:p w14:paraId="00CE2813" w14:textId="77777777" w:rsidR="00267FA1" w:rsidRDefault="00267FA1" w:rsidP="00645672">
      <w:pPr>
        <w:spacing w:line="240" w:lineRule="auto"/>
      </w:pPr>
      <w:r>
        <w:t xml:space="preserve">Recently we have been interested in the RNA-seq measures </w:t>
      </w:r>
      <w:r w:rsidR="006613F9">
        <w:t xml:space="preserve">of messenger RNA (mRNA) expression </w:t>
      </w:r>
      <w:r>
        <w:t>for glioma produced by The Cancer Genome Atlas project</w:t>
      </w:r>
      <w:r w:rsidR="00084F00">
        <w:t xml:space="preserve"> (TCGA)</w:t>
      </w:r>
      <w:r>
        <w:t xml:space="preserve">. </w:t>
      </w:r>
      <w:r w:rsidR="00084F00">
        <w:t>T</w:t>
      </w:r>
      <w:r>
        <w:t xml:space="preserve">he glioblastoma arm (GBM) </w:t>
      </w:r>
      <w:r w:rsidR="00084F00">
        <w:t xml:space="preserve">of TCGA </w:t>
      </w:r>
      <w:r>
        <w:t>was initiated in 2006 prior to common use of next-generation sequencing for mRNA assay</w:t>
      </w:r>
      <w:r w:rsidR="00084F00">
        <w:t xml:space="preserve">. </w:t>
      </w:r>
      <w:proofErr w:type="gramStart"/>
      <w:r w:rsidR="00084F00">
        <w:t>Therefore</w:t>
      </w:r>
      <w:proofErr w:type="gramEnd"/>
      <w:r w:rsidR="00084F00">
        <w:t xml:space="preserve"> mRNA expression was assayed by </w:t>
      </w:r>
      <w:r>
        <w:t>Affymetrix and/or Illumina microarray</w:t>
      </w:r>
      <w:r w:rsidR="006613F9">
        <w:t xml:space="preserve"> for these tumor samples</w:t>
      </w:r>
      <w:r>
        <w:t>.</w:t>
      </w:r>
      <w:r w:rsidR="00084F00">
        <w:t xml:space="preserve"> RNA-sequencing has been performed retrospectively on those samples with remaining tissue and/or banked Total RNA. </w:t>
      </w:r>
    </w:p>
    <w:p w14:paraId="00CE2814" w14:textId="77777777" w:rsidR="006613F9" w:rsidRDefault="006613F9" w:rsidP="00645672">
      <w:pPr>
        <w:spacing w:line="240" w:lineRule="auto"/>
      </w:pPr>
      <w:r>
        <w:t xml:space="preserve">Started more recently, the lower-grade glioma arm (LGG) of TCGA uses only RNA-sequencing to assay mRNA expression levels. </w:t>
      </w:r>
      <w:r w:rsidR="00084F00">
        <w:t xml:space="preserve">Glioblastoma represents a grade 4 </w:t>
      </w:r>
      <w:proofErr w:type="gramStart"/>
      <w:r w:rsidR="00084F00">
        <w:t>glioma</w:t>
      </w:r>
      <w:proofErr w:type="gramEnd"/>
      <w:r w:rsidR="00084F00">
        <w:t xml:space="preserve"> and it is of interest to look at expression levels across the LGG and GBM arms of TCGA. Since RNA-sequencing was not part of the original protocol there is a risk that the </w:t>
      </w:r>
      <w:r>
        <w:t xml:space="preserve">GBM </w:t>
      </w:r>
      <w:r w:rsidR="00084F00">
        <w:t xml:space="preserve">patients with this data are not representative of the TCGA-GBM case set. </w:t>
      </w:r>
    </w:p>
    <w:p w14:paraId="00CE2815" w14:textId="40E357D0" w:rsidR="00084F00" w:rsidRDefault="00084F00" w:rsidP="00645672">
      <w:pPr>
        <w:spacing w:line="240" w:lineRule="auto"/>
      </w:pPr>
      <w:r w:rsidRPr="00880FC9">
        <w:t xml:space="preserve">This research note </w:t>
      </w:r>
      <w:r w:rsidR="00854B65" w:rsidRPr="00880FC9">
        <w:t>compares</w:t>
      </w:r>
      <w:r w:rsidRPr="00880FC9">
        <w:t xml:space="preserve"> the GBM samples in TCGA with RNA-seq data to those without</w:t>
      </w:r>
      <w:r w:rsidR="00854B65" w:rsidRPr="00880FC9">
        <w:t xml:space="preserve"> for key clinical features</w:t>
      </w:r>
      <w:r w:rsidRPr="00880FC9">
        <w:t>.</w:t>
      </w:r>
      <w:r w:rsidR="00B25090">
        <w:t xml:space="preserve"> </w:t>
      </w:r>
      <w:proofErr w:type="gramStart"/>
      <w:r w:rsidR="00854B65">
        <w:t>Specifically</w:t>
      </w:r>
      <w:proofErr w:type="gramEnd"/>
      <w:r w:rsidR="00854B65">
        <w:t xml:space="preserve"> we </w:t>
      </w:r>
      <w:r w:rsidR="00B25090">
        <w:t xml:space="preserve">focus on the age at diagnosis, </w:t>
      </w:r>
      <w:r w:rsidR="00A073D5">
        <w:t>sex</w:t>
      </w:r>
      <w:r w:rsidR="00B25090">
        <w:t xml:space="preserve">, </w:t>
      </w:r>
      <w:proofErr w:type="spellStart"/>
      <w:r w:rsidR="00B25090">
        <w:t>Verhaak</w:t>
      </w:r>
      <w:proofErr w:type="spellEnd"/>
      <w:r w:rsidR="00B25090">
        <w:t xml:space="preserve"> molecular classification, and overall survival. </w:t>
      </w:r>
    </w:p>
    <w:p w14:paraId="00CE2816" w14:textId="77777777" w:rsidR="00B25090" w:rsidRPr="006613F9" w:rsidRDefault="00B25090" w:rsidP="00645672">
      <w:pPr>
        <w:spacing w:line="240" w:lineRule="auto"/>
        <w:rPr>
          <w:b/>
        </w:rPr>
      </w:pPr>
      <w:r w:rsidRPr="006613F9">
        <w:rPr>
          <w:b/>
        </w:rPr>
        <w:t xml:space="preserve">Data </w:t>
      </w:r>
      <w:r w:rsidR="006613F9" w:rsidRPr="006613F9">
        <w:rPr>
          <w:b/>
        </w:rPr>
        <w:t>Used</w:t>
      </w:r>
    </w:p>
    <w:p w14:paraId="00CE2817" w14:textId="77777777" w:rsidR="00B25090" w:rsidRDefault="00B25090" w:rsidP="00645672">
      <w:pPr>
        <w:spacing w:line="240" w:lineRule="auto"/>
      </w:pPr>
      <w:r>
        <w:t xml:space="preserve">The </w:t>
      </w:r>
      <w:r w:rsidR="006253F4">
        <w:t>normalized RNA-seq data</w:t>
      </w:r>
      <w:r w:rsidR="006253F4">
        <w:rPr>
          <w:rStyle w:val="FootnoteReference"/>
        </w:rPr>
        <w:footnoteReference w:id="1"/>
      </w:r>
      <w:r w:rsidR="006253F4">
        <w:t xml:space="preserve"> </w:t>
      </w:r>
      <w:r>
        <w:t>were downloaded from the Broad Institute Firehose</w:t>
      </w:r>
      <w:r w:rsidR="006253F4">
        <w:rPr>
          <w:rStyle w:val="FootnoteReference"/>
        </w:rPr>
        <w:footnoteReference w:id="2"/>
      </w:r>
      <w:r w:rsidR="006253F4">
        <w:t xml:space="preserve"> Standard Data collection for GBM (run date: 12-10-2013). The SRDF file was used to indicate samples with RNA-seq data. </w:t>
      </w:r>
      <w:r w:rsidR="00E97CCA">
        <w:t xml:space="preserve">Clinical data </w:t>
      </w:r>
      <w:r w:rsidR="006253F4">
        <w:t>w</w:t>
      </w:r>
      <w:r w:rsidR="00854B65">
        <w:t>ere</w:t>
      </w:r>
      <w:r w:rsidR="006253F4">
        <w:t xml:space="preserve"> downloaded from the Cell 2013 biomarker paper for GBM</w:t>
      </w:r>
      <w:r w:rsidR="006253F4">
        <w:rPr>
          <w:rStyle w:val="FootnoteReference"/>
        </w:rPr>
        <w:footnoteReference w:id="3"/>
      </w:r>
      <w:r w:rsidR="006253F4">
        <w:t xml:space="preserve"> (Table S7).</w:t>
      </w:r>
    </w:p>
    <w:p w14:paraId="00CE2818" w14:textId="77777777" w:rsidR="004B735D" w:rsidRDefault="004B735D" w:rsidP="00645672">
      <w:pPr>
        <w:spacing w:line="240" w:lineRule="auto"/>
      </w:pPr>
      <w:r>
        <w:t xml:space="preserve">The </w:t>
      </w:r>
      <w:r w:rsidR="00E97CCA">
        <w:t xml:space="preserve">two </w:t>
      </w:r>
      <w:r>
        <w:t>data files were merged on TCGA patient barcode in SAS (v9.2</w:t>
      </w:r>
      <w:r>
        <w:rPr>
          <w:rStyle w:val="FootnoteReference"/>
        </w:rPr>
        <w:footnoteReference w:id="4"/>
      </w:r>
      <w:r>
        <w:t xml:space="preserve">). Only primary tumors were retained. Matched recurrent tumors were excluded. Overall survival was </w:t>
      </w:r>
      <w:r w:rsidR="00895B7E">
        <w:t>already calculated</w:t>
      </w:r>
      <w:r>
        <w:t xml:space="preserve"> as the </w:t>
      </w:r>
      <w:r w:rsidR="00895B7E">
        <w:t>days</w:t>
      </w:r>
      <w:r w:rsidR="00A74C4E">
        <w:t xml:space="preserve"> </w:t>
      </w:r>
      <w:r>
        <w:t>from diagnosis to death</w:t>
      </w:r>
      <w:r w:rsidR="00A74C4E">
        <w:t>. Those still alive have a censored survival time as the months from diagnosis to the time of last follow-up. A working data</w:t>
      </w:r>
      <w:r w:rsidR="004D6259">
        <w:t xml:space="preserve"> </w:t>
      </w:r>
      <w:r w:rsidR="00A74C4E">
        <w:t>file was exported for further analysis</w:t>
      </w:r>
      <w:r w:rsidR="00F42B10">
        <w:rPr>
          <w:rStyle w:val="FootnoteReference"/>
        </w:rPr>
        <w:footnoteReference w:id="5"/>
      </w:r>
      <w:r w:rsidR="00A74C4E">
        <w:t xml:space="preserve">. </w:t>
      </w:r>
    </w:p>
    <w:p w14:paraId="00CE2819" w14:textId="77777777" w:rsidR="00A74C4E" w:rsidRPr="006613F9" w:rsidRDefault="00A74C4E" w:rsidP="00645672">
      <w:pPr>
        <w:spacing w:line="240" w:lineRule="auto"/>
        <w:rPr>
          <w:b/>
        </w:rPr>
      </w:pPr>
      <w:r w:rsidRPr="006613F9">
        <w:rPr>
          <w:b/>
        </w:rPr>
        <w:t>Analysis</w:t>
      </w:r>
    </w:p>
    <w:p w14:paraId="00CE281A" w14:textId="6F9029BA" w:rsidR="006D0A53" w:rsidRDefault="00A74C4E" w:rsidP="00645672">
      <w:pPr>
        <w:spacing w:line="240" w:lineRule="auto"/>
      </w:pPr>
      <w:r>
        <w:t xml:space="preserve">The </w:t>
      </w:r>
      <w:r w:rsidR="006D0A53">
        <w:t>working data file was loaded into SPSS (v22) for analysis</w:t>
      </w:r>
      <w:r w:rsidR="000B4F7F">
        <w:rPr>
          <w:rStyle w:val="FootnoteReference"/>
        </w:rPr>
        <w:footnoteReference w:id="6"/>
      </w:r>
      <w:r w:rsidR="006D0A53">
        <w:t xml:space="preserve">. </w:t>
      </w:r>
      <w:r w:rsidR="004707C2">
        <w:t>A two-sample t-test</w:t>
      </w:r>
      <w:r w:rsidR="006D0A53">
        <w:t xml:space="preserve"> with equal variance assumption w</w:t>
      </w:r>
      <w:r w:rsidR="004707C2">
        <w:t>as</w:t>
      </w:r>
      <w:r w:rsidR="006D0A53">
        <w:t xml:space="preserve"> used to compare </w:t>
      </w:r>
      <w:r w:rsidR="00C82681">
        <w:t>groups for continuous variable</w:t>
      </w:r>
      <w:r w:rsidR="006D0A53">
        <w:t xml:space="preserve"> age</w:t>
      </w:r>
      <w:r w:rsidR="004707C2">
        <w:t>.</w:t>
      </w:r>
      <w:r w:rsidR="00C82681">
        <w:t xml:space="preserve"> Chi-square tests were used to compare groups for the categorical variables </w:t>
      </w:r>
      <w:r w:rsidR="00925CC5">
        <w:t>sex</w:t>
      </w:r>
      <w:r w:rsidR="006D0A53">
        <w:t xml:space="preserve"> and </w:t>
      </w:r>
      <w:proofErr w:type="spellStart"/>
      <w:r w:rsidR="006D0A53">
        <w:t>Verhaak</w:t>
      </w:r>
      <w:proofErr w:type="spellEnd"/>
      <w:r w:rsidR="006D0A53">
        <w:t xml:space="preserve"> class</w:t>
      </w:r>
      <w:r w:rsidR="00C82681">
        <w:t xml:space="preserve">. Kaplan-Meier estimates and a log-rank test were used to compare overall survival between groups. </w:t>
      </w:r>
    </w:p>
    <w:p w14:paraId="00CE281B" w14:textId="77777777" w:rsidR="00C82681" w:rsidRPr="008C5FBE" w:rsidRDefault="00C82681" w:rsidP="00645672">
      <w:pPr>
        <w:spacing w:line="240" w:lineRule="auto"/>
        <w:rPr>
          <w:b/>
        </w:rPr>
      </w:pPr>
      <w:r w:rsidRPr="008C5FBE">
        <w:rPr>
          <w:b/>
        </w:rPr>
        <w:lastRenderedPageBreak/>
        <w:t>Results</w:t>
      </w:r>
    </w:p>
    <w:p w14:paraId="00CE281C" w14:textId="24DF1693" w:rsidR="00E12EBF" w:rsidRDefault="008C5FBE" w:rsidP="00645672">
      <w:pPr>
        <w:spacing w:line="240" w:lineRule="auto"/>
      </w:pPr>
      <w:r>
        <w:t xml:space="preserve">There are 516 primary tumors with clinical data given in Table S7 of the Cell paper. There are 154 primary tumors with RNA-sequencing data. Two samples with RNA-seq data did not have clinical data available and were excluded. </w:t>
      </w:r>
      <w:r w:rsidR="003B6396">
        <w:t xml:space="preserve">One case with RNA-seq data (TCGA-15-5411) did not have age, </w:t>
      </w:r>
      <w:r w:rsidR="00925CC5">
        <w:t>sex</w:t>
      </w:r>
      <w:r w:rsidR="003B6396">
        <w:t xml:space="preserve">, or survival data recorded and was also excluded. </w:t>
      </w:r>
      <w:r>
        <w:t xml:space="preserve">In the following analysis we have </w:t>
      </w:r>
      <w:r w:rsidR="003B6396">
        <w:t>151 cases with RNA-seq data (29.3</w:t>
      </w:r>
      <w:r w:rsidR="009A3CF9">
        <w:t>%) and 364 cases (70.</w:t>
      </w:r>
      <w:r w:rsidR="003B6396">
        <w:t>7</w:t>
      </w:r>
      <w:r w:rsidR="009A3CF9">
        <w:t xml:space="preserve">%) without. </w:t>
      </w:r>
      <w:r w:rsidR="00E12EBF">
        <w:t xml:space="preserve">The results are summarized in Table 1. </w:t>
      </w:r>
    </w:p>
    <w:p w14:paraId="00CE281D" w14:textId="77777777" w:rsidR="00D22DFD" w:rsidRDefault="00D22DFD" w:rsidP="00645672">
      <w:pPr>
        <w:spacing w:line="240" w:lineRule="auto"/>
      </w:pPr>
      <w:r>
        <w:t>Table 1. Comparison of key clinical parameters between samples with and without RNA-seq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4"/>
        <w:gridCol w:w="1839"/>
        <w:gridCol w:w="1786"/>
        <w:gridCol w:w="1786"/>
        <w:gridCol w:w="896"/>
      </w:tblGrid>
      <w:tr w:rsidR="00D22DFD" w14:paraId="00CE2822" w14:textId="77777777" w:rsidTr="00E12EBF">
        <w:tc>
          <w:tcPr>
            <w:tcW w:w="0" w:type="auto"/>
            <w:tcBorders>
              <w:top w:val="single" w:sz="4" w:space="0" w:color="auto"/>
            </w:tcBorders>
          </w:tcPr>
          <w:p w14:paraId="00CE281E" w14:textId="77777777" w:rsidR="00D22DFD" w:rsidRPr="00D22DFD" w:rsidRDefault="00D22DFD" w:rsidP="00645672">
            <w:pPr>
              <w:rPr>
                <w:b/>
              </w:rPr>
            </w:pPr>
          </w:p>
        </w:tc>
        <w:tc>
          <w:tcPr>
            <w:tcW w:w="0" w:type="auto"/>
            <w:tcBorders>
              <w:top w:val="single" w:sz="4" w:space="0" w:color="auto"/>
            </w:tcBorders>
          </w:tcPr>
          <w:p w14:paraId="00CE281F" w14:textId="77777777" w:rsidR="00D22DFD" w:rsidRPr="00D22DFD" w:rsidRDefault="00D22DFD" w:rsidP="00645672">
            <w:pPr>
              <w:rPr>
                <w:b/>
              </w:rPr>
            </w:pPr>
          </w:p>
        </w:tc>
        <w:tc>
          <w:tcPr>
            <w:tcW w:w="0" w:type="auto"/>
            <w:gridSpan w:val="2"/>
            <w:tcBorders>
              <w:top w:val="single" w:sz="4" w:space="0" w:color="auto"/>
            </w:tcBorders>
          </w:tcPr>
          <w:p w14:paraId="00CE2820" w14:textId="77777777" w:rsidR="00D22DFD" w:rsidRPr="00D22DFD" w:rsidRDefault="00D22DFD" w:rsidP="00645672">
            <w:pPr>
              <w:jc w:val="center"/>
              <w:rPr>
                <w:b/>
              </w:rPr>
            </w:pPr>
            <w:r w:rsidRPr="00D22DFD">
              <w:rPr>
                <w:b/>
              </w:rPr>
              <w:t>RNA-Seq Data</w:t>
            </w:r>
          </w:p>
        </w:tc>
        <w:tc>
          <w:tcPr>
            <w:tcW w:w="0" w:type="auto"/>
            <w:tcBorders>
              <w:top w:val="single" w:sz="4" w:space="0" w:color="auto"/>
            </w:tcBorders>
          </w:tcPr>
          <w:p w14:paraId="00CE2821" w14:textId="77777777" w:rsidR="00D22DFD" w:rsidRPr="00D22DFD" w:rsidRDefault="00D22DFD" w:rsidP="00645672">
            <w:pPr>
              <w:jc w:val="center"/>
              <w:rPr>
                <w:b/>
              </w:rPr>
            </w:pPr>
          </w:p>
        </w:tc>
      </w:tr>
      <w:tr w:rsidR="000A190A" w14:paraId="00CE2828" w14:textId="77777777" w:rsidTr="00E12EBF">
        <w:tc>
          <w:tcPr>
            <w:tcW w:w="0" w:type="auto"/>
            <w:tcBorders>
              <w:bottom w:val="single" w:sz="4" w:space="0" w:color="auto"/>
            </w:tcBorders>
          </w:tcPr>
          <w:p w14:paraId="00CE2823" w14:textId="77777777" w:rsidR="000A190A" w:rsidRPr="00D22DFD" w:rsidRDefault="000A190A" w:rsidP="00645672">
            <w:pPr>
              <w:rPr>
                <w:b/>
              </w:rPr>
            </w:pPr>
          </w:p>
        </w:tc>
        <w:tc>
          <w:tcPr>
            <w:tcW w:w="0" w:type="auto"/>
            <w:tcBorders>
              <w:bottom w:val="single" w:sz="4" w:space="0" w:color="auto"/>
            </w:tcBorders>
          </w:tcPr>
          <w:p w14:paraId="00CE2824" w14:textId="77777777" w:rsidR="000A190A" w:rsidRPr="00D22DFD" w:rsidRDefault="000A190A" w:rsidP="00645672">
            <w:pPr>
              <w:rPr>
                <w:b/>
              </w:rPr>
            </w:pPr>
          </w:p>
        </w:tc>
        <w:tc>
          <w:tcPr>
            <w:tcW w:w="0" w:type="auto"/>
            <w:tcBorders>
              <w:bottom w:val="single" w:sz="4" w:space="0" w:color="auto"/>
            </w:tcBorders>
          </w:tcPr>
          <w:p w14:paraId="00CE2825" w14:textId="77777777" w:rsidR="000A190A" w:rsidRPr="00D22DFD" w:rsidRDefault="000A190A" w:rsidP="00645672">
            <w:pPr>
              <w:jc w:val="center"/>
              <w:rPr>
                <w:b/>
              </w:rPr>
            </w:pPr>
            <w:r w:rsidRPr="00D22DFD">
              <w:rPr>
                <w:b/>
              </w:rPr>
              <w:t>YES (N=15</w:t>
            </w:r>
            <w:r w:rsidR="003B6396" w:rsidRPr="00D22DFD">
              <w:rPr>
                <w:b/>
              </w:rPr>
              <w:t>1</w:t>
            </w:r>
            <w:r w:rsidRPr="00D22DFD">
              <w:rPr>
                <w:b/>
              </w:rPr>
              <w:t>)</w:t>
            </w:r>
          </w:p>
        </w:tc>
        <w:tc>
          <w:tcPr>
            <w:tcW w:w="0" w:type="auto"/>
            <w:tcBorders>
              <w:bottom w:val="single" w:sz="4" w:space="0" w:color="auto"/>
            </w:tcBorders>
          </w:tcPr>
          <w:p w14:paraId="00CE2826" w14:textId="77777777" w:rsidR="000A190A" w:rsidRPr="00D22DFD" w:rsidRDefault="000A190A" w:rsidP="00645672">
            <w:pPr>
              <w:jc w:val="center"/>
              <w:rPr>
                <w:b/>
              </w:rPr>
            </w:pPr>
            <w:r w:rsidRPr="00D22DFD">
              <w:rPr>
                <w:b/>
              </w:rPr>
              <w:t>NO (N=364)</w:t>
            </w:r>
          </w:p>
        </w:tc>
        <w:tc>
          <w:tcPr>
            <w:tcW w:w="0" w:type="auto"/>
            <w:tcBorders>
              <w:bottom w:val="single" w:sz="4" w:space="0" w:color="auto"/>
            </w:tcBorders>
          </w:tcPr>
          <w:p w14:paraId="00CE2827" w14:textId="77777777" w:rsidR="000A190A" w:rsidRPr="00D22DFD" w:rsidRDefault="00D22DFD" w:rsidP="00645672">
            <w:pPr>
              <w:jc w:val="center"/>
              <w:rPr>
                <w:b/>
              </w:rPr>
            </w:pPr>
            <w:r w:rsidRPr="00D22DFD">
              <w:rPr>
                <w:b/>
              </w:rPr>
              <w:t>P-value</w:t>
            </w:r>
          </w:p>
        </w:tc>
      </w:tr>
      <w:tr w:rsidR="000A190A" w14:paraId="00CE282E" w14:textId="77777777" w:rsidTr="00E12EBF">
        <w:tc>
          <w:tcPr>
            <w:tcW w:w="0" w:type="auto"/>
            <w:tcBorders>
              <w:top w:val="single" w:sz="4" w:space="0" w:color="auto"/>
              <w:bottom w:val="single" w:sz="4" w:space="0" w:color="auto"/>
            </w:tcBorders>
          </w:tcPr>
          <w:p w14:paraId="00CE2829" w14:textId="77777777" w:rsidR="000A190A" w:rsidRPr="00D22DFD" w:rsidRDefault="000A190A" w:rsidP="00645672">
            <w:pPr>
              <w:rPr>
                <w:b/>
              </w:rPr>
            </w:pPr>
            <w:r w:rsidRPr="00D22DFD">
              <w:rPr>
                <w:b/>
              </w:rPr>
              <w:t xml:space="preserve">Age at Diagnosis </w:t>
            </w:r>
          </w:p>
        </w:tc>
        <w:tc>
          <w:tcPr>
            <w:tcW w:w="0" w:type="auto"/>
            <w:tcBorders>
              <w:top w:val="single" w:sz="4" w:space="0" w:color="auto"/>
              <w:bottom w:val="single" w:sz="4" w:space="0" w:color="auto"/>
            </w:tcBorders>
          </w:tcPr>
          <w:p w14:paraId="00CE282A" w14:textId="77777777" w:rsidR="000A190A" w:rsidRPr="00D22DFD" w:rsidRDefault="000A190A" w:rsidP="00645672">
            <w:pPr>
              <w:rPr>
                <w:b/>
              </w:rPr>
            </w:pPr>
            <w:r w:rsidRPr="00D22DFD">
              <w:rPr>
                <w:b/>
              </w:rPr>
              <w:t>Mean +/- SD</w:t>
            </w:r>
          </w:p>
        </w:tc>
        <w:tc>
          <w:tcPr>
            <w:tcW w:w="0" w:type="auto"/>
            <w:tcBorders>
              <w:top w:val="single" w:sz="4" w:space="0" w:color="auto"/>
              <w:bottom w:val="single" w:sz="4" w:space="0" w:color="auto"/>
            </w:tcBorders>
          </w:tcPr>
          <w:p w14:paraId="00CE282B" w14:textId="77777777" w:rsidR="000A190A" w:rsidRDefault="000A190A" w:rsidP="00645672">
            <w:pPr>
              <w:jc w:val="center"/>
            </w:pPr>
            <w:r>
              <w:t>60.7 +/- 13.1</w:t>
            </w:r>
          </w:p>
        </w:tc>
        <w:tc>
          <w:tcPr>
            <w:tcW w:w="0" w:type="auto"/>
            <w:tcBorders>
              <w:top w:val="single" w:sz="4" w:space="0" w:color="auto"/>
              <w:bottom w:val="single" w:sz="4" w:space="0" w:color="auto"/>
            </w:tcBorders>
          </w:tcPr>
          <w:p w14:paraId="00CE282C" w14:textId="77777777" w:rsidR="000A190A" w:rsidRDefault="000A190A" w:rsidP="00645672">
            <w:pPr>
              <w:jc w:val="center"/>
            </w:pPr>
            <w:r>
              <w:t>58.3 +/- 14.4</w:t>
            </w:r>
          </w:p>
        </w:tc>
        <w:tc>
          <w:tcPr>
            <w:tcW w:w="0" w:type="auto"/>
            <w:tcBorders>
              <w:top w:val="single" w:sz="4" w:space="0" w:color="auto"/>
              <w:bottom w:val="single" w:sz="4" w:space="0" w:color="auto"/>
            </w:tcBorders>
          </w:tcPr>
          <w:p w14:paraId="00CE282D" w14:textId="77777777" w:rsidR="000A190A" w:rsidRDefault="00EF1CE6" w:rsidP="00645672">
            <w:pPr>
              <w:jc w:val="center"/>
            </w:pPr>
            <w:r>
              <w:t>0.071</w:t>
            </w:r>
          </w:p>
        </w:tc>
      </w:tr>
      <w:tr w:rsidR="000A190A" w14:paraId="00CE2834" w14:textId="77777777" w:rsidTr="00E12EBF">
        <w:tc>
          <w:tcPr>
            <w:tcW w:w="0" w:type="auto"/>
            <w:tcBorders>
              <w:top w:val="single" w:sz="4" w:space="0" w:color="auto"/>
            </w:tcBorders>
          </w:tcPr>
          <w:p w14:paraId="00CE282F" w14:textId="72250BB4" w:rsidR="000A190A" w:rsidRPr="00D22DFD" w:rsidRDefault="00A073D5" w:rsidP="00645672">
            <w:pPr>
              <w:rPr>
                <w:b/>
              </w:rPr>
            </w:pPr>
            <w:r>
              <w:rPr>
                <w:b/>
              </w:rPr>
              <w:t>Sex assigned at birth</w:t>
            </w:r>
          </w:p>
        </w:tc>
        <w:tc>
          <w:tcPr>
            <w:tcW w:w="0" w:type="auto"/>
            <w:tcBorders>
              <w:top w:val="single" w:sz="4" w:space="0" w:color="auto"/>
            </w:tcBorders>
          </w:tcPr>
          <w:p w14:paraId="00CE2830" w14:textId="77777777" w:rsidR="000A190A" w:rsidRPr="00D22DFD" w:rsidRDefault="000A190A" w:rsidP="00645672">
            <w:pPr>
              <w:rPr>
                <w:b/>
              </w:rPr>
            </w:pPr>
            <w:r w:rsidRPr="00D22DFD">
              <w:rPr>
                <w:b/>
              </w:rPr>
              <w:t>Male (%)</w:t>
            </w:r>
          </w:p>
        </w:tc>
        <w:tc>
          <w:tcPr>
            <w:tcW w:w="0" w:type="auto"/>
            <w:tcBorders>
              <w:top w:val="single" w:sz="4" w:space="0" w:color="auto"/>
            </w:tcBorders>
          </w:tcPr>
          <w:p w14:paraId="00CE2831" w14:textId="77777777" w:rsidR="000A190A" w:rsidRDefault="003B6396" w:rsidP="00645672">
            <w:pPr>
              <w:jc w:val="center"/>
            </w:pPr>
            <w:r>
              <w:t>96</w:t>
            </w:r>
            <w:r w:rsidR="003601FD">
              <w:t xml:space="preserve"> (63.6%)</w:t>
            </w:r>
          </w:p>
        </w:tc>
        <w:tc>
          <w:tcPr>
            <w:tcW w:w="0" w:type="auto"/>
            <w:tcBorders>
              <w:top w:val="single" w:sz="4" w:space="0" w:color="auto"/>
            </w:tcBorders>
          </w:tcPr>
          <w:p w14:paraId="00CE2832" w14:textId="77777777" w:rsidR="000A190A" w:rsidRDefault="0062457E" w:rsidP="00645672">
            <w:pPr>
              <w:jc w:val="center"/>
            </w:pPr>
            <w:r>
              <w:t>224 (61.5%)</w:t>
            </w:r>
          </w:p>
        </w:tc>
        <w:tc>
          <w:tcPr>
            <w:tcW w:w="0" w:type="auto"/>
            <w:tcBorders>
              <w:top w:val="single" w:sz="4" w:space="0" w:color="auto"/>
            </w:tcBorders>
          </w:tcPr>
          <w:p w14:paraId="00CE2833" w14:textId="77777777" w:rsidR="000A190A" w:rsidRDefault="0062457E" w:rsidP="00645672">
            <w:pPr>
              <w:jc w:val="center"/>
            </w:pPr>
            <w:r>
              <w:t>0.664</w:t>
            </w:r>
          </w:p>
        </w:tc>
      </w:tr>
      <w:tr w:rsidR="000A190A" w14:paraId="00CE283A" w14:textId="77777777" w:rsidTr="00E12EBF">
        <w:tc>
          <w:tcPr>
            <w:tcW w:w="0" w:type="auto"/>
            <w:tcBorders>
              <w:bottom w:val="single" w:sz="4" w:space="0" w:color="auto"/>
            </w:tcBorders>
          </w:tcPr>
          <w:p w14:paraId="00CE2835" w14:textId="77777777" w:rsidR="000A190A" w:rsidRPr="00D22DFD" w:rsidRDefault="000A190A" w:rsidP="00645672">
            <w:pPr>
              <w:rPr>
                <w:b/>
              </w:rPr>
            </w:pPr>
          </w:p>
        </w:tc>
        <w:tc>
          <w:tcPr>
            <w:tcW w:w="0" w:type="auto"/>
            <w:tcBorders>
              <w:bottom w:val="single" w:sz="4" w:space="0" w:color="auto"/>
            </w:tcBorders>
          </w:tcPr>
          <w:p w14:paraId="00CE2836" w14:textId="77777777" w:rsidR="000A190A" w:rsidRPr="00D22DFD" w:rsidRDefault="000A190A" w:rsidP="00645672">
            <w:pPr>
              <w:rPr>
                <w:b/>
              </w:rPr>
            </w:pPr>
            <w:r w:rsidRPr="00D22DFD">
              <w:rPr>
                <w:b/>
              </w:rPr>
              <w:t>Female (%)</w:t>
            </w:r>
          </w:p>
        </w:tc>
        <w:tc>
          <w:tcPr>
            <w:tcW w:w="0" w:type="auto"/>
            <w:tcBorders>
              <w:bottom w:val="single" w:sz="4" w:space="0" w:color="auto"/>
            </w:tcBorders>
          </w:tcPr>
          <w:p w14:paraId="00CE2837" w14:textId="77777777" w:rsidR="000A190A" w:rsidRDefault="003B6396" w:rsidP="00645672">
            <w:pPr>
              <w:jc w:val="center"/>
            </w:pPr>
            <w:r>
              <w:t>55 (36.4%)</w:t>
            </w:r>
          </w:p>
        </w:tc>
        <w:tc>
          <w:tcPr>
            <w:tcW w:w="0" w:type="auto"/>
            <w:tcBorders>
              <w:bottom w:val="single" w:sz="4" w:space="0" w:color="auto"/>
            </w:tcBorders>
          </w:tcPr>
          <w:p w14:paraId="00CE2838" w14:textId="77777777" w:rsidR="000A190A" w:rsidRDefault="003B6396" w:rsidP="00645672">
            <w:pPr>
              <w:jc w:val="center"/>
            </w:pPr>
            <w:r>
              <w:t>140 (38.5%)</w:t>
            </w:r>
          </w:p>
        </w:tc>
        <w:tc>
          <w:tcPr>
            <w:tcW w:w="0" w:type="auto"/>
            <w:tcBorders>
              <w:bottom w:val="single" w:sz="4" w:space="0" w:color="auto"/>
            </w:tcBorders>
          </w:tcPr>
          <w:p w14:paraId="00CE2839" w14:textId="77777777" w:rsidR="000A190A" w:rsidRDefault="000A190A" w:rsidP="00645672">
            <w:pPr>
              <w:jc w:val="center"/>
            </w:pPr>
          </w:p>
        </w:tc>
      </w:tr>
      <w:tr w:rsidR="000A190A" w14:paraId="00CE2840" w14:textId="77777777" w:rsidTr="00E12EBF">
        <w:tc>
          <w:tcPr>
            <w:tcW w:w="0" w:type="auto"/>
            <w:tcBorders>
              <w:top w:val="single" w:sz="4" w:space="0" w:color="auto"/>
            </w:tcBorders>
          </w:tcPr>
          <w:p w14:paraId="00CE283B" w14:textId="77777777" w:rsidR="000A190A" w:rsidRPr="00D22DFD" w:rsidRDefault="000A190A" w:rsidP="00645672">
            <w:pPr>
              <w:rPr>
                <w:b/>
              </w:rPr>
            </w:pPr>
            <w:proofErr w:type="spellStart"/>
            <w:r w:rsidRPr="00D22DFD">
              <w:rPr>
                <w:b/>
              </w:rPr>
              <w:t>Verhaak</w:t>
            </w:r>
            <w:proofErr w:type="spellEnd"/>
            <w:r w:rsidRPr="00D22DFD">
              <w:rPr>
                <w:b/>
              </w:rPr>
              <w:t xml:space="preserve"> Expression Class</w:t>
            </w:r>
          </w:p>
        </w:tc>
        <w:tc>
          <w:tcPr>
            <w:tcW w:w="0" w:type="auto"/>
            <w:tcBorders>
              <w:top w:val="single" w:sz="4" w:space="0" w:color="auto"/>
            </w:tcBorders>
          </w:tcPr>
          <w:p w14:paraId="00CE283C" w14:textId="77777777" w:rsidR="000A190A" w:rsidRPr="00D22DFD" w:rsidRDefault="000A190A" w:rsidP="00645672">
            <w:pPr>
              <w:rPr>
                <w:b/>
              </w:rPr>
            </w:pPr>
            <w:r w:rsidRPr="00D22DFD">
              <w:rPr>
                <w:b/>
              </w:rPr>
              <w:t>Classical (%)</w:t>
            </w:r>
          </w:p>
        </w:tc>
        <w:tc>
          <w:tcPr>
            <w:tcW w:w="0" w:type="auto"/>
            <w:tcBorders>
              <w:top w:val="single" w:sz="4" w:space="0" w:color="auto"/>
            </w:tcBorders>
          </w:tcPr>
          <w:p w14:paraId="00CE283D" w14:textId="77777777" w:rsidR="000A190A" w:rsidRDefault="006A2ED3" w:rsidP="00645672">
            <w:pPr>
              <w:jc w:val="center"/>
            </w:pPr>
            <w:r>
              <w:t>39 (25.8%)</w:t>
            </w:r>
          </w:p>
        </w:tc>
        <w:tc>
          <w:tcPr>
            <w:tcW w:w="0" w:type="auto"/>
            <w:tcBorders>
              <w:top w:val="single" w:sz="4" w:space="0" w:color="auto"/>
            </w:tcBorders>
          </w:tcPr>
          <w:p w14:paraId="00CE283E" w14:textId="77777777" w:rsidR="000A190A" w:rsidRDefault="006A2ED3" w:rsidP="00645672">
            <w:pPr>
              <w:jc w:val="center"/>
            </w:pPr>
            <w:r>
              <w:t>100 (27.5%)</w:t>
            </w:r>
          </w:p>
        </w:tc>
        <w:tc>
          <w:tcPr>
            <w:tcW w:w="0" w:type="auto"/>
            <w:tcBorders>
              <w:top w:val="single" w:sz="4" w:space="0" w:color="auto"/>
            </w:tcBorders>
          </w:tcPr>
          <w:p w14:paraId="00CE283F" w14:textId="77777777" w:rsidR="000A190A" w:rsidRDefault="006A2ED3" w:rsidP="00645672">
            <w:pPr>
              <w:jc w:val="center"/>
            </w:pPr>
            <w:r>
              <w:t>0.374</w:t>
            </w:r>
          </w:p>
        </w:tc>
      </w:tr>
      <w:tr w:rsidR="000A190A" w14:paraId="00CE2846" w14:textId="77777777" w:rsidTr="00E12EBF">
        <w:tc>
          <w:tcPr>
            <w:tcW w:w="0" w:type="auto"/>
          </w:tcPr>
          <w:p w14:paraId="00CE2841" w14:textId="77777777" w:rsidR="000A190A" w:rsidRPr="00D22DFD" w:rsidRDefault="000A190A" w:rsidP="00645672">
            <w:pPr>
              <w:rPr>
                <w:b/>
              </w:rPr>
            </w:pPr>
          </w:p>
        </w:tc>
        <w:tc>
          <w:tcPr>
            <w:tcW w:w="0" w:type="auto"/>
          </w:tcPr>
          <w:p w14:paraId="00CE2842" w14:textId="77777777" w:rsidR="000A190A" w:rsidRPr="00D22DFD" w:rsidRDefault="006A2ED3" w:rsidP="00645672">
            <w:pPr>
              <w:rPr>
                <w:b/>
              </w:rPr>
            </w:pPr>
            <w:r w:rsidRPr="00D22DFD">
              <w:rPr>
                <w:b/>
              </w:rPr>
              <w:t>G-CIMP (%)</w:t>
            </w:r>
          </w:p>
        </w:tc>
        <w:tc>
          <w:tcPr>
            <w:tcW w:w="0" w:type="auto"/>
          </w:tcPr>
          <w:p w14:paraId="00CE2843" w14:textId="77777777" w:rsidR="000A190A" w:rsidRDefault="006A2ED3" w:rsidP="00645672">
            <w:pPr>
              <w:jc w:val="center"/>
            </w:pPr>
            <w:r>
              <w:t>8 (5.3%)</w:t>
            </w:r>
          </w:p>
        </w:tc>
        <w:tc>
          <w:tcPr>
            <w:tcW w:w="0" w:type="auto"/>
          </w:tcPr>
          <w:p w14:paraId="00CE2844" w14:textId="77777777" w:rsidR="000A190A" w:rsidRDefault="006A2ED3" w:rsidP="00645672">
            <w:pPr>
              <w:jc w:val="center"/>
            </w:pPr>
            <w:r>
              <w:t>23 (6.3%)</w:t>
            </w:r>
          </w:p>
        </w:tc>
        <w:tc>
          <w:tcPr>
            <w:tcW w:w="0" w:type="auto"/>
          </w:tcPr>
          <w:p w14:paraId="00CE2845" w14:textId="77777777" w:rsidR="000A190A" w:rsidRDefault="000A190A" w:rsidP="00645672">
            <w:pPr>
              <w:jc w:val="center"/>
            </w:pPr>
          </w:p>
        </w:tc>
      </w:tr>
      <w:tr w:rsidR="006A2ED3" w14:paraId="00CE284C" w14:textId="77777777" w:rsidTr="00E12EBF">
        <w:tc>
          <w:tcPr>
            <w:tcW w:w="0" w:type="auto"/>
          </w:tcPr>
          <w:p w14:paraId="00CE2847" w14:textId="77777777" w:rsidR="006A2ED3" w:rsidRPr="00D22DFD" w:rsidRDefault="006A2ED3" w:rsidP="00645672">
            <w:pPr>
              <w:rPr>
                <w:b/>
              </w:rPr>
            </w:pPr>
          </w:p>
        </w:tc>
        <w:tc>
          <w:tcPr>
            <w:tcW w:w="0" w:type="auto"/>
          </w:tcPr>
          <w:p w14:paraId="00CE2848" w14:textId="77777777" w:rsidR="006A2ED3" w:rsidRPr="00D22DFD" w:rsidRDefault="006A2ED3" w:rsidP="00645672">
            <w:pPr>
              <w:rPr>
                <w:b/>
              </w:rPr>
            </w:pPr>
            <w:r w:rsidRPr="00D22DFD">
              <w:rPr>
                <w:b/>
              </w:rPr>
              <w:t>Mesenchymal (%)</w:t>
            </w:r>
          </w:p>
        </w:tc>
        <w:tc>
          <w:tcPr>
            <w:tcW w:w="0" w:type="auto"/>
          </w:tcPr>
          <w:p w14:paraId="00CE2849" w14:textId="77777777" w:rsidR="006A2ED3" w:rsidRDefault="006A2ED3" w:rsidP="00645672">
            <w:pPr>
              <w:jc w:val="center"/>
            </w:pPr>
            <w:r>
              <w:t>49 (32.5%)</w:t>
            </w:r>
          </w:p>
        </w:tc>
        <w:tc>
          <w:tcPr>
            <w:tcW w:w="0" w:type="auto"/>
          </w:tcPr>
          <w:p w14:paraId="00CE284A" w14:textId="77777777" w:rsidR="006A2ED3" w:rsidRDefault="006A2ED3" w:rsidP="00645672">
            <w:pPr>
              <w:jc w:val="center"/>
            </w:pPr>
            <w:r>
              <w:t>105 (28.8%)</w:t>
            </w:r>
          </w:p>
        </w:tc>
        <w:tc>
          <w:tcPr>
            <w:tcW w:w="0" w:type="auto"/>
          </w:tcPr>
          <w:p w14:paraId="00CE284B" w14:textId="77777777" w:rsidR="006A2ED3" w:rsidRDefault="006A2ED3" w:rsidP="00645672">
            <w:pPr>
              <w:jc w:val="center"/>
            </w:pPr>
          </w:p>
        </w:tc>
      </w:tr>
      <w:tr w:rsidR="006A2ED3" w14:paraId="00CE2852" w14:textId="77777777" w:rsidTr="00E12EBF">
        <w:tc>
          <w:tcPr>
            <w:tcW w:w="0" w:type="auto"/>
          </w:tcPr>
          <w:p w14:paraId="00CE284D" w14:textId="77777777" w:rsidR="006A2ED3" w:rsidRPr="00D22DFD" w:rsidRDefault="006A2ED3" w:rsidP="00645672">
            <w:pPr>
              <w:rPr>
                <w:b/>
              </w:rPr>
            </w:pPr>
          </w:p>
        </w:tc>
        <w:tc>
          <w:tcPr>
            <w:tcW w:w="0" w:type="auto"/>
          </w:tcPr>
          <w:p w14:paraId="00CE284E" w14:textId="77777777" w:rsidR="006A2ED3" w:rsidRPr="00D22DFD" w:rsidRDefault="006A2ED3" w:rsidP="00645672">
            <w:pPr>
              <w:rPr>
                <w:b/>
              </w:rPr>
            </w:pPr>
            <w:r w:rsidRPr="00D22DFD">
              <w:rPr>
                <w:b/>
              </w:rPr>
              <w:t>Neural (%)</w:t>
            </w:r>
          </w:p>
        </w:tc>
        <w:tc>
          <w:tcPr>
            <w:tcW w:w="0" w:type="auto"/>
          </w:tcPr>
          <w:p w14:paraId="00CE284F" w14:textId="77777777" w:rsidR="006A2ED3" w:rsidRDefault="006A2ED3" w:rsidP="00645672">
            <w:pPr>
              <w:jc w:val="center"/>
            </w:pPr>
            <w:r>
              <w:t>26 (17.2%)</w:t>
            </w:r>
          </w:p>
        </w:tc>
        <w:tc>
          <w:tcPr>
            <w:tcW w:w="0" w:type="auto"/>
          </w:tcPr>
          <w:p w14:paraId="00CE2850" w14:textId="77777777" w:rsidR="006A2ED3" w:rsidRDefault="006A2ED3" w:rsidP="00645672">
            <w:pPr>
              <w:jc w:val="center"/>
            </w:pPr>
            <w:r>
              <w:t>53 (14.6%)</w:t>
            </w:r>
          </w:p>
        </w:tc>
        <w:tc>
          <w:tcPr>
            <w:tcW w:w="0" w:type="auto"/>
          </w:tcPr>
          <w:p w14:paraId="00CE2851" w14:textId="77777777" w:rsidR="006A2ED3" w:rsidRDefault="006A2ED3" w:rsidP="00645672">
            <w:pPr>
              <w:jc w:val="center"/>
            </w:pPr>
          </w:p>
        </w:tc>
      </w:tr>
      <w:tr w:rsidR="006A2ED3" w14:paraId="00CE2858" w14:textId="77777777" w:rsidTr="00E12EBF">
        <w:tc>
          <w:tcPr>
            <w:tcW w:w="0" w:type="auto"/>
          </w:tcPr>
          <w:p w14:paraId="00CE2853" w14:textId="77777777" w:rsidR="006A2ED3" w:rsidRPr="00D22DFD" w:rsidRDefault="006A2ED3" w:rsidP="00645672">
            <w:pPr>
              <w:rPr>
                <w:b/>
              </w:rPr>
            </w:pPr>
          </w:p>
        </w:tc>
        <w:tc>
          <w:tcPr>
            <w:tcW w:w="0" w:type="auto"/>
          </w:tcPr>
          <w:p w14:paraId="00CE2854" w14:textId="77777777" w:rsidR="006A2ED3" w:rsidRPr="00D22DFD" w:rsidRDefault="006A2ED3" w:rsidP="00645672">
            <w:pPr>
              <w:rPr>
                <w:b/>
              </w:rPr>
            </w:pPr>
            <w:proofErr w:type="spellStart"/>
            <w:r w:rsidRPr="00D22DFD">
              <w:rPr>
                <w:b/>
              </w:rPr>
              <w:t>Proneural</w:t>
            </w:r>
            <w:proofErr w:type="spellEnd"/>
            <w:r w:rsidRPr="00D22DFD">
              <w:rPr>
                <w:b/>
              </w:rPr>
              <w:t>- (%)</w:t>
            </w:r>
          </w:p>
        </w:tc>
        <w:tc>
          <w:tcPr>
            <w:tcW w:w="0" w:type="auto"/>
          </w:tcPr>
          <w:p w14:paraId="00CE2855" w14:textId="77777777" w:rsidR="006A2ED3" w:rsidRDefault="006A2ED3" w:rsidP="00645672">
            <w:pPr>
              <w:jc w:val="center"/>
            </w:pPr>
            <w:r>
              <w:t>28 (18.5%)</w:t>
            </w:r>
          </w:p>
        </w:tc>
        <w:tc>
          <w:tcPr>
            <w:tcW w:w="0" w:type="auto"/>
          </w:tcPr>
          <w:p w14:paraId="00CE2856" w14:textId="77777777" w:rsidR="006A2ED3" w:rsidRDefault="006A2ED3" w:rsidP="00645672">
            <w:pPr>
              <w:jc w:val="center"/>
            </w:pPr>
            <w:r>
              <w:t>68 (18.7%)</w:t>
            </w:r>
          </w:p>
        </w:tc>
        <w:tc>
          <w:tcPr>
            <w:tcW w:w="0" w:type="auto"/>
          </w:tcPr>
          <w:p w14:paraId="00CE2857" w14:textId="77777777" w:rsidR="006A2ED3" w:rsidRDefault="006A2ED3" w:rsidP="00645672">
            <w:pPr>
              <w:jc w:val="center"/>
            </w:pPr>
          </w:p>
        </w:tc>
      </w:tr>
      <w:tr w:rsidR="006A2ED3" w14:paraId="00CE285E" w14:textId="77777777" w:rsidTr="00E12EBF">
        <w:tc>
          <w:tcPr>
            <w:tcW w:w="0" w:type="auto"/>
            <w:tcBorders>
              <w:bottom w:val="single" w:sz="4" w:space="0" w:color="auto"/>
            </w:tcBorders>
          </w:tcPr>
          <w:p w14:paraId="00CE2859" w14:textId="77777777" w:rsidR="006A2ED3" w:rsidRPr="00D22DFD" w:rsidRDefault="006A2ED3" w:rsidP="00645672">
            <w:pPr>
              <w:rPr>
                <w:b/>
              </w:rPr>
            </w:pPr>
          </w:p>
        </w:tc>
        <w:tc>
          <w:tcPr>
            <w:tcW w:w="0" w:type="auto"/>
            <w:tcBorders>
              <w:bottom w:val="single" w:sz="4" w:space="0" w:color="auto"/>
            </w:tcBorders>
          </w:tcPr>
          <w:p w14:paraId="00CE285A" w14:textId="77777777" w:rsidR="006A2ED3" w:rsidRPr="00D22DFD" w:rsidRDefault="006A2ED3" w:rsidP="00645672">
            <w:pPr>
              <w:rPr>
                <w:b/>
              </w:rPr>
            </w:pPr>
            <w:r w:rsidRPr="00D22DFD">
              <w:rPr>
                <w:b/>
              </w:rPr>
              <w:t>Unknown (%)</w:t>
            </w:r>
          </w:p>
        </w:tc>
        <w:tc>
          <w:tcPr>
            <w:tcW w:w="0" w:type="auto"/>
            <w:tcBorders>
              <w:bottom w:val="single" w:sz="4" w:space="0" w:color="auto"/>
            </w:tcBorders>
          </w:tcPr>
          <w:p w14:paraId="00CE285B" w14:textId="77777777" w:rsidR="006A2ED3" w:rsidRDefault="006A2ED3" w:rsidP="00645672">
            <w:pPr>
              <w:jc w:val="center"/>
            </w:pPr>
            <w:r>
              <w:t>1 (0.7%)</w:t>
            </w:r>
          </w:p>
        </w:tc>
        <w:tc>
          <w:tcPr>
            <w:tcW w:w="0" w:type="auto"/>
            <w:tcBorders>
              <w:bottom w:val="single" w:sz="4" w:space="0" w:color="auto"/>
            </w:tcBorders>
          </w:tcPr>
          <w:p w14:paraId="00CE285C" w14:textId="77777777" w:rsidR="006A2ED3" w:rsidRDefault="006A2ED3" w:rsidP="00645672">
            <w:pPr>
              <w:jc w:val="center"/>
            </w:pPr>
            <w:r>
              <w:t>15 (4.1%)</w:t>
            </w:r>
          </w:p>
        </w:tc>
        <w:tc>
          <w:tcPr>
            <w:tcW w:w="0" w:type="auto"/>
            <w:tcBorders>
              <w:bottom w:val="single" w:sz="4" w:space="0" w:color="auto"/>
            </w:tcBorders>
          </w:tcPr>
          <w:p w14:paraId="00CE285D" w14:textId="77777777" w:rsidR="006A2ED3" w:rsidRDefault="006A2ED3" w:rsidP="00645672">
            <w:pPr>
              <w:jc w:val="center"/>
            </w:pPr>
          </w:p>
        </w:tc>
      </w:tr>
      <w:tr w:rsidR="006A2ED3" w14:paraId="00CE2864" w14:textId="77777777" w:rsidTr="00E12EBF">
        <w:tc>
          <w:tcPr>
            <w:tcW w:w="0" w:type="auto"/>
            <w:tcBorders>
              <w:top w:val="single" w:sz="4" w:space="0" w:color="auto"/>
              <w:bottom w:val="single" w:sz="4" w:space="0" w:color="auto"/>
            </w:tcBorders>
          </w:tcPr>
          <w:p w14:paraId="00CE285F" w14:textId="77777777" w:rsidR="006A2ED3" w:rsidRPr="00D22DFD" w:rsidRDefault="006A2ED3" w:rsidP="00645672">
            <w:pPr>
              <w:rPr>
                <w:b/>
              </w:rPr>
            </w:pPr>
            <w:r w:rsidRPr="00D22DFD">
              <w:rPr>
                <w:b/>
              </w:rPr>
              <w:t>Overall Survival</w:t>
            </w:r>
            <w:r w:rsidR="00D22DFD" w:rsidRPr="00D22DFD">
              <w:rPr>
                <w:b/>
              </w:rPr>
              <w:t xml:space="preserve"> (months</w:t>
            </w:r>
            <w:r w:rsidRPr="00D22DFD">
              <w:rPr>
                <w:b/>
              </w:rPr>
              <w:t>)</w:t>
            </w:r>
          </w:p>
        </w:tc>
        <w:tc>
          <w:tcPr>
            <w:tcW w:w="0" w:type="auto"/>
            <w:tcBorders>
              <w:top w:val="single" w:sz="4" w:space="0" w:color="auto"/>
              <w:bottom w:val="single" w:sz="4" w:space="0" w:color="auto"/>
            </w:tcBorders>
          </w:tcPr>
          <w:p w14:paraId="00CE2860" w14:textId="77777777" w:rsidR="006A2ED3" w:rsidRPr="00D22DFD" w:rsidRDefault="006A2ED3" w:rsidP="00645672">
            <w:pPr>
              <w:rPr>
                <w:b/>
              </w:rPr>
            </w:pPr>
            <w:r w:rsidRPr="00D22DFD">
              <w:rPr>
                <w:b/>
              </w:rPr>
              <w:t>Median (95% CI)</w:t>
            </w:r>
          </w:p>
        </w:tc>
        <w:tc>
          <w:tcPr>
            <w:tcW w:w="0" w:type="auto"/>
            <w:tcBorders>
              <w:top w:val="single" w:sz="4" w:space="0" w:color="auto"/>
              <w:bottom w:val="single" w:sz="4" w:space="0" w:color="auto"/>
            </w:tcBorders>
          </w:tcPr>
          <w:p w14:paraId="00CE2861" w14:textId="77777777" w:rsidR="006A2ED3" w:rsidRDefault="00D22DFD" w:rsidP="00645672">
            <w:pPr>
              <w:jc w:val="center"/>
            </w:pPr>
            <w:r>
              <w:t>13.53 (11.6, 15.5)</w:t>
            </w:r>
          </w:p>
        </w:tc>
        <w:tc>
          <w:tcPr>
            <w:tcW w:w="0" w:type="auto"/>
            <w:tcBorders>
              <w:top w:val="single" w:sz="4" w:space="0" w:color="auto"/>
              <w:bottom w:val="single" w:sz="4" w:space="0" w:color="auto"/>
            </w:tcBorders>
          </w:tcPr>
          <w:p w14:paraId="00CE2862" w14:textId="77777777" w:rsidR="006A2ED3" w:rsidRDefault="00D22DFD" w:rsidP="00645672">
            <w:pPr>
              <w:jc w:val="center"/>
            </w:pPr>
            <w:r>
              <w:t>13.47 (12.2, 14.7)</w:t>
            </w:r>
          </w:p>
        </w:tc>
        <w:tc>
          <w:tcPr>
            <w:tcW w:w="0" w:type="auto"/>
            <w:tcBorders>
              <w:top w:val="single" w:sz="4" w:space="0" w:color="auto"/>
              <w:bottom w:val="single" w:sz="4" w:space="0" w:color="auto"/>
            </w:tcBorders>
          </w:tcPr>
          <w:p w14:paraId="00CE2863" w14:textId="77777777" w:rsidR="006A2ED3" w:rsidRDefault="00D22DFD" w:rsidP="00645672">
            <w:pPr>
              <w:jc w:val="center"/>
            </w:pPr>
            <w:r>
              <w:t>0.674</w:t>
            </w:r>
          </w:p>
        </w:tc>
      </w:tr>
    </w:tbl>
    <w:p w14:paraId="00CE2865" w14:textId="77777777" w:rsidR="009A3CF9" w:rsidRDefault="009A3CF9" w:rsidP="00645672">
      <w:pPr>
        <w:spacing w:line="240" w:lineRule="auto"/>
      </w:pPr>
    </w:p>
    <w:p w14:paraId="00CE2866" w14:textId="77777777" w:rsidR="00E12EBF" w:rsidRDefault="00E12EBF" w:rsidP="00645672">
      <w:pPr>
        <w:spacing w:line="240" w:lineRule="auto"/>
      </w:pPr>
      <w:r>
        <w:t>The difference in mean age is nearly statistically significant at p=0.071 (</w:t>
      </w:r>
      <w:r w:rsidR="009E453A">
        <w:t xml:space="preserve">t-test, </w:t>
      </w:r>
      <w:r>
        <w:t xml:space="preserve">using an 0.05 threshold). This suggests that those cases with RNA-seq data tend to be older (mean: 60.7 years) than those without (mean: 58.3 years). However, it is not clear that a </w:t>
      </w:r>
      <w:proofErr w:type="gramStart"/>
      <w:r>
        <w:t>2.4 year</w:t>
      </w:r>
      <w:proofErr w:type="gramEnd"/>
      <w:r>
        <w:t xml:space="preserve"> difference in average age </w:t>
      </w:r>
      <w:r w:rsidR="009E453A">
        <w:t xml:space="preserve">of diagnosis </w:t>
      </w:r>
      <w:r>
        <w:t xml:space="preserve">is clinically meaningful. When we look at the distributions of the two groups in Figure 1, we see that they are very similar and it’s possible that the lower mean age in the group without sequencing may be due to the few persons in the group with diagnosis before 20 years of age. </w:t>
      </w:r>
    </w:p>
    <w:p w14:paraId="00CE2867" w14:textId="77777777" w:rsidR="00E12EBF" w:rsidRDefault="00E12EBF" w:rsidP="00645672">
      <w:pPr>
        <w:spacing w:line="240" w:lineRule="auto"/>
      </w:pPr>
      <w:r>
        <w:t>Figure 1. Distribution of age at diagnosis for cases with and without RNA-sequencing data</w:t>
      </w:r>
    </w:p>
    <w:p w14:paraId="00CE2868" w14:textId="77777777" w:rsidR="00E12EBF" w:rsidRDefault="00E12EBF" w:rsidP="00645672">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CE2873" wp14:editId="00CE2874">
            <wp:extent cx="3429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0" cy="2743200"/>
                    </a:xfrm>
                    <a:prstGeom prst="rect">
                      <a:avLst/>
                    </a:prstGeom>
                    <a:noFill/>
                    <a:ln>
                      <a:noFill/>
                    </a:ln>
                  </pic:spPr>
                </pic:pic>
              </a:graphicData>
            </a:graphic>
          </wp:inline>
        </w:drawing>
      </w:r>
    </w:p>
    <w:p w14:paraId="00CE2869" w14:textId="77777777" w:rsidR="00E12EBF" w:rsidRDefault="00E12EBF" w:rsidP="00645672">
      <w:pPr>
        <w:autoSpaceDE w:val="0"/>
        <w:autoSpaceDN w:val="0"/>
        <w:adjustRightInd w:val="0"/>
        <w:spacing w:after="0" w:line="240" w:lineRule="auto"/>
        <w:rPr>
          <w:rFonts w:ascii="Times New Roman" w:hAnsi="Times New Roman" w:cs="Times New Roman"/>
          <w:sz w:val="24"/>
          <w:szCs w:val="24"/>
        </w:rPr>
      </w:pPr>
    </w:p>
    <w:p w14:paraId="00CE286A" w14:textId="77777777" w:rsidR="00645672" w:rsidRDefault="00645672" w:rsidP="00645672">
      <w:pPr>
        <w:spacing w:line="240" w:lineRule="auto"/>
      </w:pPr>
      <w:r>
        <w:t xml:space="preserve">The proportion of males and females is well balanced between the two groups (Chi-square, p=0.664). </w:t>
      </w:r>
      <w:proofErr w:type="gramStart"/>
      <w:r>
        <w:t>Likewise</w:t>
      </w:r>
      <w:proofErr w:type="gramEnd"/>
      <w:r>
        <w:t xml:space="preserve"> the proportion of cases in each molecular class is similar between the two groups (Chi-square, p=0.374). </w:t>
      </w:r>
    </w:p>
    <w:p w14:paraId="00CE286B" w14:textId="77777777" w:rsidR="00E12EBF" w:rsidRPr="009E453A" w:rsidRDefault="009E453A" w:rsidP="00645672">
      <w:pPr>
        <w:autoSpaceDE w:val="0"/>
        <w:autoSpaceDN w:val="0"/>
        <w:adjustRightInd w:val="0"/>
        <w:spacing w:after="0" w:line="240" w:lineRule="auto"/>
        <w:rPr>
          <w:rFonts w:cs="Times New Roman"/>
        </w:rPr>
      </w:pPr>
      <w:r w:rsidRPr="009E453A">
        <w:rPr>
          <w:rFonts w:cs="Times New Roman"/>
        </w:rPr>
        <w:t xml:space="preserve">The </w:t>
      </w:r>
      <w:r>
        <w:rPr>
          <w:rFonts w:cs="Times New Roman"/>
        </w:rPr>
        <w:t xml:space="preserve">estimated median survival is nearly identical at </w:t>
      </w:r>
      <w:r w:rsidR="00645672">
        <w:rPr>
          <w:rFonts w:cs="Times New Roman"/>
        </w:rPr>
        <w:t xml:space="preserve">approximately </w:t>
      </w:r>
      <w:r>
        <w:rPr>
          <w:rFonts w:cs="Times New Roman"/>
        </w:rPr>
        <w:t>13.5 months for those with and without RNA-seq data. The log-rank test confirms that the</w:t>
      </w:r>
      <w:r w:rsidR="00486D82">
        <w:rPr>
          <w:rFonts w:cs="Times New Roman"/>
        </w:rPr>
        <w:t>re is no</w:t>
      </w:r>
      <w:r>
        <w:rPr>
          <w:rFonts w:cs="Times New Roman"/>
        </w:rPr>
        <w:t xml:space="preserve"> evidence of a difference in the survival </w:t>
      </w:r>
      <w:proofErr w:type="gramStart"/>
      <w:r>
        <w:rPr>
          <w:rFonts w:cs="Times New Roman"/>
        </w:rPr>
        <w:t>distributions  between</w:t>
      </w:r>
      <w:proofErr w:type="gramEnd"/>
      <w:r>
        <w:rPr>
          <w:rFonts w:cs="Times New Roman"/>
        </w:rPr>
        <w:t xml:space="preserve"> the two groups (p=0.674). This is depicted in the Kaplan-Meier plots of Figure 2. Here the survival curve for cases with RNA-seq data are shown in green (solid line and square censoring markers) and the survival curve for cases without RNA-seq data are shown in blue (dotted line and circle censoring markers). </w:t>
      </w:r>
    </w:p>
    <w:p w14:paraId="00CE286C" w14:textId="77777777" w:rsidR="00E12EBF" w:rsidRPr="009E453A" w:rsidRDefault="00E12EBF" w:rsidP="00645672">
      <w:pPr>
        <w:spacing w:line="240" w:lineRule="auto"/>
      </w:pPr>
    </w:p>
    <w:p w14:paraId="00CE286D" w14:textId="77777777" w:rsidR="00D22DFD" w:rsidRDefault="00D22DFD" w:rsidP="00645672">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CE2875" wp14:editId="00CE2876">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00CE286E" w14:textId="77777777" w:rsidR="00D22DFD" w:rsidRDefault="00D22DFD" w:rsidP="00645672">
      <w:pPr>
        <w:autoSpaceDE w:val="0"/>
        <w:autoSpaceDN w:val="0"/>
        <w:adjustRightInd w:val="0"/>
        <w:spacing w:after="0" w:line="240" w:lineRule="auto"/>
        <w:rPr>
          <w:rFonts w:ascii="Times New Roman" w:hAnsi="Times New Roman" w:cs="Times New Roman"/>
          <w:sz w:val="24"/>
          <w:szCs w:val="24"/>
        </w:rPr>
      </w:pPr>
    </w:p>
    <w:p w14:paraId="00CE286F" w14:textId="77777777" w:rsidR="00C82681" w:rsidRPr="00DB62D9" w:rsidRDefault="00C82681" w:rsidP="00645672">
      <w:pPr>
        <w:spacing w:line="240" w:lineRule="auto"/>
        <w:rPr>
          <w:b/>
        </w:rPr>
      </w:pPr>
      <w:r w:rsidRPr="00DB62D9">
        <w:rPr>
          <w:b/>
        </w:rPr>
        <w:t>Conclusion</w:t>
      </w:r>
    </w:p>
    <w:p w14:paraId="00CE2870" w14:textId="77777777" w:rsidR="00645672" w:rsidRDefault="00645672" w:rsidP="00645672">
      <w:pPr>
        <w:spacing w:line="240" w:lineRule="auto"/>
      </w:pPr>
      <w:r w:rsidRPr="00880FC9">
        <w:t xml:space="preserve">For the clinical variables considered here, there is no evidence that the cases with RNA-sequencing data differ significantly from those without RNA-sequencing data. </w:t>
      </w:r>
      <w:r w:rsidR="00AC3FEA" w:rsidRPr="00880FC9">
        <w:t>Th</w:t>
      </w:r>
      <w:r w:rsidR="00AC3FEA">
        <w:t xml:space="preserve">is is reassuring that the samples with RNA-seq data are likely a representative sample of the whole set. </w:t>
      </w:r>
      <w:r>
        <w:t xml:space="preserve">It is interesting to note that 34.4% of the cases with RNA-seq data were alive at last follow-up compared to only 19.6% of the cases without RNA-seq data. </w:t>
      </w:r>
      <w:r w:rsidR="00AC3FEA">
        <w:t>Since the survival curves do not differ, t</w:t>
      </w:r>
      <w:r>
        <w:t>his suggests that the samples with RNA-seq data are likely newer diagnoses. Th</w:t>
      </w:r>
      <w:r w:rsidR="00DB62D9">
        <w:t xml:space="preserve">e year of diagnosis should be considered </w:t>
      </w:r>
      <w:r>
        <w:t>before using RNA-seq data on studies of treatment regimens as they have c</w:t>
      </w:r>
      <w:r w:rsidR="00DB62D9">
        <w:t xml:space="preserve">hanged notably over the last decade. </w:t>
      </w:r>
    </w:p>
    <w:p w14:paraId="00CE2871" w14:textId="77777777" w:rsidR="00DB62D9" w:rsidRDefault="00DB62D9" w:rsidP="00645672">
      <w:pPr>
        <w:spacing w:line="240" w:lineRule="auto"/>
      </w:pPr>
    </w:p>
    <w:p w14:paraId="00CE2872" w14:textId="77777777" w:rsidR="00A74C4E" w:rsidRDefault="00A74C4E" w:rsidP="00645672">
      <w:pPr>
        <w:spacing w:line="240" w:lineRule="auto"/>
      </w:pPr>
    </w:p>
    <w:sectPr w:rsidR="00A74C4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5FF6A0" w14:textId="77777777" w:rsidR="009868F2" w:rsidRDefault="009868F2" w:rsidP="006253F4">
      <w:pPr>
        <w:spacing w:after="0" w:line="240" w:lineRule="auto"/>
      </w:pPr>
      <w:r>
        <w:separator/>
      </w:r>
    </w:p>
  </w:endnote>
  <w:endnote w:type="continuationSeparator" w:id="0">
    <w:p w14:paraId="7039529F" w14:textId="77777777" w:rsidR="009868F2" w:rsidRDefault="009868F2" w:rsidP="00625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F1CE3" w14:textId="77777777" w:rsidR="009868F2" w:rsidRDefault="009868F2" w:rsidP="006253F4">
      <w:pPr>
        <w:spacing w:after="0" w:line="240" w:lineRule="auto"/>
      </w:pPr>
      <w:r>
        <w:separator/>
      </w:r>
    </w:p>
  </w:footnote>
  <w:footnote w:type="continuationSeparator" w:id="0">
    <w:p w14:paraId="1C367F3A" w14:textId="77777777" w:rsidR="009868F2" w:rsidRDefault="009868F2" w:rsidP="006253F4">
      <w:pPr>
        <w:spacing w:after="0" w:line="240" w:lineRule="auto"/>
      </w:pPr>
      <w:r>
        <w:continuationSeparator/>
      </w:r>
    </w:p>
  </w:footnote>
  <w:footnote w:id="1">
    <w:p w14:paraId="00CE287C" w14:textId="77777777" w:rsidR="006253F4" w:rsidRDefault="006253F4">
      <w:pPr>
        <w:pStyle w:val="FootnoteText"/>
      </w:pPr>
      <w:r>
        <w:rPr>
          <w:rStyle w:val="FootnoteReference"/>
        </w:rPr>
        <w:footnoteRef/>
      </w:r>
      <w:r>
        <w:t xml:space="preserve"> </w:t>
      </w:r>
      <w:r w:rsidRPr="006253F4">
        <w:t>gdac.broadinstitute.org_GBM.Merge_rnaseqv2__illuminahiseq_rnaseqv2__unc_edu__Level_3__RSEM_genes_</w:t>
      </w:r>
      <w:r>
        <w:t xml:space="preserve"> </w:t>
      </w:r>
      <w:proofErr w:type="spellStart"/>
      <w:r w:rsidR="000B4F7F">
        <w:t>normalized__data</w:t>
      </w:r>
      <w:proofErr w:type="spellEnd"/>
    </w:p>
  </w:footnote>
  <w:footnote w:id="2">
    <w:p w14:paraId="00CE287D" w14:textId="77777777" w:rsidR="006253F4" w:rsidRDefault="006253F4">
      <w:pPr>
        <w:pStyle w:val="FootnoteText"/>
      </w:pPr>
      <w:r>
        <w:rPr>
          <w:rStyle w:val="FootnoteReference"/>
        </w:rPr>
        <w:footnoteRef/>
      </w:r>
      <w:r>
        <w:t xml:space="preserve"> </w:t>
      </w:r>
      <w:r w:rsidRPr="006253F4">
        <w:t>https://confluence.broadinstitute.org/display/GDAC/Home</w:t>
      </w:r>
    </w:p>
  </w:footnote>
  <w:footnote w:id="3">
    <w:p w14:paraId="00CE287E" w14:textId="77777777" w:rsidR="006253F4" w:rsidRDefault="006253F4">
      <w:pPr>
        <w:pStyle w:val="FootnoteText"/>
      </w:pPr>
      <w:r>
        <w:rPr>
          <w:rStyle w:val="FootnoteReference"/>
        </w:rPr>
        <w:footnoteRef/>
      </w:r>
      <w:r>
        <w:t xml:space="preserve"> Brennan, </w:t>
      </w:r>
      <w:proofErr w:type="spellStart"/>
      <w:r>
        <w:t>Verhaak</w:t>
      </w:r>
      <w:proofErr w:type="spellEnd"/>
      <w:r>
        <w:t xml:space="preserve">, </w:t>
      </w:r>
      <w:proofErr w:type="gramStart"/>
      <w:r>
        <w:t>et al.</w:t>
      </w:r>
      <w:r w:rsidR="000B77A0">
        <w:t>(</w:t>
      </w:r>
      <w:proofErr w:type="gramEnd"/>
      <w:r w:rsidR="000B77A0">
        <w:t xml:space="preserve">2013) </w:t>
      </w:r>
      <w:r>
        <w:t xml:space="preserve"> The Somatic Genomic Landscape of Glioblastoma. Cell</w:t>
      </w:r>
      <w:r w:rsidR="000B77A0">
        <w:t>. 155:462-477.</w:t>
      </w:r>
    </w:p>
  </w:footnote>
  <w:footnote w:id="4">
    <w:p w14:paraId="00CE287F" w14:textId="77777777" w:rsidR="004B735D" w:rsidRDefault="004B735D">
      <w:pPr>
        <w:pStyle w:val="FootnoteText"/>
      </w:pPr>
      <w:r>
        <w:rPr>
          <w:rStyle w:val="FootnoteReference"/>
        </w:rPr>
        <w:footnoteRef/>
      </w:r>
      <w:r>
        <w:t xml:space="preserve"> </w:t>
      </w:r>
      <w:r w:rsidRPr="004B735D">
        <w:t>M:\lpoisso1\TCGAdata\RNAseq\GBM</w:t>
      </w:r>
      <w:r>
        <w:t>\</w:t>
      </w:r>
      <w:r w:rsidRPr="004B735D">
        <w:t>ClinCheck_RNAseqSamples</w:t>
      </w:r>
      <w:r>
        <w:t>.sas</w:t>
      </w:r>
    </w:p>
  </w:footnote>
  <w:footnote w:id="5">
    <w:p w14:paraId="00CE2880" w14:textId="77777777" w:rsidR="00F42B10" w:rsidRDefault="00F42B10">
      <w:pPr>
        <w:pStyle w:val="FootnoteText"/>
      </w:pPr>
      <w:r>
        <w:rPr>
          <w:rStyle w:val="FootnoteReference"/>
        </w:rPr>
        <w:footnoteRef/>
      </w:r>
      <w:r>
        <w:t xml:space="preserve"> </w:t>
      </w:r>
      <w:r w:rsidR="008C5FBE" w:rsidRPr="008C5FBE">
        <w:t>M:\lpoisso1\TCGAdata\RNAseq\GBM\ClinicalData_withRNAseqStatus.txt</w:t>
      </w:r>
    </w:p>
  </w:footnote>
  <w:footnote w:id="6">
    <w:p w14:paraId="00CE2881" w14:textId="77777777" w:rsidR="000B4F7F" w:rsidRDefault="000B4F7F">
      <w:pPr>
        <w:pStyle w:val="FootnoteText"/>
      </w:pPr>
      <w:r>
        <w:rPr>
          <w:rStyle w:val="FootnoteReference"/>
        </w:rPr>
        <w:footnoteRef/>
      </w:r>
      <w:r>
        <w:t xml:space="preserve"> </w:t>
      </w:r>
      <w:r w:rsidR="00AC3FEA" w:rsidRPr="008C5FBE">
        <w:t>M:\lpoisso1\TCGAdata\RNAseq\GBM\</w:t>
      </w:r>
      <w:r w:rsidR="004D6259" w:rsidRPr="004D6259">
        <w:t>ClinicalDataComparison_RNAseqStatus</w:t>
      </w:r>
      <w:r>
        <w:t>.</w:t>
      </w:r>
      <w:r w:rsidR="00AC3FEA">
        <w:t>spv</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E287B" w14:textId="77777777" w:rsidR="00AC3FEA" w:rsidRDefault="00AC3FEA">
    <w:pPr>
      <w:pStyle w:val="Header"/>
    </w:pPr>
    <w:r>
      <w:t>FPH 7020: Biostat 2</w:t>
    </w:r>
    <w:r>
      <w:tab/>
      <w:t xml:space="preserve">January 9, </w:t>
    </w:r>
    <w:proofErr w:type="gramStart"/>
    <w:r>
      <w:t>2014</w:t>
    </w:r>
    <w:proofErr w:type="gramEnd"/>
    <w:r>
      <w:tab/>
      <w:t>Document 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7FA1"/>
    <w:rsid w:val="0000182F"/>
    <w:rsid w:val="00084F00"/>
    <w:rsid w:val="000A190A"/>
    <w:rsid w:val="000B4F7F"/>
    <w:rsid w:val="000B77A0"/>
    <w:rsid w:val="001E2077"/>
    <w:rsid w:val="00267FA1"/>
    <w:rsid w:val="003601FD"/>
    <w:rsid w:val="003B6396"/>
    <w:rsid w:val="004047C5"/>
    <w:rsid w:val="004707C2"/>
    <w:rsid w:val="00486D82"/>
    <w:rsid w:val="004B735D"/>
    <w:rsid w:val="004D6259"/>
    <w:rsid w:val="00620A78"/>
    <w:rsid w:val="0062457E"/>
    <w:rsid w:val="006253F4"/>
    <w:rsid w:val="006333C2"/>
    <w:rsid w:val="00645672"/>
    <w:rsid w:val="006613F9"/>
    <w:rsid w:val="0067335B"/>
    <w:rsid w:val="006A2ED3"/>
    <w:rsid w:val="006D0A53"/>
    <w:rsid w:val="00704D4A"/>
    <w:rsid w:val="00854B65"/>
    <w:rsid w:val="008663FB"/>
    <w:rsid w:val="00880FC9"/>
    <w:rsid w:val="00895B7E"/>
    <w:rsid w:val="008C5FBE"/>
    <w:rsid w:val="00925CC5"/>
    <w:rsid w:val="009612E5"/>
    <w:rsid w:val="009868F2"/>
    <w:rsid w:val="009A3CF9"/>
    <w:rsid w:val="009E453A"/>
    <w:rsid w:val="00A073D5"/>
    <w:rsid w:val="00A72256"/>
    <w:rsid w:val="00A74C4E"/>
    <w:rsid w:val="00AC3FEA"/>
    <w:rsid w:val="00B25090"/>
    <w:rsid w:val="00C82681"/>
    <w:rsid w:val="00D22DFD"/>
    <w:rsid w:val="00DB62D9"/>
    <w:rsid w:val="00E12EBF"/>
    <w:rsid w:val="00E632DC"/>
    <w:rsid w:val="00E97CCA"/>
    <w:rsid w:val="00ED00FE"/>
    <w:rsid w:val="00EF1CE6"/>
    <w:rsid w:val="00F27E81"/>
    <w:rsid w:val="00F4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E280F"/>
  <w15:docId w15:val="{6C2AF6CB-7622-4CB5-94D9-54F8320F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253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53F4"/>
    <w:rPr>
      <w:sz w:val="20"/>
      <w:szCs w:val="20"/>
    </w:rPr>
  </w:style>
  <w:style w:type="character" w:styleId="FootnoteReference">
    <w:name w:val="footnote reference"/>
    <w:basedOn w:val="DefaultParagraphFont"/>
    <w:uiPriority w:val="99"/>
    <w:semiHidden/>
    <w:unhideWhenUsed/>
    <w:rsid w:val="006253F4"/>
    <w:rPr>
      <w:vertAlign w:val="superscript"/>
    </w:rPr>
  </w:style>
  <w:style w:type="paragraph" w:styleId="EndnoteText">
    <w:name w:val="endnote text"/>
    <w:basedOn w:val="Normal"/>
    <w:link w:val="EndnoteTextChar"/>
    <w:uiPriority w:val="99"/>
    <w:semiHidden/>
    <w:unhideWhenUsed/>
    <w:rsid w:val="006253F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253F4"/>
    <w:rPr>
      <w:sz w:val="20"/>
      <w:szCs w:val="20"/>
    </w:rPr>
  </w:style>
  <w:style w:type="character" w:styleId="EndnoteReference">
    <w:name w:val="endnote reference"/>
    <w:basedOn w:val="DefaultParagraphFont"/>
    <w:uiPriority w:val="99"/>
    <w:semiHidden/>
    <w:unhideWhenUsed/>
    <w:rsid w:val="006253F4"/>
    <w:rPr>
      <w:vertAlign w:val="superscript"/>
    </w:rPr>
  </w:style>
  <w:style w:type="table" w:styleId="TableGrid">
    <w:name w:val="Table Grid"/>
    <w:basedOn w:val="TableNormal"/>
    <w:uiPriority w:val="59"/>
    <w:rsid w:val="00704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22D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2DFD"/>
    <w:rPr>
      <w:rFonts w:ascii="Tahoma" w:hAnsi="Tahoma" w:cs="Tahoma"/>
      <w:sz w:val="16"/>
      <w:szCs w:val="16"/>
    </w:rPr>
  </w:style>
  <w:style w:type="paragraph" w:styleId="Header">
    <w:name w:val="header"/>
    <w:basedOn w:val="Normal"/>
    <w:link w:val="HeaderChar"/>
    <w:uiPriority w:val="99"/>
    <w:unhideWhenUsed/>
    <w:rsid w:val="00E12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EBF"/>
  </w:style>
  <w:style w:type="paragraph" w:styleId="Footer">
    <w:name w:val="footer"/>
    <w:basedOn w:val="Normal"/>
    <w:link w:val="FooterChar"/>
    <w:uiPriority w:val="99"/>
    <w:unhideWhenUsed/>
    <w:rsid w:val="00E12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88B0A-5102-44D9-B398-8557D4CDD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Laila M Poisson</dc:creator>
  <cp:lastModifiedBy>Pennell, Michael</cp:lastModifiedBy>
  <cp:revision>9</cp:revision>
  <dcterms:created xsi:type="dcterms:W3CDTF">2014-01-09T09:28:00Z</dcterms:created>
  <dcterms:modified xsi:type="dcterms:W3CDTF">2025-01-21T21:14:00Z</dcterms:modified>
</cp:coreProperties>
</file>