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B4F8A"/>
          <w:sz w:val="36"/>
          <w:szCs w:val="36"/>
        </w:rPr>
        <w:t xml:space="preserve">CAPSTONE — GESTIÓN DE PEDIDOS CON APROBACIÓN INTELIGENTE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Backend — SAP CAP (Node.js) sobre Cloud Foundry / HANA Cloud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Curso BTP Axigma — Día 14–15</w:t>
      </w:r>
    </w:p>
    <w:p>
      <w:pPr>
        <w:spacing w:after="60"/>
        <w:jc w:val="center"/>
      </w:pPr>
      <w:r>
        <w:rPr>
          <w:b/>
          <w:bCs/>
          <w:color w:val="1A1A1A"/>
          <w:sz w:val="22"/>
          <w:szCs w:val="22"/>
        </w:rPr>
        <w:t xml:space="preserve">Material de apoyo técnico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Preparado por: Jesús Alexander Blanco Orta (J. Blanco)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Velion Tech SAC — Axigma</w:t>
      </w:r>
    </w:p>
    <w:p>
      <w:pPr>
        <w:spacing w:after="900"/>
        <w:jc w:val="center"/>
      </w:pPr>
      <w:r>
        <w:rPr>
          <w:color w:val="595959"/>
          <w:sz w:val="20"/>
          <w:szCs w:val="20"/>
        </w:rPr>
        <w:t xml:space="preserve">Julio 2026</w:t>
      </w:r>
    </w:p>
    <w:tbl>
      <w:tblPr>
        <w:tblW w:type="pct" w:w="100%"/>
        <w:tblBorders>
          <w:top w:val="single" w:color="EAF2FA" w:sz="4"/>
          <w:left w:val="single" w:color="0B4F8A" w:sz="24"/>
          <w:bottom w:val="single" w:color="EAF2FA" w:sz="4"/>
          <w:right w:val="single" w:color="EAF2F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4F8A"/>
                <w:sz w:val="20"/>
                <w:szCs w:val="20"/>
              </w:rPr>
              <w:t xml:space="preserve">Sobre este documento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Segunda parte del material de apoyo del capstone, enfocada en el servicio backend: modelo de datos CDS, definición OData con autorizaciones por rol, lógica de negocio en orders-handler.js, seguridad (XSUAA), despliegue (MTA) e integraciones salientes con SAP Build Process Automation, SAP Integration Suite (CPI) y S/4HANA. Complementa el documento "Capstone MDK — Documentación" ya entregado.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1. Arquitectura del servicio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El backend es un proyecto SAP CAP (Cloud Application Programming Model) en Node.js, desplegado como Multi-Target Application (MTA) en Cloud Foundry, con persistencia en SAP HANA Cloud.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btp-capstone-orders/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├─ db/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│   ├─ schema.cds          → modelo de datos (Orders, OrderItems, Products)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│   └─ data/cap-Products.csv → datos semilla del catálogo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├─ srv/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│   ├─ orders-service.cds  → definición OData + autorizaciones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│   ├─ orders-handler.js   → lógica de negocio e integraciones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│   └─ external/           → modelo importado API_BUSINESS_PARTNER (S/4HANA)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├─ mta.yaml                → definición de despliegue (módulos y recursos)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├─ xs-security.json        → scopes, roles y colecciones de roles (XSUAA)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└─ package.json            → dependencias y perfiles [production] / local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1.1 Integraciones salientes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250"/>
      </w:tblGrid>
      <w:tr>
        <w:trPr>
          <w:tblHeader/>
        </w:trPr>
        <w:tc>
          <w:tcPr>
            <w:tcW w:type="dxa" w:w="33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28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  <w:tc>
          <w:tcPr>
            <w:tcW w:type="dxa" w:w="32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SAP Build Process Automation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 + OAuth2 Client Credentials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Disparar la instancia de aprobación al enviar una orden.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SAP Integration Suite (CPI)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 + OAuth2 Client Credentials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Notificar por correo (Gmail SMTP) la decisión de aprobación.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S/4HANA (API_BUSINESS_PARTNER)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OData V2 vía Destination + Cloud Connector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Validar/enriquecer el Business Partner del cliente al crear la orden.</w:t>
            </w:r>
          </w:p>
        </w:tc>
      </w:tr>
    </w:tbl>
    <w:tbl>
      <w:tblPr>
        <w:tblW w:type="pct" w:w="100%"/>
        <w:tblBorders>
          <w:top w:val="single" w:color="EAF2FA" w:sz="4"/>
          <w:left w:val="single" w:color="0B4F8A" w:sz="24"/>
          <w:bottom w:val="single" w:color="EAF2FA" w:sz="4"/>
          <w:right w:val="single" w:color="EAF2F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4F8A"/>
                <w:sz w:val="20"/>
                <w:szCs w:val="20"/>
              </w:rPr>
              <w:t xml:space="preserve">Diseño resiliente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Tanto _notifyViaCPI como _validateBusinessPartner están envueltos en try/catch que solo registran el error en consola (console.log) sin interrumpir el flujo principal — si CPI o S/4HANA no responden, la orden se crea/actualiza igual. _triggerBPA, en cambio, no tiene ese manejo: si BPA falla, submitForApproval propaga el error (comportamiento correcto, ya que sin instancia de workflow la orden no debe marcarse IN_APPROVAL).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2. Modelo de datos (db/schema.cds)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namespace cap;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using { cuid, managed } from '@sap/cds/common';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entity Products : cuid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code        : String(20)    @mandatory;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description : String(100)   @mandatory;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unitPrice   : Decimal(12,2);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currency    : String(3)     default 'PEN';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stock       : Integer       default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active      : Boolean       default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entity Orders : cuid, managed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orderNumber   : String(20);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customer      : String(80)    @mandatory;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customerEmail : String(120);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amount        : Decimal(15,2) default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currency      : String(3)     default 'PEN';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status        : String(20)    default 'PENDING';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remarks       : String(500);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approvalID    : String(36);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approvedBy    : String(80);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approvedAt    : Timestamp;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items         : Composition of many OrderItems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              on items.order = $self;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entity OrderItems : cuid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order   : Association to Orders;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product : Association to Products;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qty     : Integer       default 1;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price   : Decimal(12,2);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subtotal: Decimal(15,2);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2.1 Puntos de diseño relevantes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cuid aporta la clave primaria ID (Guid, UUID v4) a las tres entidades.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managed en Orders agrega automáticamente createdAt, createdBy, modifiedAt, modifiedBy — auditoría sin código adicional.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items es una Composition (no Association): los OrderItems no existen de forma independiente; al eliminar una Orders, CAP elimina sus OrderItems en cascada.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amount, price y subtotal son calculados por el backend en el before(CREATE) — nunca se reciben directamente del cliente como valores de confianza.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2.2 Datos semilla — Products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Cargados automáticamente desde db/data/cap-Products.csv al desplegar/iniciar el servicio (convención CAP: nombre de archivo = &lt;namespace&gt;-&lt;Entidad&gt;.csv).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1650"/>
        <w:gridCol w:w="1600"/>
      </w:tblGrid>
      <w:tr>
        <w:trPr>
          <w:tblHeader/>
        </w:trPr>
        <w:tc>
          <w:tcPr>
            <w:tcW w:type="dxa" w:w="18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3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unitPrice</w:t>
            </w:r>
          </w:p>
        </w:tc>
        <w:tc>
          <w:tcPr>
            <w:tcW w:type="dxa" w:w="16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currency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MAT-001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Cemento Portland 42.5kg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48.50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MAT-002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Fierro Corrugado 1/2" x 9m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85.00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MAT-003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Ladrillo King Kong 18h (millar)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320.00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MAT-004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Arena Fina m3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75.00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MAT-005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Piedra Chancada 3/4" m3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90.00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3. Definición del servicio (srv/orders-service.cds)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using cap from '../db/schema';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using { API_BUSINESS_PARTNER as external } from './external/API_BUSINESS_PARTNER';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@impl: './orders-handler.js'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service OrdersService @(path: '/orders')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@readonly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entity Products as projection on cap.Products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where active =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@(restrict: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{ grant: 'READ',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to: ['OrderRead', 'OrderCreate', 'OrderApprove']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{ grant: ['CREATE', 'UPDATE', 'submitForApproval'],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to: 'OrderCreate'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{ grant: ['receiveApprovalDecision'],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to: 'OrderApprove'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entity Orders as projection on cap.Orders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excluding { approvalID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actions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action submitForApproval()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  returns String;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action receiveApprovalDecision(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  decision  : String @mandatory,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  approvedBy: String @mandatory,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  remarks   : String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) returns String;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@(restrict: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{ grant: 'READ',              to: ['OrderRead', 'OrderCreate', 'OrderApprove']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{ grant: ['CREATE','UPDATE'], to: 'OrderCreate'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entity OrderItems as projection on cap.OrderItems;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3.1 Puntos de diseño relevantes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El servicio se publica en /orders (OData V4 nativo) y adicionalmente en /odata/v2/orders mediante el adaptador @cap-js-community/odata-v2-adapter — este último es el que consume la app MDK, ya que MDK trabaja con OData V2.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excluding { approvalID } oculta el ID de instancia de workflow de BPA en la proyección expuesta al cliente — es un dato interno de la integración, no de negocio.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Las dos bound actions (submitForApproval, receiveApprovalDecision) quedan expuestas en el metadata como Orders_submitForApproval y Orders_receiveApprovalDecision (convención OData V2: prefijo del entity set).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@(restrict: [...]) aplica autorización declarativa por scope XSUAA — sin código adicional, CAP rechaza automáticamente la operación si el usuario no tiene el rol requerido.</w:t>
      </w:r>
    </w:p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4. Lógica de negocio (srv/orders-handler.js)</w:t>
      </w:r>
    </w:p>
    <w:p>
      <w:pPr>
        <w:pStyle w:val="Heading2"/>
        <w:spacing w:after="140" w:before="300"/>
      </w:pPr>
      <w:r>
        <w:rPr>
          <w:b/>
          <w:bCs/>
          <w:color w:val="0B4F8A"/>
          <w:sz w:val="24"/>
          <w:szCs w:val="24"/>
        </w:rPr>
        <w:t xml:space="preserve">4.1 before CREATE — Validación y cálculo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srv.before('CREATE', Orders, async (req)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order = req.data;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// Numeración correlativa: ORD-00001, ORD-00002...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count = await SELECT.one`count(*) as total`.from(Orders);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next = (parseInt(count.total) || 0) + 1;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order.orderNumber = `ORD-${String(next).padStart(5, '0')}`;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// Regla: al menos un ítem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(!order.items || order.items.length === 0)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req.error(400, 'La orden debe tener al menos un ítem');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// Validar producto y calcular importes ítem por ítem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let totalAmount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for (const item of order.items)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const product = await SELECT.one(Products).where({ ID: item.product_ID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if (!product) { req.error(404, `Producto ${item.product_ID} no encontrado`); return;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if (!product.active) { req.error(409, `Producto ${product.description} no está activo`); return;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item.price    = product.unitPrice;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item.subtotal = (item.qty || 1) * product.unitPrice;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totalAmount  += item.subtotal;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order.amount   = totalAmount;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order.currency = order.currency || 'PEN';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order.status   = 'PENDING';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// Enriquecimiento (no bloqueante) con S/4HANA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bpData = await _validateBusinessPartner(order.customer);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(bpData &amp;&amp; !order.remarks) order.remarks = `BP S4: ${bpData.BusinessPartner}`;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});</w:t>
            </w:r>
          </w:p>
        </w:tc>
      </w:tr>
    </w:tbl>
    <w:tbl>
      <w:tblPr>
        <w:tblW w:type="pct" w:w="100%"/>
        <w:tblBorders>
          <w:top w:val="single" w:color="EAF2FA" w:sz="4"/>
          <w:left w:val="single" w:color="0B4F8A" w:sz="24"/>
          <w:bottom w:val="single" w:color="EAF2FA" w:sz="4"/>
          <w:right w:val="single" w:color="EAF2F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4F8A"/>
                <w:sz w:val="20"/>
                <w:szCs w:val="20"/>
              </w:rPr>
              <w:t xml:space="preserve">Nota de numeración correlativa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El cálculo del siguiente orderNumber vía count(*) no es atómico entre requests concurrentes (posible condición de carrera con alta concurrencia). Aceptable para el volumen del capstone; en producción conviene una secuencia de base de datos o un UPDATE atómico con retry.</w:t>
            </w:r>
          </w:p>
        </w:tc>
      </w:tr>
    </w:tbl>
    <w:p>
      <w:pPr>
        <w:spacing w:after="50"/>
      </w:pPr>
    </w:p>
    <w:p>
      <w:pPr>
        <w:pStyle w:val="Heading2"/>
        <w:spacing w:after="140" w:before="300"/>
      </w:pPr>
      <w:r>
        <w:rPr>
          <w:b/>
          <w:bCs/>
          <w:color w:val="0B4F8A"/>
          <w:sz w:val="24"/>
          <w:szCs w:val="24"/>
        </w:rPr>
        <w:t xml:space="preserve">4.2 before UPDATE — Bloqueo por estado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srv.before('UPDATE', Orders, async (req)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{ ID } = req.data;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current = await SELECT.one(Orders).where({ ID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(!current) { req.error(404, `Orden ${ID} no encontrada`); return;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locked = ['IN_APPROVAL', 'APPROVED', 'REJECTED'];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(locked.includes(current.status))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req.error(409, `No se puede modificar una orden con status ${current.status}`);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40" w:line="300"/>
      </w:pPr>
      <w:r>
        <w:rPr>
          <w:color w:val="1A1A1A"/>
          <w:sz w:val="21"/>
          <w:szCs w:val="21"/>
        </w:rPr>
        <w:t xml:space="preserve">Solo las órdenes en PENDING admiten edición directa vía UPDATE estándar — una vez enviada a aprobación, el único camino de cambio de estado es a través de las dos acciones bound.</w:t>
      </w:r>
    </w:p>
    <w:p>
      <w:pPr>
        <w:spacing w:after="50"/>
      </w:pPr>
    </w:p>
    <w:p>
      <w:pPr>
        <w:pStyle w:val="Heading2"/>
        <w:spacing w:after="140" w:before="300"/>
      </w:pPr>
      <w:r>
        <w:rPr>
          <w:b/>
          <w:bCs/>
          <w:color w:val="0B4F8A"/>
          <w:sz w:val="24"/>
          <w:szCs w:val="24"/>
        </w:rPr>
        <w:t xml:space="preserve">4.3 on submitForApproval — Envío a aprobación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srv.on('submitForApproval', Orders, async (req)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ID = req.params[0]?.ID ?? req.params[0];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order = await SELECT.one(Orders).where({ ID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(!order) return req.error(404, `Orden ${ID} no encontrada`);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(order.status !== 'PENDING')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return req.error(409, `Solo se pueden enviar órdenes en estado PENDING...`);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(order.amount &lt;= 0) return req.error(400, 'La orden tiene importe cero');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instanceID = await _triggerBPA(order, req.user.id);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await UPDATE(Orders)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.set({ status: 'IN_APPROVAL', approvalID: instanceID 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.where({ ID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return `Orden ${order.orderNumber} enviada a aprobación. Instance ID: ${instanceID}`;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50"/>
      </w:pPr>
    </w:p>
    <w:p>
      <w:pPr>
        <w:pStyle w:val="Heading2"/>
        <w:spacing w:after="140" w:before="300"/>
      </w:pPr>
      <w:r>
        <w:rPr>
          <w:b/>
          <w:bCs/>
          <w:color w:val="0B4F8A"/>
          <w:sz w:val="24"/>
          <w:szCs w:val="24"/>
        </w:rPr>
        <w:t xml:space="preserve">4.4 on receiveApprovalDecision — Callback de BPA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srv.on('receiveApprovalDecision', Orders, async (req)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ID = req.params[0]?.ID ?? req.params[0];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{ decision, approvedBy, remarks } = req.data;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validDecisions = ['APPROVED', 'REJECTED'];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(!validDecisions.includes(decision))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return req.error(400, `Decision inválida: ${decision}...`);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const order = await SELECT.one(Orders).where({ ID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(!order) return req.error(404, `Orden ${ID} no encontrada`);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if (order.status !== 'IN_APPROVAL')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return req.error(409, `Solo se pueden procesar órdenes en estado IN_APPROVAL...`);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await UPDATE(Orders).set({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status: decision, approvedBy, approvedAt: new Date().toISOString(),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remarks: remarks || ''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}).where({ ID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order.remarks = remarks || '';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await _notifyViaCPI(order, decision, approvedBy);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return `Orden ${order.orderNumber} actualizada a ${decision} por ${approvedBy}`;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});</w:t>
            </w:r>
          </w:p>
        </w:tc>
      </w:tr>
    </w:tbl>
    <w:tbl>
      <w:tblPr>
        <w:tblW w:type="pct" w:w="100%"/>
        <w:tblBorders>
          <w:top w:val="single" w:color="FDF0E6" w:sz="4"/>
          <w:left w:val="single" w:color="B25C00" w:sz="24"/>
          <w:bottom w:val="single" w:color="FDF0E6" w:sz="4"/>
          <w:right w:val="single" w:color="FDF0E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25C00"/>
                <w:sz w:val="20"/>
                <w:szCs w:val="20"/>
              </w:rPr>
              <w:t xml:space="preserve">Bug corregido durante el desarrollo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La declaración de validDecisions faltaba en una versión intermedia del handler, y remarks no se propagaba al objeto order antes de invocar _notifyViaCPI (por lo que el correo de notificación llegaba sin las observaciones del aprobador). Ambos quedaron corregidos en la versión final del archivo.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b/>
          <w:bCs/>
          <w:color w:val="0B4F8A"/>
          <w:sz w:val="24"/>
          <w:szCs w:val="24"/>
        </w:rPr>
        <w:t xml:space="preserve">4.5 Funciones privadas de integración</w:t>
      </w:r>
    </w:p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_triggerBPA(order, requestedBy)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// 1. OAuth2 Client Credentials contra el tenant de BPA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// 2. POST a {BPA_API_URL}/workflow/rest/v1/workflow-instances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//    payload: { definitionId, context: { ordernumber, customer,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//               customeremail, amount, currency, requestedby, orderid }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// 3. Retorna response.data.id (instance ID) para guardarlo en approvalID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>
        <w:trPr>
          <w:tblHeader/>
        </w:trPr>
        <w:tc>
          <w:tcPr>
            <w:tcW w:type="dxa" w:w="38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 de entorno</w:t>
            </w:r>
          </w:p>
        </w:tc>
        <w:tc>
          <w:tcPr>
            <w:tcW w:type="dxa" w:w="55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BPA_UAA_URL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 endpoint OAuth2 del tenant BPA (…/oauth/token).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BPA_CLIENT_ID / BPA_CLIENT_SECRET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Credenciales client_credentials del destino BPA.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BPA_API_URL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https://spa-api-gateway-bpi-us-prod.cfapps.us10.hana.ondemand.com</w:t>
            </w:r>
          </w:p>
        </w:tc>
      </w:tr>
    </w:tbl>
    <w:tbl>
      <w:tblPr>
        <w:tblW w:type="pct" w:w="100%"/>
        <w:tblBorders>
          <w:top w:val="single" w:color="EAF2FA" w:sz="4"/>
          <w:left w:val="single" w:color="0B4F8A" w:sz="24"/>
          <w:bottom w:val="single" w:color="EAF2FA" w:sz="4"/>
          <w:right w:val="single" w:color="EAF2F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4F8A"/>
                <w:sz w:val="20"/>
                <w:szCs w:val="20"/>
              </w:rPr>
              <w:t xml:space="preserve">definitionId — el valor cambia por entorno/proyecto BPA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Valor actual en el código: us10.96ccb488trial.capstoneorderapprovalcopy.orderApprovalProcess (formato us10.&lt;subaccount&gt;.&lt;proyecto BPA&gt;.&lt;proceso&gt;). Si se migra a otro subaccount o se redespliega el proceso BPA bajo otro nombre de proyecto, este valor DEBE actualizarse aquí y redesplegar el servicio — es la causa más común de que las órdenes se marquen IN_APPROVAL sin que aparezca ninguna instancia real en BPA.</w:t>
            </w:r>
          </w:p>
        </w:tc>
      </w:tr>
    </w:tbl>
    <w:p>
      <w:pPr>
        <w:spacing w:after="50"/>
      </w:pPr>
    </w:p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_notifyViaCPI(order, decision, approvedBy)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OAuth2 Client Credentials contra Integration Suite → POST al iFlow con { orderNumber, customer, customerEmail, decision, remarks, amount, currency }. Envuelto en try/catch: un fallo de CPI se registra en log pero no revierte la actualización de la orden.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>
        <w:trPr>
          <w:tblHeader/>
        </w:trPr>
        <w:tc>
          <w:tcPr>
            <w:tcW w:type="dxa" w:w="38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 de entorno</w:t>
            </w:r>
          </w:p>
        </w:tc>
        <w:tc>
          <w:tcPr>
            <w:tcW w:type="dxa" w:w="55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CPI_TOKEN_URL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 endpoint OAuth2 del tenant de Integration Suite.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CPI_CLIENT_ID / CPI_CLIENT_SECRET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Credenciales client_credentials del destino CPI.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CPI_IFLOW_URL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Endpoint del iFlow de notificación (envío por Gmail SMTP).</w:t>
            </w:r>
          </w:p>
        </w:tc>
      </w:tr>
    </w:tbl>
    <w:p>
      <w:pPr>
        <w:spacing w:after="50"/>
      </w:pPr>
    </w:p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_validateBusinessPartner(customerName)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Usa cds.connect.to('API_BUSINESS_PARTNER') — destino configurado en package.json (perfil [production]: kind: odata-v2, destination: S4HANA, vía Cloud Connector). Busca el BP por BusinessPartnerFullName y, si existe, anota el número de BP en remarks. No bloquea la creación si S/4HANA no responde.</w:t>
      </w:r>
    </w:p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5. Seguridad y autorizaciones (xs-security.json)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Modelo de 3 scopes / 3 roles / 3 colecciones de roles, alineado 1:1 con las restricciones declaradas en orders-service.cds.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50"/>
      </w:tblGrid>
      <w:tr>
        <w:trPr>
          <w:tblHeader/>
        </w:trPr>
        <w:tc>
          <w:tcPr>
            <w:tcW w:type="dxa" w:w="24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Template</w:t>
            </w:r>
          </w:p>
        </w:tc>
        <w:tc>
          <w:tcPr>
            <w:tcW w:type="dxa" w:w="27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Scopes incluidos</w:t>
            </w:r>
          </w:p>
        </w:tc>
        <w:tc>
          <w:tcPr>
            <w:tcW w:type="dxa" w:w="42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Puede hacer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OrderViewer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OrderRead</w:t>
            </w:r>
          </w:p>
        </w:tc>
        <w:tc>
          <w:tcPr>
            <w:tcW w:type="dxa" w:w="4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Solo lectura de órdenes y productos.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OrderCreator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OrderRead, OrderCreate</w:t>
            </w:r>
          </w:p>
        </w:tc>
        <w:tc>
          <w:tcPr>
            <w:tcW w:type="dxa" w:w="4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Crear/editar órdenes (mientras estén PENDING) y enviarlas a aprobación.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OrderApprover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OrderRead, OrderApprove</w:t>
            </w:r>
          </w:p>
        </w:tc>
        <w:tc>
          <w:tcPr>
            <w:tcW w:type="dxa" w:w="4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Aprobar o rechazar órdenes en IN_APPROVAL.</w:t>
            </w:r>
          </w:p>
        </w:tc>
      </w:tr>
    </w:tbl>
    <w:p>
      <w:pPr>
        <w:spacing w:after="140" w:line="300"/>
      </w:pPr>
      <w:r>
        <w:rPr>
          <w:color w:val="1A1A1A"/>
          <w:sz w:val="21"/>
          <w:szCs w:val="21"/>
        </w:rPr>
        <w:t xml:space="preserve">Cada role template se agrupa en una Role Collection homónima (Capstone_OrderViewer, Capstone_OrderCreator, Capstone_OrderApprover) asignable a usuarios desde el Cockpit de BTP (Security → Role Collections).</w:t>
      </w:r>
    </w:p>
    <w:p>
      <w:pPr>
        <w:spacing w:after="40"/>
      </w:pPr>
    </w:p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5.1 Usuarios mock para desarrollo local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Definidos en package.json bajo cds.requires.auth (perfil por defecto, no [production]) — permiten probar los 3 niveles de autorización sin necesidad de XSUAA real durante el desarrollo local con cds watch.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50"/>
      </w:tblGrid>
      <w:tr>
        <w:trPr>
          <w:tblHeader/>
        </w:trPr>
        <w:tc>
          <w:tcPr>
            <w:tcW w:type="dxa" w:w="24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24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45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viewer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OrderViewer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creator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OrderCreator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approver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OrderApprover</w:t>
            </w:r>
          </w:p>
        </w:tc>
      </w:tr>
    </w:tbl>
    <w:tbl>
      <w:tblPr>
        <w:tblW w:type="pct" w:w="100%"/>
        <w:tblBorders>
          <w:top w:val="single" w:color="FDF0E6" w:sz="4"/>
          <w:left w:val="single" w:color="B25C00" w:sz="24"/>
          <w:bottom w:val="single" w:color="FDF0E6" w:sz="4"/>
          <w:right w:val="single" w:color="FDF0E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25C00"/>
                <w:sz w:val="20"/>
                <w:szCs w:val="20"/>
              </w:rPr>
              <w:t xml:space="preserve">Solo para desarrollo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El bloque de usuarios mock (auth: kind: mocked) se sobreescribe en producción por el perfil [production] → auth: kind: xsuaa. No representa un riesgo de seguridad en el despliegue real, pero conviene no confundirlo con credenciales productivas.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6. Despliegue (mta.yaml)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_schema-version: "3.1"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ID: btp-capstone-orders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modules: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- name: btp-capstone-orders-srv        # servicio Node.js (CAP)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type: nodejs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path: gen/srv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parameters: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buildpack: nodejs_buildpack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disk-quota: 512M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memory: 256M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requires: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- name: btp-capstone-orders-db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- name: btp-capstone-orders-xsuaa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- name: btp-capstone-orders-db-deployer # deploy de artefactos HDI (uso único)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type: hdb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path: gen/db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parameters: { memory: 256M, disk-quota: 512M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requires: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- name: btp-capstone-orders-db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resources: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- name: btp-capstone-orders-db          # HANA Cloud HDI Container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type: com.sap.xs.hdi-container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parameters: { service: hana, service-plan: hdi-shared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- name: btp-capstone-orders-xsuaa       # XSUAA Service Instance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type: org.cloudfoundry.managed-service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parameters: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service: xsuaa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service-plan: application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     path: ./xs-security.json</w:t>
            </w:r>
          </w:p>
        </w:tc>
      </w:tr>
    </w:tbl>
    <w:tbl>
      <w:tblPr>
        <w:tblW w:type="pct" w:w="100%"/>
        <w:tblBorders>
          <w:top w:val="single" w:color="FDF0E6" w:sz="4"/>
          <w:left w:val="single" w:color="B25C00" w:sz="24"/>
          <w:bottom w:val="single" w:color="FDF0E6" w:sz="4"/>
          <w:right w:val="single" w:color="FDF0E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25C00"/>
                <w:sz w:val="20"/>
                <w:szCs w:val="20"/>
              </w:rPr>
              <w:t xml:space="preserve">Pendiente conocido — disk-quota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El manifiesto declara disk-quota: 512M para btp-capstone-orders-srv. En la práctica, el droplet con @sap/hana-client (binarios nativos) requirió al menos 1G para desplegar sin error "No space left on device". Se corrigió en runtime con cf scale btp-capstone-orders-srv -k 1G, pero mta.yaml todavía no refleja ese valor — se recomienda actualizarlo a 1G para que builds futuros (cf deploy del .mtar) no repitan el mismo fallo.</w:t>
            </w:r>
          </w:p>
        </w:tc>
      </w:tr>
    </w:tbl>
    <w:p>
      <w:pPr>
        <w:spacing w:after="50"/>
      </w:pPr>
    </w:p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6.1 Comandos de despliegue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# Deploy simple (sin MTA), directo a la app ya existente: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cf push btp-capstone-orders-srv -k 1G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# Deploy completo vía MTA (build + deploy):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mbt build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cf deploy mta_archives/btp-capstone-orders_1.0.0.mtar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# Verificación: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cf apps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cf logs btp-capstone-orders-srv --recent</w:t>
            </w:r>
          </w:p>
        </w:tc>
      </w:tr>
    </w:tbl>
    <w:p>
      <w:pPr>
        <w:spacing w:after="50"/>
      </w:pPr>
    </w:p>
    <w:p>
      <w:pPr>
        <w:pStyle w:val="Heading3"/>
        <w:spacing w:after="100" w:before="220"/>
      </w:pPr>
      <w:r>
        <w:rPr>
          <w:b/>
          <w:bCs/>
          <w:color w:val="1A1A1A"/>
          <w:sz w:val="21"/>
          <w:szCs w:val="21"/>
        </w:rPr>
        <w:t xml:space="preserve">6.2 db-deployer — comportamiento normal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btp-capstone-orders-db-deployer aparece como stopped / 0:1 en cf apps de forma permanente tras el primer despliegue exitoso — es una app de un solo uso (sube el esquema HDI a HANA Cloud y termina). No requiere ninguna acción; solo btp-capstone-orders-srv debe estar started.</w:t>
      </w:r>
    </w:p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7. Resumen de variables de entorno requeridas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Variables consumidas por orders-handler.js mediante process.env — deben configurarse como User-Provided Variables o vía binding de Destination en Cloud Foundry (cf set-env / manifiesto).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2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Usada en</w:t>
            </w:r>
          </w:p>
        </w:tc>
        <w:tc>
          <w:tcPr>
            <w:tcW w:type="dxa" w:w="45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BPA_UAA_URL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_triggerBPA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 endpoint OAuth2 de BPA.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BPA_CLIENT_ID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_triggerBPA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 ID OAuth2 de BPA.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BPA_CLIENT_SECRET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_triggerBPA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 Secret OAuth2 de BPA.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BPA_API_URL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_triggerBPA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Gateway REST de Workflow Runtime (genérico por región).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CPI_TOKEN_URL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_notifyViaCPI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 endpoint OAuth2 de Integration Suite.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CPI_CLIENT_ID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_notifyViaCPI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 ID OAuth2 de CPI.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CPI_CLIENT_SECRET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_notifyViaCPI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 Secret OAuth2 de CPI.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CPI_IFLOW_URL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_notifyViaCPI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Endpoint del iFlow de notificación por correo.</w:t>
            </w:r>
          </w:p>
        </w:tc>
      </w:tr>
    </w:tbl>
    <w:p>
      <w:pPr>
        <w:spacing w:after="140" w:line="300"/>
      </w:pPr>
      <w:r>
        <w:rPr>
          <w:color w:val="1A1A1A"/>
          <w:sz w:val="21"/>
          <w:szCs w:val="21"/>
        </w:rPr>
        <w:t xml:space="preserve">La conexión a S/4HANA (API_BUSINESS_PARTNER) no usa variables de entorno sueltas: se configura en package.json → cds.requires.API_BUSINESS_PARTNER.credentials, referenciando el nombre de la Destination (S4HANA) que Cloud Connector resuelve hacia el sistema on-premise.</w:t>
      </w:r>
    </w:p>
    <w:p>
      <w:r>
        <w:br w:type="page"/>
      </w:r>
    </w:p>
    <w:p>
      <w:pPr>
        <w:pStyle w:val="Heading1"/>
        <w:pBdr>
          <w:bottom w:val="single" w:color="0B4F8A" w:sz="6" w:space="4"/>
        </w:pBdr>
        <w:spacing w:after="200" w:before="400"/>
      </w:pPr>
      <w:r>
        <w:rPr>
          <w:b/>
          <w:bCs/>
          <w:color w:val="0B4F8A"/>
          <w:sz w:val="30"/>
          <w:szCs w:val="30"/>
        </w:rPr>
        <w:t xml:space="preserve">8. Catálogo de incidencias —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3300"/>
        <w:gridCol w:w="3350"/>
      </w:tblGrid>
      <w:tr>
        <w:trPr>
          <w:tblHeader/>
        </w:trPr>
        <w:tc>
          <w:tcPr>
            <w:tcW w:type="dxa" w:w="4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30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raíz</w:t>
            </w:r>
          </w:p>
        </w:tc>
        <w:tc>
          <w:tcPr>
            <w:tcW w:type="dxa" w:w="3350"/>
            <w:shd w:fill="0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cf push falla: "No space left on device"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disk-quota (512M en mta.yaml) insuficiente para node_modules con @sap/hana-client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cf scale &lt;app&gt; -k 1G tras el deploy; actualizar disk-quota en mta.yaml para builds futuros.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submitForApproval → 400 "Key ID is missing"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El cliente no envía la clave de la entidad en la bound function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El backend espera req.params[0].ID (o el ID directo) — confirmar que el consumidor pase el parámetro de clave.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Orden queda IN_APPROVAL pero no aparece instancia en BPA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definitionId desactualizado (apunta a un subaccount/proyecto BPA que ya no existe o fue renombrado)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Actualizar definitionId en _triggerBPA() con el valor real del API Trigger (Cockpit BPA → Ver detalles) y redeploy.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Tarea de aprobación llega a un usuario incorrecto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El destinatario del paso de tarea en el proceso BPA quedó configurado con un usuario de otra cuenta/migración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Ajustar el recipient en el Process Builder de BPA (requiere versión editable/duplicada) — no es un problema del backend CAP.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Notificación por correo no llega tras aprobar/rechazar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_notifyViaCPI falla silenciosamente (try/catch) — revisar log [CPI] en la app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cf logs --recent, buscar línea "[CPI] ⚠ Error al enviar notificación" para el mensaje real de CPI.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receiveApprovalDecision devuelve 400 "Decision inválida"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BPA envía un valor de decision distinto a APPROVED/REJECTED (mayúsculas/formato)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Confirmar en el diseño del proceso BPA que el output mapping use exactamente "APPROVED" / "REJECTED".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EAF2FA" w:sz="4"/>
          <w:left w:val="single" w:color="0B4F8A" w:sz="24"/>
          <w:bottom w:val="single" w:color="EAF2FA" w:sz="4"/>
          <w:right w:val="single" w:color="EAF2F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B4F8A"/>
                <w:sz w:val="20"/>
                <w:szCs w:val="20"/>
              </w:rPr>
              <w:t xml:space="preserve">Nota final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Este documento describe el backend tal como quedó al cierre de la sesión del Día 14–15. Acción pendiente recomendada: sincronizar disk-quota en mta.yaml con el valor real usado en producción (1G) para que un futuro cf deploy vía MTA no reproduzca el fallo de espacio en disco.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Axigma — Curso BTP · Capstone Backend CAP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2026-07-08T21:03:18.264Z</dcterms:created>
  <dcterms:modified xsi:type="dcterms:W3CDTF">2026-07-08T21:03:18.300Z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