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B4F8A"/>
          <w:sz w:val="34"/>
          <w:szCs w:val="34"/>
        </w:rPr>
        <w:t xml:space="preserve">CAPSTONE — GESTIÓN DE PEDIDOS CON APROBACIÓN INTELIGENTE</w:t>
      </w:r>
    </w:p>
    <w:p>
      <w:pPr>
        <w:spacing w:after="100"/>
        <w:jc w:val="center"/>
      </w:pPr>
      <w:r>
        <w:rPr>
          <w:color w:val="595959"/>
          <w:sz w:val="24"/>
          <w:szCs w:val="24"/>
        </w:rPr>
        <w:t xml:space="preserve">Configuraciones en SAP BTP Cockpit</w:t>
      </w:r>
    </w:p>
    <w:p>
      <w:pPr>
        <w:spacing w:after="500"/>
        <w:jc w:val="center"/>
      </w:pPr>
      <w:r>
        <w:rPr>
          <w:i/>
          <w:iCs/>
          <w:color w:val="595959"/>
          <w:sz w:val="22"/>
          <w:szCs w:val="22"/>
        </w:rPr>
        <w:t xml:space="preserve">Curso BTP Axigma — Día 14–15</w:t>
      </w:r>
    </w:p>
    <w:p>
      <w:pPr>
        <w:spacing w:after="60"/>
        <w:jc w:val="center"/>
      </w:pPr>
      <w:r>
        <w:rPr>
          <w:b/>
          <w:bCs/>
          <w:color w:val="1A1A1A"/>
          <w:sz w:val="22"/>
          <w:szCs w:val="22"/>
        </w:rPr>
        <w:t xml:space="preserve">Material de apoyo técnico</w:t>
      </w:r>
    </w:p>
    <w:p>
      <w:pPr>
        <w:spacing w:after="60"/>
        <w:jc w:val="center"/>
      </w:pPr>
      <w:r>
        <w:rPr>
          <w:color w:val="1A1A1A"/>
          <w:sz w:val="20"/>
          <w:szCs w:val="20"/>
        </w:rPr>
        <w:t xml:space="preserve">Preparado por: Jesús Alexander Blanco Orta (J. Blanco)</w:t>
      </w:r>
    </w:p>
    <w:p>
      <w:pPr>
        <w:spacing w:after="60"/>
        <w:jc w:val="center"/>
      </w:pPr>
      <w:r>
        <w:rPr>
          <w:color w:val="1A1A1A"/>
          <w:sz w:val="20"/>
          <w:szCs w:val="20"/>
        </w:rPr>
        <w:t xml:space="preserve">Velion Tech SAC — Axigma</w:t>
      </w:r>
    </w:p>
    <w:p>
      <w:pPr>
        <w:spacing w:after="900"/>
        <w:jc w:val="center"/>
      </w:pPr>
      <w:r>
        <w:rPr>
          <w:color w:val="595959"/>
          <w:sz w:val="20"/>
          <w:szCs w:val="20"/>
        </w:rPr>
        <w:t xml:space="preserve">Julio 2026</w:t>
      </w:r>
    </w:p>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Sobre este documento</w:t>
            </w:r>
          </w:p>
          <w:p>
            <w:pPr>
              <w:spacing w:after="0" w:line="280"/>
            </w:pPr>
            <w:r>
              <w:rPr>
                <w:color w:val="1A1A1A"/>
                <w:sz w:val="20"/>
                <w:szCs w:val="20"/>
              </w:rPr>
              <w:t xml:space="preserve">Tercera parte del material de apoyo del capstone: documenta las configuraciones realizadas directamente en el Cockpit de SAP BTP (subaccount trial 96ccb488trial) — Destinations, seguridad e identidad, Role Collections, servicios suscritos, HANA Cloud, SAP Build Process Automation y SAP Integration Suite (CPI). Complementa los documentos "Capstone MDK — Documentación" y "Capstone Backend — Documentación" ya entregados.</w:t>
            </w:r>
          </w:p>
        </w:tc>
      </w:tr>
    </w:tbl>
    <w:p>
      <w:r>
        <w:br w:type="page"/>
      </w:r>
    </w:p>
    <w:p>
      <w:pPr>
        <w:pStyle w:val="Heading1"/>
        <w:pBdr>
          <w:bottom w:val="single" w:color="0B4F8A" w:sz="6" w:space="4"/>
        </w:pBdr>
        <w:spacing w:after="200" w:before="400"/>
      </w:pPr>
      <w:r>
        <w:rPr>
          <w:b/>
          <w:bCs/>
          <w:color w:val="0B4F8A"/>
          <w:sz w:val="30"/>
          <w:szCs w:val="30"/>
        </w:rPr>
        <w:t xml:space="preserve">1. Subaccount y alcance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0B4F8A" w:val="clear"/>
            <w:tcMar>
              <w:top w:type="dxa" w:w="100"/>
              <w:left w:type="dxa" w:w="120"/>
              <w:bottom w:type="dxa" w:w="100"/>
              <w:right w:type="dxa" w:w="120"/>
            </w:tcMar>
          </w:tcPr>
          <w:p>
            <w:pPr>
              <w:spacing w:after="0" w:line="260"/>
            </w:pPr>
            <w:r>
              <w:rPr>
                <w:b/>
                <w:bCs/>
                <w:color w:val="FFFFFF"/>
                <w:sz w:val="19"/>
                <w:szCs w:val="19"/>
              </w:rPr>
              <w:t xml:space="preserve">Parámetro</w:t>
            </w:r>
          </w:p>
        </w:tc>
        <w:tc>
          <w:tcPr>
            <w:tcW w:type="dxa" w:w="58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Global Account / Subaccount</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96ccb488trial (trial)</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Environment</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Cloud Foundry Runtime — 96ccb488trial</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Región</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us10 (US East, AWS)</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Usuario administrador</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jesus.blanco@veliontech.com.pe</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Identity Provider</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Default identity provider (sap.default, OpenID Connect)</w:t>
            </w:r>
          </w:p>
        </w:tc>
      </w:tr>
    </w:tbl>
    <w:p>
      <w:pPr>
        <w:spacing w:after="60"/>
      </w:pPr>
    </w:p>
    <w:p>
      <w:pPr>
        <w:pStyle w:val="Heading3"/>
        <w:spacing w:after="100" w:before="220"/>
      </w:pPr>
      <w:r>
        <w:rPr>
          <w:b/>
          <w:bCs/>
          <w:color w:val="1A1A1A"/>
          <w:sz w:val="21"/>
          <w:szCs w:val="21"/>
        </w:rPr>
        <w:t xml:space="preserve">1.1 Servicios suscritos (Instances and Subscriptions)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50"/>
      </w:tblGrid>
      <w:tr>
        <w:trPr>
          <w:tblHeader/>
        </w:trPr>
        <w:tc>
          <w:tcPr>
            <w:tcW w:type="dxa" w:w="4200"/>
            <w:shd w:fill="0B4F8A" w:val="clear"/>
            <w:tcMar>
              <w:top w:type="dxa" w:w="100"/>
              <w:left w:type="dxa" w:w="120"/>
              <w:bottom w:type="dxa" w:w="100"/>
              <w:right w:type="dxa" w:w="120"/>
            </w:tcMar>
          </w:tcPr>
          <w:p>
            <w:pPr>
              <w:spacing w:after="0" w:line="260"/>
            </w:pPr>
            <w:r>
              <w:rPr>
                <w:b/>
                <w:bCs/>
                <w:color w:val="FFFFFF"/>
                <w:sz w:val="19"/>
                <w:szCs w:val="19"/>
              </w:rPr>
              <w:t xml:space="preserve">Aplicación</w:t>
            </w:r>
          </w:p>
        </w:tc>
        <w:tc>
          <w:tcPr>
            <w:tcW w:type="dxa" w:w="2200"/>
            <w:shd w:fill="0B4F8A" w:val="clear"/>
            <w:tcMar>
              <w:top w:type="dxa" w:w="100"/>
              <w:left w:type="dxa" w:w="120"/>
              <w:bottom w:type="dxa" w:w="100"/>
              <w:right w:type="dxa" w:w="120"/>
            </w:tcMar>
          </w:tcPr>
          <w:p>
            <w:pPr>
              <w:spacing w:after="0" w:line="260"/>
            </w:pPr>
            <w:r>
              <w:rPr>
                <w:b/>
                <w:bCs/>
                <w:color w:val="FFFFFF"/>
                <w:sz w:val="19"/>
                <w:szCs w:val="19"/>
              </w:rPr>
              <w:t xml:space="preserve">Plan</w:t>
            </w:r>
          </w:p>
        </w:tc>
        <w:tc>
          <w:tcPr>
            <w:tcW w:type="dxa" w:w="2950"/>
            <w:shd w:fill="0B4F8A" w:val="clear"/>
            <w:tcMar>
              <w:top w:type="dxa" w:w="100"/>
              <w:left w:type="dxa" w:w="120"/>
              <w:bottom w:type="dxa" w:w="100"/>
              <w:right w:type="dxa" w:w="120"/>
            </w:tcMar>
          </w:tcPr>
          <w:p>
            <w:pPr>
              <w:spacing w:after="0" w:line="260"/>
            </w:pPr>
            <w:r>
              <w:rPr>
                <w:b/>
                <w:bCs/>
                <w:color w:val="FFFFFF"/>
                <w:sz w:val="19"/>
                <w:szCs w:val="19"/>
              </w:rPr>
              <w:t xml:space="preserve">Estado</w:t>
            </w:r>
          </w:p>
        </w:tc>
      </w:tr>
      <w:tr>
        <w:tc>
          <w:tcPr>
            <w:tcW w:type="dxa" w:w="4200"/>
            <w:tcMar>
              <w:top w:type="dxa" w:w="100"/>
              <w:left w:type="dxa" w:w="120"/>
              <w:bottom w:type="dxa" w:w="100"/>
              <w:right w:type="dxa" w:w="120"/>
            </w:tcMar>
          </w:tcPr>
          <w:p>
            <w:pPr>
              <w:spacing w:after="0" w:line="260"/>
            </w:pPr>
            <w:r>
              <w:rPr>
                <w:b w:val="false"/>
                <w:bCs w:val="false"/>
                <w:color w:val="1A1A1A"/>
                <w:sz w:val="19"/>
                <w:szCs w:val="19"/>
              </w:rPr>
              <w:t xml:space="preserve">SAP Build Code</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free</w:t>
            </w:r>
          </w:p>
        </w:tc>
        <w:tc>
          <w:tcPr>
            <w:tcW w:type="dxa" w:w="2950"/>
            <w:tcMar>
              <w:top w:type="dxa" w:w="100"/>
              <w:left w:type="dxa" w:w="120"/>
              <w:bottom w:type="dxa" w:w="100"/>
              <w:right w:type="dxa" w:w="120"/>
            </w:tcMar>
          </w:tcPr>
          <w:p>
            <w:pPr>
              <w:spacing w:after="0" w:line="260"/>
            </w:pPr>
            <w:r>
              <w:rPr>
                <w:b w:val="false"/>
                <w:bCs w:val="false"/>
                <w:color w:val="1A1A1A"/>
                <w:sz w:val="19"/>
                <w:szCs w:val="19"/>
              </w:rPr>
              <w:t xml:space="preserve">Subscribed</w:t>
            </w:r>
          </w:p>
        </w:tc>
      </w:tr>
      <w:tr>
        <w:tc>
          <w:tcPr>
            <w:tcW w:type="dxa" w:w="4200"/>
            <w:tcMar>
              <w:top w:type="dxa" w:w="100"/>
              <w:left w:type="dxa" w:w="120"/>
              <w:bottom w:type="dxa" w:w="100"/>
              <w:right w:type="dxa" w:w="120"/>
            </w:tcMar>
          </w:tcPr>
          <w:p>
            <w:pPr>
              <w:spacing w:after="0" w:line="260"/>
            </w:pPr>
            <w:r>
              <w:rPr>
                <w:b w:val="false"/>
                <w:bCs w:val="false"/>
                <w:color w:val="1A1A1A"/>
                <w:sz w:val="19"/>
                <w:szCs w:val="19"/>
              </w:rPr>
              <w:t xml:space="preserve">SAP HANA Cloud</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tools</w:t>
            </w:r>
          </w:p>
        </w:tc>
        <w:tc>
          <w:tcPr>
            <w:tcW w:type="dxa" w:w="2950"/>
            <w:tcMar>
              <w:top w:type="dxa" w:w="100"/>
              <w:left w:type="dxa" w:w="120"/>
              <w:bottom w:type="dxa" w:w="100"/>
              <w:right w:type="dxa" w:w="120"/>
            </w:tcMar>
          </w:tcPr>
          <w:p>
            <w:pPr>
              <w:spacing w:after="0" w:line="260"/>
            </w:pPr>
            <w:r>
              <w:rPr>
                <w:b w:val="false"/>
                <w:bCs w:val="false"/>
                <w:color w:val="1A1A1A"/>
                <w:sz w:val="19"/>
                <w:szCs w:val="19"/>
              </w:rPr>
              <w:t xml:space="preserve">Subscribed</w:t>
            </w:r>
          </w:p>
        </w:tc>
      </w:tr>
      <w:tr>
        <w:tc>
          <w:tcPr>
            <w:tcW w:type="dxa" w:w="4200"/>
            <w:tcMar>
              <w:top w:type="dxa" w:w="100"/>
              <w:left w:type="dxa" w:w="120"/>
              <w:bottom w:type="dxa" w:w="100"/>
              <w:right w:type="dxa" w:w="120"/>
            </w:tcMar>
          </w:tcPr>
          <w:p>
            <w:pPr>
              <w:spacing w:after="0" w:line="260"/>
            </w:pPr>
            <w:r>
              <w:rPr>
                <w:b w:val="false"/>
                <w:bCs w:val="false"/>
                <w:color w:val="1A1A1A"/>
                <w:sz w:val="19"/>
                <w:szCs w:val="19"/>
              </w:rPr>
              <w:t xml:space="preserve">Integration Suite</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trial</w:t>
            </w:r>
          </w:p>
        </w:tc>
        <w:tc>
          <w:tcPr>
            <w:tcW w:type="dxa" w:w="2950"/>
            <w:tcMar>
              <w:top w:type="dxa" w:w="100"/>
              <w:left w:type="dxa" w:w="120"/>
              <w:bottom w:type="dxa" w:w="100"/>
              <w:right w:type="dxa" w:w="120"/>
            </w:tcMar>
          </w:tcPr>
          <w:p>
            <w:pPr>
              <w:spacing w:after="0" w:line="260"/>
            </w:pPr>
            <w:r>
              <w:rPr>
                <w:b w:val="false"/>
                <w:bCs w:val="false"/>
                <w:color w:val="1A1A1A"/>
                <w:sz w:val="19"/>
                <w:szCs w:val="19"/>
              </w:rPr>
              <w:t xml:space="preserve">Subscribed</w:t>
            </w:r>
          </w:p>
        </w:tc>
      </w:tr>
      <w:tr>
        <w:tc>
          <w:tcPr>
            <w:tcW w:type="dxa" w:w="4200"/>
            <w:tcMar>
              <w:top w:type="dxa" w:w="100"/>
              <w:left w:type="dxa" w:w="120"/>
              <w:bottom w:type="dxa" w:w="100"/>
              <w:right w:type="dxa" w:w="120"/>
            </w:tcMar>
          </w:tcPr>
          <w:p>
            <w:pPr>
              <w:spacing w:after="0" w:line="260"/>
            </w:pPr>
            <w:r>
              <w:rPr>
                <w:b w:val="false"/>
                <w:bCs w:val="false"/>
                <w:color w:val="1A1A1A"/>
                <w:sz w:val="19"/>
                <w:szCs w:val="19"/>
              </w:rPr>
              <w:t xml:space="preserve">SAP Build Process Automation</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free</w:t>
            </w:r>
          </w:p>
        </w:tc>
        <w:tc>
          <w:tcPr>
            <w:tcW w:type="dxa" w:w="2950"/>
            <w:tcMar>
              <w:top w:type="dxa" w:w="100"/>
              <w:left w:type="dxa" w:w="120"/>
              <w:bottom w:type="dxa" w:w="100"/>
              <w:right w:type="dxa" w:w="120"/>
            </w:tcMar>
          </w:tcPr>
          <w:p>
            <w:pPr>
              <w:spacing w:after="0" w:line="260"/>
            </w:pPr>
            <w:r>
              <w:rPr>
                <w:b w:val="false"/>
                <w:bCs w:val="false"/>
                <w:color w:val="1A1A1A"/>
                <w:sz w:val="19"/>
                <w:szCs w:val="19"/>
              </w:rPr>
              <w:t xml:space="preserve">Subscribed</w:t>
            </w:r>
          </w:p>
        </w:tc>
      </w:tr>
      <w:tr>
        <w:tc>
          <w:tcPr>
            <w:tcW w:type="dxa" w:w="4200"/>
            <w:tcMar>
              <w:top w:type="dxa" w:w="100"/>
              <w:left w:type="dxa" w:w="120"/>
              <w:bottom w:type="dxa" w:w="100"/>
              <w:right w:type="dxa" w:w="120"/>
            </w:tcMar>
          </w:tcPr>
          <w:p>
            <w:pPr>
              <w:spacing w:after="0" w:line="260"/>
            </w:pPr>
            <w:r>
              <w:rPr>
                <w:b w:val="false"/>
                <w:bCs w:val="false"/>
                <w:color w:val="1A1A1A"/>
                <w:sz w:val="19"/>
                <w:szCs w:val="19"/>
              </w:rPr>
              <w:t xml:space="preserve">Cloud Identity Services</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default</w:t>
            </w:r>
          </w:p>
        </w:tc>
        <w:tc>
          <w:tcPr>
            <w:tcW w:type="dxa" w:w="2950"/>
            <w:tcMar>
              <w:top w:type="dxa" w:w="100"/>
              <w:left w:type="dxa" w:w="120"/>
              <w:bottom w:type="dxa" w:w="100"/>
              <w:right w:type="dxa" w:w="120"/>
            </w:tcMar>
          </w:tcPr>
          <w:p>
            <w:pPr>
              <w:spacing w:after="0" w:line="260"/>
            </w:pPr>
            <w:r>
              <w:rPr>
                <w:b w:val="false"/>
                <w:bCs w:val="false"/>
                <w:color w:val="1A1A1A"/>
                <w:sz w:val="19"/>
                <w:szCs w:val="19"/>
              </w:rPr>
              <w:t xml:space="preserve">Subscribed</w:t>
            </w:r>
          </w:p>
        </w:tc>
      </w:tr>
      <w:tr>
        <w:tc>
          <w:tcPr>
            <w:tcW w:type="dxa" w:w="4200"/>
            <w:tcMar>
              <w:top w:type="dxa" w:w="100"/>
              <w:left w:type="dxa" w:w="120"/>
              <w:bottom w:type="dxa" w:w="100"/>
              <w:right w:type="dxa" w:w="120"/>
            </w:tcMar>
          </w:tcPr>
          <w:p>
            <w:pPr>
              <w:spacing w:after="0" w:line="260"/>
            </w:pPr>
            <w:r>
              <w:rPr>
                <w:b w:val="false"/>
                <w:bCs w:val="false"/>
                <w:color w:val="1A1A1A"/>
                <w:sz w:val="19"/>
                <w:szCs w:val="19"/>
              </w:rPr>
              <w:t xml:space="preserve">SAP Business Application Studio</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trial</w:t>
            </w:r>
          </w:p>
        </w:tc>
        <w:tc>
          <w:tcPr>
            <w:tcW w:type="dxa" w:w="2950"/>
            <w:tcMar>
              <w:top w:type="dxa" w:w="100"/>
              <w:left w:type="dxa" w:w="120"/>
              <w:bottom w:type="dxa" w:w="100"/>
              <w:right w:type="dxa" w:w="120"/>
            </w:tcMar>
          </w:tcPr>
          <w:p>
            <w:pPr>
              <w:spacing w:after="0" w:line="260"/>
            </w:pPr>
            <w:r>
              <w:rPr>
                <w:b w:val="false"/>
                <w:bCs w:val="false"/>
                <w:color w:val="1A1A1A"/>
                <w:sz w:val="19"/>
                <w:szCs w:val="19"/>
              </w:rPr>
              <w:t xml:space="preserve">Subscribed</w:t>
            </w:r>
          </w:p>
        </w:tc>
      </w:tr>
    </w:tbl>
    <w:p>
      <w:pPr>
        <w:spacing w:after="140" w:line="300"/>
      </w:pPr>
      <w:r>
        <w:rPr>
          <w:color w:val="1A1A1A"/>
          <w:sz w:val="21"/>
          <w:szCs w:val="21"/>
        </w:rPr>
        <w:t xml:space="preserve">Total: 21 elementos entre Subscriptions (6), Instances (14) y Environments (1) en el subaccount.</w:t>
      </w:r>
    </w:p>
    <w:p>
      <w:r>
        <w:br w:type="page"/>
      </w:r>
    </w:p>
    <w:p>
      <w:pPr>
        <w:pStyle w:val="Heading1"/>
        <w:pBdr>
          <w:bottom w:val="single" w:color="0B4F8A" w:sz="6" w:space="4"/>
        </w:pBdr>
        <w:spacing w:after="200" w:before="400"/>
      </w:pPr>
      <w:r>
        <w:rPr>
          <w:b/>
          <w:bCs/>
          <w:color w:val="0B4F8A"/>
          <w:sz w:val="30"/>
          <w:szCs w:val="30"/>
        </w:rPr>
        <w:t xml:space="preserve">2. Destinations</w:t>
      </w:r>
    </w:p>
    <w:p>
      <w:pPr>
        <w:pStyle w:val="Heading2"/>
        <w:spacing w:after="140" w:before="300"/>
      </w:pPr>
      <w:r>
        <w:rPr>
          <w:b/>
          <w:bCs/>
          <w:color w:val="0B4F8A"/>
          <w:sz w:val="24"/>
          <w:szCs w:val="24"/>
        </w:rPr>
        <w:t xml:space="preserve">2.1 btp_capstone_orders_srv</w:t>
      </w:r>
    </w:p>
    <w:p>
      <w:pPr>
        <w:spacing w:after="140" w:line="300"/>
      </w:pPr>
      <w:r>
        <w:rPr>
          <w:color w:val="1A1A1A"/>
          <w:sz w:val="21"/>
          <w:szCs w:val="21"/>
        </w:rPr>
        <w:t xml:space="preserve">Destination HTTP que expone el backend CAP hacia los consumidores del subaccount (BPA, y potencialmente otros clientes autorizados).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0B4F8A" w:val="clear"/>
            <w:tcMar>
              <w:top w:type="dxa" w:w="100"/>
              <w:left w:type="dxa" w:w="120"/>
              <w:bottom w:type="dxa" w:w="100"/>
              <w:right w:type="dxa" w:w="120"/>
            </w:tcMar>
          </w:tcPr>
          <w:p>
            <w:pPr>
              <w:spacing w:after="0" w:line="260"/>
            </w:pPr>
            <w:r>
              <w:rPr>
                <w:b/>
                <w:bCs/>
                <w:color w:val="FFFFFF"/>
                <w:sz w:val="19"/>
                <w:szCs w:val="19"/>
              </w:rPr>
              <w:t xml:space="preserve">Propiedad</w:t>
            </w:r>
          </w:p>
        </w:tc>
        <w:tc>
          <w:tcPr>
            <w:tcW w:type="dxa" w:w="63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Name</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btp_capstone_orders_srv</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Type</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HTTP</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URL</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https://96ccb488trial-dev-btp-capstone-orders-srv.cfapps.us10-001.hana.ondemand.com</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Proxy Type</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Internet</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Authentication</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OAuth2ClientCredentials</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Client ID</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sb-btp-capstone-orders!t675059</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Client Secret</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(oculto — guardado en el Cockpit)</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Token Service URL</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https://96ccb488trial.authentication.us10.hana.ondemand.com/oauth/token</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Token Service URL Type</w:t>
            </w:r>
          </w:p>
        </w:tc>
        <w:tc>
          <w:tcPr>
            <w:tcW w:type="dxa" w:w="6350"/>
            <w:tcMar>
              <w:top w:type="dxa" w:w="100"/>
              <w:left w:type="dxa" w:w="120"/>
              <w:bottom w:type="dxa" w:w="100"/>
              <w:right w:type="dxa" w:w="120"/>
            </w:tcMar>
          </w:tcPr>
          <w:p>
            <w:pPr>
              <w:spacing w:after="0" w:line="260"/>
            </w:pPr>
            <w:r>
              <w:rPr>
                <w:b w:val="false"/>
                <w:bCs w:val="false"/>
                <w:color w:val="1A1A1A"/>
                <w:sz w:val="19"/>
                <w:szCs w:val="19"/>
              </w:rPr>
              <w:t xml:space="preserve">Dedicated</w:t>
            </w:r>
          </w:p>
        </w:tc>
      </w:tr>
    </w:tbl>
    <w:p>
      <w:pPr>
        <w:spacing w:after="40"/>
      </w:pPr>
    </w:p>
    <w:p>
      <w:pPr>
        <w:pStyle w:val="Heading3"/>
        <w:spacing w:after="100" w:before="220"/>
      </w:pPr>
      <w:r>
        <w:rPr>
          <w:b/>
          <w:bCs/>
          <w:color w:val="1A1A1A"/>
          <w:sz w:val="21"/>
          <w:szCs w:val="21"/>
        </w:rPr>
        <w:t xml:space="preserve">2.1.1 Additional Properties</w:t>
      </w:r>
    </w:p>
    <w:p>
      <w:pPr>
        <w:spacing w:after="140" w:line="300"/>
      </w:pPr>
      <w:r>
        <w:rPr>
          <w:color w:val="1A1A1A"/>
          <w:sz w:val="21"/>
          <w:szCs w:val="21"/>
        </w:rPr>
        <w:t xml:space="preserve">Propiedades clave que habilitan el consumo de este destino como fuente de datos OData desde herramientas de BTP (Process Automation,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0B4F8A" w:val="clear"/>
            <w:tcMar>
              <w:top w:type="dxa" w:w="100"/>
              <w:left w:type="dxa" w:w="120"/>
              <w:bottom w:type="dxa" w:w="100"/>
              <w:right w:type="dxa" w:w="120"/>
            </w:tcMar>
          </w:tcPr>
          <w:p>
            <w:pPr>
              <w:spacing w:after="0" w:line="260"/>
            </w:pPr>
            <w:r>
              <w:rPr>
                <w:b/>
                <w:bCs/>
                <w:color w:val="FFFFFF"/>
                <w:sz w:val="19"/>
                <w:szCs w:val="19"/>
              </w:rPr>
              <w:t xml:space="preserve">Key</w:t>
            </w:r>
          </w:p>
        </w:tc>
        <w:tc>
          <w:tcPr>
            <w:tcW w:type="dxa" w:w="3850"/>
            <w:shd w:fill="0B4F8A" w:val="clear"/>
            <w:tcMar>
              <w:top w:type="dxa" w:w="100"/>
              <w:left w:type="dxa" w:w="120"/>
              <w:bottom w:type="dxa" w:w="100"/>
              <w:right w:type="dxa" w:w="120"/>
            </w:tcMar>
          </w:tcPr>
          <w:p>
            <w:pPr>
              <w:spacing w:after="0" w:line="260"/>
            </w:pPr>
            <w:r>
              <w:rPr>
                <w:b/>
                <w:bCs/>
                <w:color w:val="FFFFFF"/>
                <w:sz w:val="19"/>
                <w:szCs w:val="19"/>
              </w:rPr>
              <w:t xml:space="preserve">Value</w:t>
            </w:r>
          </w:p>
        </w:tc>
      </w:tr>
      <w:tr>
        <w:tc>
          <w:tcPr>
            <w:tcW w:type="dxa" w:w="5500"/>
            <w:tcMar>
              <w:top w:type="dxa" w:w="100"/>
              <w:left w:type="dxa" w:w="120"/>
              <w:bottom w:type="dxa" w:w="100"/>
              <w:right w:type="dxa" w:w="120"/>
            </w:tcMar>
          </w:tcPr>
          <w:p>
            <w:pPr>
              <w:spacing w:after="0" w:line="260"/>
            </w:pPr>
            <w:r>
              <w:rPr>
                <w:b w:val="false"/>
                <w:bCs w:val="false"/>
                <w:color w:val="1A1A1A"/>
                <w:sz w:val="19"/>
                <w:szCs w:val="19"/>
              </w:rPr>
              <w:t xml:space="preserve">HTML5.DynamicDestination</w:t>
            </w:r>
          </w:p>
        </w:tc>
        <w:tc>
          <w:tcPr>
            <w:tcW w:type="dxa" w:w="3850"/>
            <w:tcMar>
              <w:top w:type="dxa" w:w="100"/>
              <w:left w:type="dxa" w:w="120"/>
              <w:bottom w:type="dxa" w:w="100"/>
              <w:right w:type="dxa" w:w="120"/>
            </w:tcMar>
          </w:tcPr>
          <w:p>
            <w:pPr>
              <w:spacing w:after="0" w:line="260"/>
            </w:pPr>
            <w:r>
              <w:rPr>
                <w:b w:val="false"/>
                <w:bCs w:val="false"/>
                <w:color w:val="1A1A1A"/>
                <w:sz w:val="19"/>
                <w:szCs w:val="19"/>
              </w:rPr>
              <w:t xml:space="preserve">true</w:t>
            </w:r>
          </w:p>
        </w:tc>
      </w:tr>
      <w:tr>
        <w:tc>
          <w:tcPr>
            <w:tcW w:type="dxa" w:w="5500"/>
            <w:tcMar>
              <w:top w:type="dxa" w:w="100"/>
              <w:left w:type="dxa" w:w="120"/>
              <w:bottom w:type="dxa" w:w="100"/>
              <w:right w:type="dxa" w:w="120"/>
            </w:tcMar>
          </w:tcPr>
          <w:p>
            <w:pPr>
              <w:spacing w:after="0" w:line="260"/>
            </w:pPr>
            <w:r>
              <w:rPr>
                <w:b w:val="false"/>
                <w:bCs w:val="false"/>
                <w:color w:val="1A1A1A"/>
                <w:sz w:val="19"/>
                <w:szCs w:val="19"/>
              </w:rPr>
              <w:t xml:space="preserve">sap.applicationdevelopment.actions.enabled</w:t>
            </w:r>
          </w:p>
        </w:tc>
        <w:tc>
          <w:tcPr>
            <w:tcW w:type="dxa" w:w="3850"/>
            <w:tcMar>
              <w:top w:type="dxa" w:w="100"/>
              <w:left w:type="dxa" w:w="120"/>
              <w:bottom w:type="dxa" w:w="100"/>
              <w:right w:type="dxa" w:w="120"/>
            </w:tcMar>
          </w:tcPr>
          <w:p>
            <w:pPr>
              <w:spacing w:after="0" w:line="260"/>
            </w:pPr>
            <w:r>
              <w:rPr>
                <w:b w:val="false"/>
                <w:bCs w:val="false"/>
                <w:color w:val="1A1A1A"/>
                <w:sz w:val="19"/>
                <w:szCs w:val="19"/>
              </w:rPr>
              <w:t xml:space="preserve">true</w:t>
            </w:r>
          </w:p>
        </w:tc>
      </w:tr>
      <w:tr>
        <w:tc>
          <w:tcPr>
            <w:tcW w:type="dxa" w:w="5500"/>
            <w:tcMar>
              <w:top w:type="dxa" w:w="100"/>
              <w:left w:type="dxa" w:w="120"/>
              <w:bottom w:type="dxa" w:w="100"/>
              <w:right w:type="dxa" w:w="120"/>
            </w:tcMar>
          </w:tcPr>
          <w:p>
            <w:pPr>
              <w:spacing w:after="0" w:line="260"/>
            </w:pPr>
            <w:r>
              <w:rPr>
                <w:b w:val="false"/>
                <w:bCs w:val="false"/>
                <w:color w:val="1A1A1A"/>
                <w:sz w:val="19"/>
                <w:szCs w:val="19"/>
              </w:rPr>
              <w:t xml:space="preserve">sap.processautomation.enabled</w:t>
            </w:r>
          </w:p>
        </w:tc>
        <w:tc>
          <w:tcPr>
            <w:tcW w:type="dxa" w:w="3850"/>
            <w:tcMar>
              <w:top w:type="dxa" w:w="100"/>
              <w:left w:type="dxa" w:w="120"/>
              <w:bottom w:type="dxa" w:w="100"/>
              <w:right w:type="dxa" w:w="120"/>
            </w:tcMar>
          </w:tcPr>
          <w:p>
            <w:pPr>
              <w:spacing w:after="0" w:line="260"/>
            </w:pPr>
            <w:r>
              <w:rPr>
                <w:b w:val="false"/>
                <w:bCs w:val="false"/>
                <w:color w:val="1A1A1A"/>
                <w:sz w:val="19"/>
                <w:szCs w:val="19"/>
              </w:rPr>
              <w:t xml:space="preserve">true</w:t>
            </w:r>
          </w:p>
        </w:tc>
      </w:tr>
      <w:tr>
        <w:tc>
          <w:tcPr>
            <w:tcW w:type="dxa" w:w="5500"/>
            <w:tcMar>
              <w:top w:type="dxa" w:w="100"/>
              <w:left w:type="dxa" w:w="120"/>
              <w:bottom w:type="dxa" w:w="100"/>
              <w:right w:type="dxa" w:w="120"/>
            </w:tcMar>
          </w:tcPr>
          <w:p>
            <w:pPr>
              <w:spacing w:after="0" w:line="260"/>
            </w:pPr>
            <w:r>
              <w:rPr>
                <w:b w:val="false"/>
                <w:bCs w:val="false"/>
                <w:color w:val="1A1A1A"/>
                <w:sz w:val="19"/>
                <w:szCs w:val="19"/>
              </w:rPr>
              <w:t xml:space="preserve">sap.build.usage</w:t>
            </w:r>
          </w:p>
        </w:tc>
        <w:tc>
          <w:tcPr>
            <w:tcW w:type="dxa" w:w="3850"/>
            <w:tcMar>
              <w:top w:type="dxa" w:w="100"/>
              <w:left w:type="dxa" w:w="120"/>
              <w:bottom w:type="dxa" w:w="100"/>
              <w:right w:type="dxa" w:w="120"/>
            </w:tcMar>
          </w:tcPr>
          <w:p>
            <w:pPr>
              <w:spacing w:after="0" w:line="260"/>
            </w:pPr>
            <w:r>
              <w:rPr>
                <w:b w:val="false"/>
                <w:bCs w:val="false"/>
                <w:color w:val="1A1A1A"/>
                <w:sz w:val="19"/>
                <w:szCs w:val="19"/>
              </w:rPr>
              <w:t xml:space="preserve">odata_gen</w:t>
            </w:r>
          </w:p>
        </w:tc>
      </w:tr>
    </w:tbl>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sap.processautomation.enabled — habilitador clave</w:t>
            </w:r>
          </w:p>
          <w:p>
            <w:pPr>
              <w:spacing w:after="0" w:line="280"/>
            </w:pPr>
            <w:r>
              <w:rPr>
                <w:color w:val="1A1A1A"/>
                <w:sz w:val="20"/>
                <w:szCs w:val="20"/>
              </w:rPr>
              <w:t xml:space="preserve">Esta propiedad es la que permite que SAP Build Process Automation liste btp_capstone_orders_srv como Destination Variable disponible al configurar un step "Invoke action" — sin ella, el proceso BPA no podría invocar receiveApprovalDecision sobre este servicio.</w:t>
            </w:r>
          </w:p>
        </w:tc>
      </w:tr>
    </w:tbl>
    <w:p>
      <w:r>
        <w:br w:type="page"/>
      </w:r>
    </w:p>
    <w:p>
      <w:pPr>
        <w:pStyle w:val="Heading1"/>
        <w:pBdr>
          <w:bottom w:val="single" w:color="0B4F8A" w:sz="6" w:space="4"/>
        </w:pBdr>
        <w:spacing w:after="200" w:before="400"/>
      </w:pPr>
      <w:r>
        <w:rPr>
          <w:b/>
          <w:bCs/>
          <w:color w:val="0B4F8A"/>
          <w:sz w:val="30"/>
          <w:szCs w:val="30"/>
        </w:rPr>
        <w:t xml:space="preserve">3. Identidad y seguridad del subaccount</w:t>
      </w:r>
    </w:p>
    <w:p>
      <w:pPr>
        <w:pStyle w:val="Heading2"/>
        <w:spacing w:after="140" w:before="300"/>
      </w:pPr>
      <w:r>
        <w:rPr>
          <w:b/>
          <w:bCs/>
          <w:color w:val="0B4F8A"/>
          <w:sz w:val="24"/>
          <w:szCs w:val="24"/>
        </w:rPr>
        <w:t xml:space="preserve">3.1 Usuarios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50"/>
      </w:tblGrid>
      <w:tr>
        <w:trPr>
          <w:tblHeader/>
        </w:trPr>
        <w:tc>
          <w:tcPr>
            <w:tcW w:type="dxa" w:w="3800"/>
            <w:shd w:fill="0B4F8A" w:val="clear"/>
            <w:tcMar>
              <w:top w:type="dxa" w:w="100"/>
              <w:left w:type="dxa" w:w="120"/>
              <w:bottom w:type="dxa" w:w="100"/>
              <w:right w:type="dxa" w:w="120"/>
            </w:tcMar>
          </w:tcPr>
          <w:p>
            <w:pPr>
              <w:spacing w:after="0" w:line="260"/>
            </w:pPr>
            <w:r>
              <w:rPr>
                <w:b/>
                <w:bCs/>
                <w:color w:val="FFFFFF"/>
                <w:sz w:val="19"/>
                <w:szCs w:val="19"/>
              </w:rPr>
              <w:t xml:space="preserve">Usuario</w:t>
            </w:r>
          </w:p>
        </w:tc>
        <w:tc>
          <w:tcPr>
            <w:tcW w:type="dxa" w:w="3000"/>
            <w:shd w:fill="0B4F8A" w:val="clear"/>
            <w:tcMar>
              <w:top w:type="dxa" w:w="100"/>
              <w:left w:type="dxa" w:w="120"/>
              <w:bottom w:type="dxa" w:w="100"/>
              <w:right w:type="dxa" w:w="120"/>
            </w:tcMar>
          </w:tcPr>
          <w:p>
            <w:pPr>
              <w:spacing w:after="0" w:line="260"/>
            </w:pPr>
            <w:r>
              <w:rPr>
                <w:b/>
                <w:bCs/>
                <w:color w:val="FFFFFF"/>
                <w:sz w:val="19"/>
                <w:szCs w:val="19"/>
              </w:rPr>
              <w:t xml:space="preserve">Identity Provider</w:t>
            </w:r>
          </w:p>
        </w:tc>
        <w:tc>
          <w:tcPr>
            <w:tcW w:type="dxa" w:w="2550"/>
            <w:shd w:fill="0B4F8A" w:val="clear"/>
            <w:tcMar>
              <w:top w:type="dxa" w:w="100"/>
              <w:left w:type="dxa" w:w="120"/>
              <w:bottom w:type="dxa" w:w="100"/>
              <w:right w:type="dxa" w:w="120"/>
            </w:tcMar>
          </w:tcPr>
          <w:p>
            <w:pPr>
              <w:spacing w:after="0" w:line="260"/>
            </w:pPr>
            <w:r>
              <w:rPr>
                <w:b/>
                <w:bCs/>
                <w:color w:val="FFFFFF"/>
                <w:sz w:val="19"/>
                <w:szCs w:val="19"/>
              </w:rPr>
              <w:t xml:space="preserve">Nombre</w:t>
            </w:r>
          </w:p>
        </w:tc>
      </w:tr>
      <w:tr>
        <w:tc>
          <w:tcPr>
            <w:tcW w:type="dxa" w:w="3800"/>
            <w:tcMar>
              <w:top w:type="dxa" w:w="100"/>
              <w:left w:type="dxa" w:w="120"/>
              <w:bottom w:type="dxa" w:w="100"/>
              <w:right w:type="dxa" w:w="120"/>
            </w:tcMar>
          </w:tcPr>
          <w:p>
            <w:pPr>
              <w:spacing w:after="0" w:line="260"/>
            </w:pPr>
            <w:r>
              <w:rPr>
                <w:b w:val="false"/>
                <w:bCs w:val="false"/>
                <w:color w:val="1A1A1A"/>
                <w:sz w:val="19"/>
                <w:szCs w:val="19"/>
              </w:rPr>
              <w:t xml:space="preserve">jesus.blanco@veliontech.com.pe</w:t>
            </w:r>
          </w:p>
        </w:tc>
        <w:tc>
          <w:tcPr>
            <w:tcW w:type="dxa" w:w="3000"/>
            <w:tcMar>
              <w:top w:type="dxa" w:w="100"/>
              <w:left w:type="dxa" w:w="120"/>
              <w:bottom w:type="dxa" w:w="100"/>
              <w:right w:type="dxa" w:w="120"/>
            </w:tcMar>
          </w:tcPr>
          <w:p>
            <w:pPr>
              <w:spacing w:after="0" w:line="260"/>
            </w:pPr>
            <w:r>
              <w:rPr>
                <w:b w:val="false"/>
                <w:bCs w:val="false"/>
                <w:color w:val="1A1A1A"/>
                <w:sz w:val="19"/>
                <w:szCs w:val="19"/>
              </w:rPr>
              <w:t xml:space="preserve">Default identity provider</w:t>
            </w:r>
          </w:p>
        </w:tc>
        <w:tc>
          <w:tcPr>
            <w:tcW w:type="dxa" w:w="2550"/>
            <w:tcMar>
              <w:top w:type="dxa" w:w="100"/>
              <w:left w:type="dxa" w:w="120"/>
              <w:bottom w:type="dxa" w:w="100"/>
              <w:right w:type="dxa" w:w="120"/>
            </w:tcMar>
          </w:tcPr>
          <w:p>
            <w:pPr>
              <w:spacing w:after="0" w:line="260"/>
            </w:pPr>
            <w:r>
              <w:rPr>
                <w:b w:val="false"/>
                <w:bCs w:val="false"/>
                <w:color w:val="1A1A1A"/>
                <w:sz w:val="19"/>
                <w:szCs w:val="19"/>
              </w:rPr>
              <w:t xml:space="preserve">Jesus Blanco</w:t>
            </w:r>
          </w:p>
        </w:tc>
      </w:tr>
    </w:tbl>
    <w:p>
      <w:pPr>
        <w:spacing w:after="50"/>
      </w:pPr>
    </w:p>
    <w:p>
      <w:pPr>
        <w:pStyle w:val="Heading2"/>
        <w:spacing w:after="140" w:before="300"/>
      </w:pPr>
      <w:r>
        <w:rPr>
          <w:b/>
          <w:bCs/>
          <w:color w:val="0B4F8A"/>
          <w:sz w:val="24"/>
          <w:szCs w:val="24"/>
        </w:rPr>
        <w:t xml:space="preserve">3.2 Role Collections del proyecto</w:t>
      </w:r>
    </w:p>
    <w:p>
      <w:pPr>
        <w:spacing w:after="140" w:line="300"/>
      </w:pPr>
      <w:r>
        <w:rPr>
          <w:color w:val="1A1A1A"/>
          <w:sz w:val="21"/>
          <w:szCs w:val="21"/>
        </w:rPr>
        <w:t xml:space="preserve">Tres Role Collections específicas del capstone, cada una agrupando el role template homónimo definido en xs-security.json del backend (ver documento "Capstone Backend — Documentación", sección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50"/>
      </w:tblGrid>
      <w:tr>
        <w:trPr>
          <w:tblHeader/>
        </w:trPr>
        <w:tc>
          <w:tcPr>
            <w:tcW w:type="dxa" w:w="3000"/>
            <w:shd w:fill="0B4F8A" w:val="clear"/>
            <w:tcMar>
              <w:top w:type="dxa" w:w="100"/>
              <w:left w:type="dxa" w:w="120"/>
              <w:bottom w:type="dxa" w:w="100"/>
              <w:right w:type="dxa" w:w="120"/>
            </w:tcMar>
          </w:tcPr>
          <w:p>
            <w:pPr>
              <w:spacing w:after="0" w:line="260"/>
            </w:pPr>
            <w:r>
              <w:rPr>
                <w:b/>
                <w:bCs/>
                <w:color w:val="FFFFFF"/>
                <w:sz w:val="19"/>
                <w:szCs w:val="19"/>
              </w:rPr>
              <w:t xml:space="preserve">Role Collection</w:t>
            </w:r>
          </w:p>
        </w:tc>
        <w:tc>
          <w:tcPr>
            <w:tcW w:type="dxa" w:w="3500"/>
            <w:shd w:fill="0B4F8A" w:val="clear"/>
            <w:tcMar>
              <w:top w:type="dxa" w:w="100"/>
              <w:left w:type="dxa" w:w="120"/>
              <w:bottom w:type="dxa" w:w="100"/>
              <w:right w:type="dxa" w:w="120"/>
            </w:tcMar>
          </w:tcPr>
          <w:p>
            <w:pPr>
              <w:spacing w:after="0" w:line="260"/>
            </w:pPr>
            <w:r>
              <w:rPr>
                <w:b/>
                <w:bCs/>
                <w:color w:val="FFFFFF"/>
                <w:sz w:val="19"/>
                <w:szCs w:val="19"/>
              </w:rPr>
              <w:t xml:space="preserve">Descripción</w:t>
            </w:r>
          </w:p>
        </w:tc>
        <w:tc>
          <w:tcPr>
            <w:tcW w:type="dxa" w:w="2850"/>
            <w:shd w:fill="0B4F8A" w:val="clear"/>
            <w:tcMar>
              <w:top w:type="dxa" w:w="100"/>
              <w:left w:type="dxa" w:w="120"/>
              <w:bottom w:type="dxa" w:w="100"/>
              <w:right w:type="dxa" w:w="120"/>
            </w:tcMar>
          </w:tcPr>
          <w:p>
            <w:pPr>
              <w:spacing w:after="0" w:line="260"/>
            </w:pPr>
            <w:r>
              <w:rPr>
                <w:b/>
                <w:bCs/>
                <w:color w:val="FFFFFF"/>
                <w:sz w:val="19"/>
                <w:szCs w:val="19"/>
              </w:rPr>
              <w:t xml:space="preserve">Role Template</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Capstone_OrderApprover</w:t>
            </w:r>
          </w:p>
        </w:tc>
        <w:tc>
          <w:tcPr>
            <w:tcW w:type="dxa" w:w="3500"/>
            <w:tcMar>
              <w:top w:type="dxa" w:w="100"/>
              <w:left w:type="dxa" w:w="120"/>
              <w:bottom w:type="dxa" w:w="100"/>
              <w:right w:type="dxa" w:w="120"/>
            </w:tcMar>
          </w:tcPr>
          <w:p>
            <w:pPr>
              <w:spacing w:after="0" w:line="260"/>
            </w:pPr>
            <w:r>
              <w:rPr>
                <w:b w:val="false"/>
                <w:bCs w:val="false"/>
                <w:color w:val="1A1A1A"/>
                <w:sz w:val="19"/>
                <w:szCs w:val="19"/>
              </w:rPr>
              <w:t xml:space="preserve">Colección: aprobar órdenes</w:t>
            </w:r>
          </w:p>
        </w:tc>
        <w:tc>
          <w:tcPr>
            <w:tcW w:type="dxa" w:w="2850"/>
            <w:tcMar>
              <w:top w:type="dxa" w:w="100"/>
              <w:left w:type="dxa" w:w="120"/>
              <w:bottom w:type="dxa" w:w="100"/>
              <w:right w:type="dxa" w:w="120"/>
            </w:tcMar>
          </w:tcPr>
          <w:p>
            <w:pPr>
              <w:spacing w:after="0" w:line="260"/>
            </w:pPr>
            <w:r>
              <w:rPr>
                <w:b w:val="false"/>
                <w:bCs w:val="false"/>
                <w:color w:val="1A1A1A"/>
                <w:sz w:val="19"/>
                <w:szCs w:val="19"/>
              </w:rPr>
              <w:t xml:space="preserve">OrderApprover</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Capstone_OrderCreator</w:t>
            </w:r>
          </w:p>
        </w:tc>
        <w:tc>
          <w:tcPr>
            <w:tcW w:type="dxa" w:w="3500"/>
            <w:tcMar>
              <w:top w:type="dxa" w:w="100"/>
              <w:left w:type="dxa" w:w="120"/>
              <w:bottom w:type="dxa" w:w="100"/>
              <w:right w:type="dxa" w:w="120"/>
            </w:tcMar>
          </w:tcPr>
          <w:p>
            <w:pPr>
              <w:spacing w:after="0" w:line="260"/>
            </w:pPr>
            <w:r>
              <w:rPr>
                <w:b w:val="false"/>
                <w:bCs w:val="false"/>
                <w:color w:val="1A1A1A"/>
                <w:sz w:val="19"/>
                <w:szCs w:val="19"/>
              </w:rPr>
              <w:t xml:space="preserve">Colección: crear y enviar órdenes</w:t>
            </w:r>
          </w:p>
        </w:tc>
        <w:tc>
          <w:tcPr>
            <w:tcW w:type="dxa" w:w="2850"/>
            <w:tcMar>
              <w:top w:type="dxa" w:w="100"/>
              <w:left w:type="dxa" w:w="120"/>
              <w:bottom w:type="dxa" w:w="100"/>
              <w:right w:type="dxa" w:w="120"/>
            </w:tcMar>
          </w:tcPr>
          <w:p>
            <w:pPr>
              <w:spacing w:after="0" w:line="260"/>
            </w:pPr>
            <w:r>
              <w:rPr>
                <w:b w:val="false"/>
                <w:bCs w:val="false"/>
                <w:color w:val="1A1A1A"/>
                <w:sz w:val="19"/>
                <w:szCs w:val="19"/>
              </w:rPr>
              <w:t xml:space="preserve">OrderCreator</w:t>
            </w:r>
          </w:p>
        </w:tc>
      </w:tr>
      <w:tr>
        <w:tc>
          <w:tcPr>
            <w:tcW w:type="dxa" w:w="3000"/>
            <w:tcMar>
              <w:top w:type="dxa" w:w="100"/>
              <w:left w:type="dxa" w:w="120"/>
              <w:bottom w:type="dxa" w:w="100"/>
              <w:right w:type="dxa" w:w="120"/>
            </w:tcMar>
          </w:tcPr>
          <w:p>
            <w:pPr>
              <w:spacing w:after="0" w:line="260"/>
            </w:pPr>
            <w:r>
              <w:rPr>
                <w:b w:val="false"/>
                <w:bCs w:val="false"/>
                <w:color w:val="1A1A1A"/>
                <w:sz w:val="19"/>
                <w:szCs w:val="19"/>
              </w:rPr>
              <w:t xml:space="preserve">Capstone_OrderViewer</w:t>
            </w:r>
          </w:p>
        </w:tc>
        <w:tc>
          <w:tcPr>
            <w:tcW w:type="dxa" w:w="3500"/>
            <w:tcMar>
              <w:top w:type="dxa" w:w="100"/>
              <w:left w:type="dxa" w:w="120"/>
              <w:bottom w:type="dxa" w:w="100"/>
              <w:right w:type="dxa" w:w="120"/>
            </w:tcMar>
          </w:tcPr>
          <w:p>
            <w:pPr>
              <w:spacing w:after="0" w:line="260"/>
            </w:pPr>
            <w:r>
              <w:rPr>
                <w:b w:val="false"/>
                <w:bCs w:val="false"/>
                <w:color w:val="1A1A1A"/>
                <w:sz w:val="19"/>
                <w:szCs w:val="19"/>
              </w:rPr>
              <w:t xml:space="preserve">Colección: solo lectura</w:t>
            </w:r>
          </w:p>
        </w:tc>
        <w:tc>
          <w:tcPr>
            <w:tcW w:type="dxa" w:w="2850"/>
            <w:tcMar>
              <w:top w:type="dxa" w:w="100"/>
              <w:left w:type="dxa" w:w="120"/>
              <w:bottom w:type="dxa" w:w="100"/>
              <w:right w:type="dxa" w:w="120"/>
            </w:tcMar>
          </w:tcPr>
          <w:p>
            <w:pPr>
              <w:spacing w:after="0" w:line="260"/>
            </w:pPr>
            <w:r>
              <w:rPr>
                <w:b w:val="false"/>
                <w:bCs w:val="false"/>
                <w:color w:val="1A1A1A"/>
                <w:sz w:val="19"/>
                <w:szCs w:val="19"/>
              </w:rPr>
              <w:t xml:space="preserve">OrderViewer</w:t>
            </w:r>
          </w:p>
        </w:tc>
      </w:tr>
    </w:tbl>
    <w:tbl>
      <w:tblPr>
        <w:tblW w:type="pct" w:w="100%"/>
        <w:tblBorders>
          <w:top w:val="single" w:color="FDF0E6" w:sz="4"/>
          <w:left w:val="single" w:color="B25C00" w:sz="24"/>
          <w:bottom w:val="single" w:color="FDF0E6" w:sz="4"/>
          <w:right w:val="single" w:color="FDF0E6" w:sz="4"/>
          <w:insideH w:val="single" w:color="auto" w:sz="4"/>
          <w:insideV w:val="single" w:color="auto" w:sz="4"/>
        </w:tblBorders>
      </w:tblPr>
      <w:tblGrid>
        <w:gridCol w:w="100"/>
      </w:tblGrid>
      <w:tr>
        <w:tc>
          <w:tcPr>
            <w:shd w:fill="FDF0E6" w:val="clear"/>
            <w:tcMar>
              <w:top w:type="dxa" w:w="140"/>
              <w:left w:type="dxa" w:w="220"/>
              <w:bottom w:type="dxa" w:w="140"/>
              <w:right w:type="dxa" w:w="220"/>
            </w:tcMar>
          </w:tcPr>
          <w:p>
            <w:pPr>
              <w:spacing w:after="60"/>
            </w:pPr>
            <w:r>
              <w:rPr>
                <w:b/>
                <w:bCs/>
                <w:color w:val="B25C00"/>
                <w:sz w:val="20"/>
                <w:szCs w:val="20"/>
              </w:rPr>
              <w:t xml:space="preserve">Asignación de usuarios</w:t>
            </w:r>
          </w:p>
          <w:p>
            <w:pPr>
              <w:spacing w:after="0" w:line="280"/>
            </w:pPr>
            <w:r>
              <w:rPr>
                <w:color w:val="1A1A1A"/>
                <w:sz w:val="20"/>
                <w:szCs w:val="20"/>
              </w:rPr>
              <w:t xml:space="preserve">Estas Role Collections se asignan a usuarios desde Security → Users → [usuario] → Role Collections, o vía Users → asignación masiva. No se capturó evidencia de asignación específica a jesus.blanco@veliontech.com.pe en este documento — verificar en el Cockpit si el flujo de aprobación depende de esta asignación explícita o si el acceso se resuelve por otro medio (p. ej. rol de administrador del subaccount).</w:t>
            </w:r>
          </w:p>
        </w:tc>
      </w:tr>
    </w:tbl>
    <w:p>
      <w:pPr>
        <w:spacing w:after="50"/>
      </w:pPr>
    </w:p>
    <w:p>
      <w:pPr>
        <w:pStyle w:val="Heading2"/>
        <w:spacing w:after="140" w:before="300"/>
      </w:pPr>
      <w:r>
        <w:rPr>
          <w:b/>
          <w:bCs/>
          <w:color w:val="0B4F8A"/>
          <w:sz w:val="24"/>
          <w:szCs w:val="24"/>
        </w:rPr>
        <w:t xml:space="preserve">3.3 Trust Configuration</w:t>
      </w:r>
    </w:p>
    <w:p>
      <w:pPr>
        <w:spacing w:after="140" w:line="300"/>
      </w:pPr>
      <w:r>
        <w:rPr>
          <w:color w:val="1A1A1A"/>
          <w:sz w:val="21"/>
          <w:szCs w:val="21"/>
        </w:rPr>
        <w:t xml:space="preserve">Identity Provider único configurado: Default identity provider (origen sap.default, protocolo OpenID Connect), estado Active, disponible tanto para User Logon como para Noninteractive Logon. No se configuraron proveedores SAML de terceros — coherente con un subaccount trial de alcance educativo.</w:t>
      </w:r>
    </w:p>
    <w:p>
      <w:pPr>
        <w:spacing w:after="50"/>
      </w:pPr>
    </w:p>
    <w:p>
      <w:pPr>
        <w:pStyle w:val="Heading2"/>
        <w:spacing w:after="140" w:before="300"/>
      </w:pPr>
      <w:r>
        <w:rPr>
          <w:b/>
          <w:bCs/>
          <w:color w:val="0B4F8A"/>
          <w:sz w:val="24"/>
          <w:szCs w:val="24"/>
        </w:rPr>
        <w:t xml:space="preserve">3.4 Settings — Token Policy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0B4F8A" w:val="clear"/>
            <w:tcMar>
              <w:top w:type="dxa" w:w="100"/>
              <w:left w:type="dxa" w:w="120"/>
              <w:bottom w:type="dxa" w:w="100"/>
              <w:right w:type="dxa" w:w="120"/>
            </w:tcMar>
          </w:tcPr>
          <w:p>
            <w:pPr>
              <w:spacing w:after="0" w:line="260"/>
            </w:pPr>
            <w:r>
              <w:rPr>
                <w:b/>
                <w:bCs/>
                <w:color w:val="FFFFFF"/>
                <w:sz w:val="19"/>
                <w:szCs w:val="19"/>
              </w:rPr>
              <w:t xml:space="preserve">Parámetro</w:t>
            </w:r>
          </w:p>
        </w:tc>
        <w:tc>
          <w:tcPr>
            <w:tcW w:type="dxa" w:w="5850"/>
            <w:shd w:fill="0B4F8A" w:val="clear"/>
            <w:tcMar>
              <w:top w:type="dxa" w:w="100"/>
              <w:left w:type="dxa" w:w="120"/>
              <w:bottom w:type="dxa" w:w="100"/>
              <w:right w:type="dxa" w:w="120"/>
            </w:tcMar>
          </w:tcPr>
          <w:p>
            <w:pPr>
              <w:spacing w:after="0" w:line="260"/>
            </w:pPr>
            <w:r>
              <w:rPr>
                <w:b/>
                <w:bCs/>
                <w:color w:val="FFFFFF"/>
                <w:sz w:val="19"/>
                <w:szCs w:val="19"/>
              </w:rPr>
              <w:t xml:space="preserve">Valor configurado</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Trusted Domains</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Ninguno (No domains found)</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Access Token Validity</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43200 seg (12 h)</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Refresh Token Validity</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604800 seg (7 días)</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Automatic Signing Key Rotation</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Active</w:t>
            </w:r>
          </w:p>
        </w:tc>
      </w:tr>
      <w:tr>
        <w:tc>
          <w:tcPr>
            <w:tcW w:type="dxa" w:w="3500"/>
            <w:tcMar>
              <w:top w:type="dxa" w:w="100"/>
              <w:left w:type="dxa" w:w="120"/>
              <w:bottom w:type="dxa" w:w="100"/>
              <w:right w:type="dxa" w:w="120"/>
            </w:tcMar>
          </w:tcPr>
          <w:p>
            <w:pPr>
              <w:spacing w:after="0" w:line="260"/>
            </w:pPr>
            <w:r>
              <w:rPr>
                <w:b w:val="false"/>
                <w:bCs w:val="false"/>
                <w:color w:val="1A1A1A"/>
                <w:sz w:val="19"/>
                <w:szCs w:val="19"/>
              </w:rPr>
              <w:t xml:space="preserve">Signing Key activa</w:t>
            </w:r>
          </w:p>
        </w:tc>
        <w:tc>
          <w:tcPr>
            <w:tcW w:type="dxa" w:w="5850"/>
            <w:tcMar>
              <w:top w:type="dxa" w:w="100"/>
              <w:left w:type="dxa" w:w="120"/>
              <w:bottom w:type="dxa" w:w="100"/>
              <w:right w:type="dxa" w:w="120"/>
            </w:tcMar>
          </w:tcPr>
          <w:p>
            <w:pPr>
              <w:spacing w:after="0" w:line="260"/>
            </w:pPr>
            <w:r>
              <w:rPr>
                <w:b w:val="false"/>
                <w:bCs w:val="false"/>
                <w:color w:val="1A1A1A"/>
                <w:sz w:val="19"/>
                <w:szCs w:val="19"/>
              </w:rPr>
              <w:t xml:space="preserve">default-jwt-key-16195c0d47</w:t>
            </w:r>
          </w:p>
        </w:tc>
      </w:tr>
    </w:tbl>
    <w:p>
      <w:r>
        <w:br w:type="page"/>
      </w:r>
    </w:p>
    <w:p>
      <w:pPr>
        <w:pStyle w:val="Heading1"/>
        <w:pBdr>
          <w:bottom w:val="single" w:color="0B4F8A" w:sz="6" w:space="4"/>
        </w:pBdr>
        <w:spacing w:after="200" w:before="400"/>
      </w:pPr>
      <w:r>
        <w:rPr>
          <w:b/>
          <w:bCs/>
          <w:color w:val="0B4F8A"/>
          <w:sz w:val="30"/>
          <w:szCs w:val="30"/>
        </w:rPr>
        <w:t xml:space="preserve">4. SAP HANA Cloud</w:t>
      </w:r>
    </w:p>
    <w:p>
      <w:pPr>
        <w:pStyle w:val="Heading2"/>
        <w:spacing w:after="140" w:before="300"/>
      </w:pPr>
      <w:r>
        <w:rPr>
          <w:b/>
          <w:bCs/>
          <w:color w:val="0B4F8A"/>
          <w:sz w:val="24"/>
          <w:szCs w:val="24"/>
        </w:rPr>
        <w:t xml:space="preserve">4.1 Instancia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Propiedad</w:t>
            </w:r>
          </w:p>
        </w:tc>
        <w:tc>
          <w:tcPr>
            <w:tcW w:type="dxa" w:w="61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Nombre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hana-instances</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Tipo</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SAP HANA Database</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Estado</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Running</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Plan</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Free Tier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Runtime Environment</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Cloud Foundry</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Memoria</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16 GB</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Storage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80 GB</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Compute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1 vCPU</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Nodos / Réplicas</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1 nodo / 0 réplicas</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Versión</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2026.14.8 (QRC 2/2026)</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Encryption Key</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SAP-Managed</w:t>
            </w:r>
          </w:p>
        </w:tc>
      </w:tr>
    </w:tbl>
    <w:p>
      <w:pPr>
        <w:spacing w:after="50"/>
      </w:pPr>
    </w:p>
    <w:p>
      <w:pPr>
        <w:pStyle w:val="Heading2"/>
        <w:spacing w:after="140" w:before="300"/>
      </w:pPr>
      <w:r>
        <w:rPr>
          <w:b/>
          <w:bCs/>
          <w:color w:val="0B4F8A"/>
          <w:sz w:val="24"/>
          <w:szCs w:val="24"/>
        </w:rPr>
        <w:t xml:space="preserve">4.2 HDI Container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Propiedad</w:t>
            </w:r>
          </w:p>
        </w:tc>
        <w:tc>
          <w:tcPr>
            <w:tcW w:type="dxa" w:w="61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Nombre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btp-capstone-orders-db</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ID</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94899cf1-8305-439c-876a-0a9f80c5d22c</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Tipo</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HDI Container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Environment Type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Cloud Foundry</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Database Instance ID</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a4fb77ed-d059-4d03-8364-37d21f63f081 (hana-instances)</w:t>
            </w:r>
          </w:p>
        </w:tc>
      </w:tr>
    </w:tbl>
    <w:p>
      <w:pPr>
        <w:spacing w:after="50"/>
      </w:pPr>
    </w:p>
    <w:p>
      <w:pPr>
        <w:pStyle w:val="Heading2"/>
        <w:spacing w:after="140" w:before="300"/>
      </w:pPr>
      <w:r>
        <w:rPr>
          <w:b/>
          <w:bCs/>
          <w:color w:val="0B4F8A"/>
          <w:sz w:val="24"/>
          <w:szCs w:val="24"/>
        </w:rPr>
        <w:t xml:space="preserve">4.3 Verificación vía SQL Console</w:t>
      </w:r>
    </w:p>
    <w:p>
      <w:pPr>
        <w:spacing w:after="140" w:line="300"/>
      </w:pPr>
      <w:r>
        <w:rPr>
          <w:color w:val="1A1A1A"/>
          <w:sz w:val="21"/>
          <w:szCs w:val="21"/>
        </w:rPr>
        <w:t xml:space="preserve">Consulta usada para verificar directamente en base de datos el contenido de OrderItems, evitando depender únicamente del cliente MDK o Postman durante la depuración: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50"/>
            </w:pPr>
            <w:r>
              <w:rPr>
                <w:rFonts w:ascii="Consolas" w:cs="Consolas" w:eastAsia="Consolas" w:hAnsi="Consolas"/>
                <w:color w:val="2B2B2B"/>
                <w:sz w:val="17"/>
                <w:szCs w:val="17"/>
              </w:rPr>
              <w:t xml:space="preserve">select * from "CAP_ORDERITEMS";</w:t>
            </w:r>
          </w:p>
        </w:tc>
      </w:tr>
    </w:tbl>
    <w:p>
      <w:pPr>
        <w:spacing w:after="140" w:line="300"/>
      </w:pPr>
      <w:r>
        <w:rPr>
          <w:color w:val="1A1A1A"/>
          <w:sz w:val="21"/>
          <w:szCs w:val="21"/>
        </w:rPr>
        <w:t xml:space="preserve">Resultado de ejemplo (8 filas) confirmando ítems asociados a distintas órdenes, con su product_ID, qty, price y subtotal calculados correctamente por el backend — incluye el caso de ORD con qty NULL (ítems creados antes de corregir el binding del ListPicker en el cliente MDK, documentado en "Capstone MDK — Documentación").</w:t>
      </w:r>
    </w:p>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Utilidad de HANA Cloud Central</w:t>
            </w:r>
          </w:p>
          <w:p>
            <w:pPr>
              <w:spacing w:after="0" w:line="280"/>
            </w:pPr>
            <w:r>
              <w:rPr>
                <w:color w:val="1A1A1A"/>
                <w:sz w:val="20"/>
                <w:szCs w:val="20"/>
              </w:rPr>
              <w:t xml:space="preserve">Cuando Postman o el cliente MDK no permiten aislar si un problema es de UI/binding o de persistencia real, la SQL Console de HANA Cloud Central da la verdad de base de datos directamente — fue el método más rápido para confirmar, por ejemplo, si product_ID llegaba correctamente en cada ítem.</w:t>
            </w:r>
          </w:p>
        </w:tc>
      </w:tr>
    </w:tbl>
    <w:p>
      <w:r>
        <w:br w:type="page"/>
      </w:r>
    </w:p>
    <w:p>
      <w:pPr>
        <w:pStyle w:val="Heading1"/>
        <w:pBdr>
          <w:bottom w:val="single" w:color="0B4F8A" w:sz="6" w:space="4"/>
        </w:pBdr>
        <w:spacing w:after="200" w:before="400"/>
      </w:pPr>
      <w:r>
        <w:rPr>
          <w:b/>
          <w:bCs/>
          <w:color w:val="0B4F8A"/>
          <w:sz w:val="30"/>
          <w:szCs w:val="30"/>
        </w:rPr>
        <w:t xml:space="preserve">5. SAP Build Process Automation</w:t>
      </w:r>
    </w:p>
    <w:p>
      <w:pPr>
        <w:pStyle w:val="Heading2"/>
        <w:spacing w:after="140" w:before="300"/>
      </w:pPr>
      <w:r>
        <w:rPr>
          <w:b/>
          <w:bCs/>
          <w:color w:val="0B4F8A"/>
          <w:sz w:val="24"/>
          <w:szCs w:val="24"/>
        </w:rPr>
        <w:t xml:space="preserve">5.1 Proyectos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550"/>
      </w:tblGrid>
      <w:tr>
        <w:trPr>
          <w:tblHeader/>
        </w:trPr>
        <w:tc>
          <w:tcPr>
            <w:tcW w:type="dxa" w:w="3400"/>
            <w:shd w:fill="0B4F8A" w:val="clear"/>
            <w:tcMar>
              <w:top w:type="dxa" w:w="100"/>
              <w:left w:type="dxa" w:w="120"/>
              <w:bottom w:type="dxa" w:w="100"/>
              <w:right w:type="dxa" w:w="120"/>
            </w:tcMar>
          </w:tcPr>
          <w:p>
            <w:pPr>
              <w:spacing w:after="0" w:line="260"/>
            </w:pPr>
            <w:r>
              <w:rPr>
                <w:b/>
                <w:bCs/>
                <w:color w:val="FFFFFF"/>
                <w:sz w:val="19"/>
                <w:szCs w:val="19"/>
              </w:rPr>
              <w:t xml:space="preserve">Nombre</w:t>
            </w:r>
          </w:p>
        </w:tc>
        <w:tc>
          <w:tcPr>
            <w:tcW w:type="dxa" w:w="2200"/>
            <w:shd w:fill="0B4F8A" w:val="clear"/>
            <w:tcMar>
              <w:top w:type="dxa" w:w="100"/>
              <w:left w:type="dxa" w:w="120"/>
              <w:bottom w:type="dxa" w:w="100"/>
              <w:right w:type="dxa" w:w="120"/>
            </w:tcMar>
          </w:tcPr>
          <w:p>
            <w:pPr>
              <w:spacing w:after="0" w:line="260"/>
            </w:pPr>
            <w:r>
              <w:rPr>
                <w:b/>
                <w:bCs/>
                <w:color w:val="FFFFFF"/>
                <w:sz w:val="19"/>
                <w:szCs w:val="19"/>
              </w:rPr>
              <w:t xml:space="preserve">Tipo</w:t>
            </w:r>
          </w:p>
        </w:tc>
        <w:tc>
          <w:tcPr>
            <w:tcW w:type="dxa" w:w="2200"/>
            <w:shd w:fill="0B4F8A" w:val="clear"/>
            <w:tcMar>
              <w:top w:type="dxa" w:w="100"/>
              <w:left w:type="dxa" w:w="120"/>
              <w:bottom w:type="dxa" w:w="100"/>
              <w:right w:type="dxa" w:w="120"/>
            </w:tcMar>
          </w:tcPr>
          <w:p>
            <w:pPr>
              <w:spacing w:after="0" w:line="260"/>
            </w:pPr>
            <w:r>
              <w:rPr>
                <w:b/>
                <w:bCs/>
                <w:color w:val="FFFFFF"/>
                <w:sz w:val="19"/>
                <w:szCs w:val="19"/>
              </w:rPr>
              <w:t xml:space="preserve">Versión</w:t>
            </w:r>
          </w:p>
        </w:tc>
        <w:tc>
          <w:tcPr>
            <w:tcW w:type="dxa" w:w="1550"/>
            <w:shd w:fill="0B4F8A" w:val="clear"/>
            <w:tcMar>
              <w:top w:type="dxa" w:w="100"/>
              <w:left w:type="dxa" w:w="120"/>
              <w:bottom w:type="dxa" w:w="100"/>
              <w:right w:type="dxa" w:w="120"/>
            </w:tcMar>
          </w:tcPr>
          <w:p>
            <w:pPr>
              <w:spacing w:after="0" w:line="260"/>
            </w:pPr>
            <w:r>
              <w:rPr>
                <w:b/>
                <w:bCs/>
                <w:color w:val="FFFFFF"/>
                <w:sz w:val="19"/>
                <w:szCs w:val="19"/>
              </w:rPr>
              <w:t xml:space="preserve">Miembros</w:t>
            </w:r>
          </w:p>
        </w:tc>
      </w:tr>
      <w:tr>
        <w:tc>
          <w:tcPr>
            <w:tcW w:type="dxa" w:w="3400"/>
            <w:tcMar>
              <w:top w:type="dxa" w:w="100"/>
              <w:left w:type="dxa" w:w="120"/>
              <w:bottom w:type="dxa" w:w="100"/>
              <w:right w:type="dxa" w:w="120"/>
            </w:tcMar>
          </w:tcPr>
          <w:p>
            <w:pPr>
              <w:spacing w:after="0" w:line="260"/>
            </w:pPr>
            <w:r>
              <w:rPr>
                <w:b w:val="false"/>
                <w:bCs w:val="false"/>
                <w:color w:val="1A1A1A"/>
                <w:sz w:val="19"/>
                <w:szCs w:val="19"/>
              </w:rPr>
              <w:t xml:space="preserve">Capstone Order Approval</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Process Automation</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1.0.2 (Disponible)</w:t>
            </w:r>
          </w:p>
        </w:tc>
        <w:tc>
          <w:tcPr>
            <w:tcW w:type="dxa" w:w="1550"/>
            <w:tcMar>
              <w:top w:type="dxa" w:w="100"/>
              <w:left w:type="dxa" w:w="120"/>
              <w:bottom w:type="dxa" w:w="100"/>
              <w:right w:type="dxa" w:w="120"/>
            </w:tcMar>
          </w:tcPr>
          <w:p>
            <w:pPr>
              <w:spacing w:after="0" w:line="260"/>
            </w:pPr>
            <w:r>
              <w:rPr>
                <w:b w:val="false"/>
                <w:bCs w:val="false"/>
                <w:color w:val="1A1A1A"/>
                <w:sz w:val="19"/>
                <w:szCs w:val="19"/>
              </w:rPr>
              <w:t xml:space="preserve">Todos</w:t>
            </w:r>
          </w:p>
        </w:tc>
      </w:tr>
      <w:tr>
        <w:tc>
          <w:tcPr>
            <w:tcW w:type="dxa" w:w="3400"/>
            <w:tcMar>
              <w:top w:type="dxa" w:w="100"/>
              <w:left w:type="dxa" w:w="120"/>
              <w:bottom w:type="dxa" w:w="100"/>
              <w:right w:type="dxa" w:w="120"/>
            </w:tcMar>
          </w:tcPr>
          <w:p>
            <w:pPr>
              <w:spacing w:after="0" w:line="260"/>
            </w:pPr>
            <w:r>
              <w:rPr>
                <w:b w:val="false"/>
                <w:bCs w:val="false"/>
                <w:color w:val="1A1A1A"/>
                <w:sz w:val="19"/>
                <w:szCs w:val="19"/>
              </w:rPr>
              <w:t xml:space="preserve">Capstone Order Approval Copy</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Process Automation</w:t>
            </w:r>
          </w:p>
        </w:tc>
        <w:tc>
          <w:tcPr>
            <w:tcW w:type="dxa" w:w="2200"/>
            <w:tcMar>
              <w:top w:type="dxa" w:w="100"/>
              <w:left w:type="dxa" w:w="120"/>
              <w:bottom w:type="dxa" w:w="100"/>
              <w:right w:type="dxa" w:w="120"/>
            </w:tcMar>
          </w:tcPr>
          <w:p>
            <w:pPr>
              <w:spacing w:after="0" w:line="260"/>
            </w:pPr>
            <w:r>
              <w:rPr>
                <w:b w:val="false"/>
                <w:bCs w:val="false"/>
                <w:color w:val="1A1A1A"/>
                <w:sz w:val="19"/>
                <w:szCs w:val="19"/>
              </w:rPr>
              <w:t xml:space="preserve">1.0.0 (Disponible)</w:t>
            </w:r>
          </w:p>
        </w:tc>
        <w:tc>
          <w:tcPr>
            <w:tcW w:type="dxa" w:w="1550"/>
            <w:tcMar>
              <w:top w:type="dxa" w:w="100"/>
              <w:left w:type="dxa" w:w="120"/>
              <w:bottom w:type="dxa" w:w="100"/>
              <w:right w:type="dxa" w:w="120"/>
            </w:tcMar>
          </w:tcPr>
          <w:p>
            <w:pPr>
              <w:spacing w:after="0" w:line="260"/>
            </w:pPr>
            <w:r>
              <w:rPr>
                <w:b w:val="false"/>
                <w:bCs w:val="false"/>
                <w:color w:val="1A1A1A"/>
                <w:sz w:val="19"/>
                <w:szCs w:val="19"/>
              </w:rPr>
              <w:t xml:space="preserve">Yo</w:t>
            </w:r>
          </w:p>
        </w:tc>
      </w:tr>
    </w:tbl>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Por qué existen dos proyectos</w:t>
            </w:r>
          </w:p>
          <w:p>
            <w:pPr>
              <w:spacing w:after="0" w:line="280"/>
            </w:pPr>
            <w:r>
              <w:rPr>
                <w:color w:val="1A1A1A"/>
                <w:sz w:val="20"/>
                <w:szCs w:val="20"/>
              </w:rPr>
              <w:t xml:space="preserve">"Capstone Order Approval" es el proyecto original, desplegado sin versión draft editable. "Capstone Order Approval Copy" se creó como duplicado editable para poder corregir el destinatario de la tarea de aprobación (que apuntaba a un correo de una migración anterior) sin perder el historial del proyecto original. El backend quedó apuntando al definitionId de la copia — ver documento de Backend, sección 4.5.</w:t>
            </w:r>
          </w:p>
        </w:tc>
      </w:tr>
    </w:tbl>
    <w:p>
      <w:pPr>
        <w:spacing w:after="50"/>
      </w:pPr>
    </w:p>
    <w:p>
      <w:pPr>
        <w:pStyle w:val="Heading2"/>
        <w:spacing w:after="140" w:before="300"/>
      </w:pPr>
      <w:r>
        <w:rPr>
          <w:b/>
          <w:bCs/>
          <w:color w:val="0B4F8A"/>
          <w:sz w:val="24"/>
          <w:szCs w:val="24"/>
        </w:rPr>
        <w:t xml:space="preserve">5.2 Diagrama del proceso — Order Approval Process</w:t>
      </w:r>
    </w:p>
    <w:p>
      <w:pPr>
        <w:spacing w:after="140" w:line="300"/>
      </w:pPr>
      <w:r>
        <w:rPr>
          <w:color w:val="1A1A1A"/>
          <w:sz w:val="21"/>
          <w:szCs w:val="21"/>
        </w:rPr>
        <w:t xml:space="preserve">Flujo de 5 pasos:</w:t>
      </w:r>
    </w:p>
    <w:p>
      <w:pPr>
        <w:pStyle w:val="ListParagraph"/>
        <w:numPr>
          <w:ilvl w:val="0"/>
          <w:numId w:val="2"/>
        </w:numPr>
        <w:spacing w:after="80" w:line="280"/>
      </w:pPr>
      <w:r>
        <w:rPr>
          <w:color w:val="1A1A1A"/>
          <w:sz w:val="21"/>
          <w:szCs w:val="21"/>
        </w:rPr>
        <w:t xml:space="preserve">Trigger — "Order Approval API Trigger": recibe la invocación REST desde el backend CAP (_triggerBPA).</w:t>
      </w:r>
    </w:p>
    <w:p>
      <w:pPr>
        <w:pStyle w:val="ListParagraph"/>
        <w:numPr>
          <w:ilvl w:val="0"/>
          <w:numId w:val="2"/>
        </w:numPr>
        <w:spacing w:after="80" w:line="280"/>
      </w:pPr>
      <w:r>
        <w:rPr>
          <w:color w:val="1A1A1A"/>
          <w:sz w:val="21"/>
          <w:szCs w:val="21"/>
        </w:rPr>
        <w:t xml:space="preserve">Order Approval Task — tarea de usuario: "El aprobador revisa y decide APPROVED o REJECTED".</w:t>
      </w:r>
    </w:p>
    <w:p>
      <w:pPr>
        <w:pStyle w:val="ListParagraph"/>
        <w:numPr>
          <w:ilvl w:val="0"/>
          <w:numId w:val="2"/>
        </w:numPr>
        <w:spacing w:after="80" w:line="280"/>
      </w:pPr>
      <w:r>
        <w:rPr>
          <w:color w:val="1A1A1A"/>
          <w:sz w:val="21"/>
          <w:szCs w:val="21"/>
        </w:rPr>
        <w:t xml:space="preserve">Bifurcación: rama Approve / rama Reject.</w:t>
      </w:r>
    </w:p>
    <w:p>
      <w:pPr>
        <w:pStyle w:val="ListParagraph"/>
        <w:numPr>
          <w:ilvl w:val="0"/>
          <w:numId w:val="2"/>
        </w:numPr>
        <w:spacing w:after="80" w:line="280"/>
      </w:pPr>
      <w:r>
        <w:rPr>
          <w:color w:val="1A1A1A"/>
          <w:sz w:val="21"/>
          <w:szCs w:val="21"/>
        </w:rPr>
        <w:t xml:space="preserve">Cada rama invoca "Invoke action receiveApprovalDecision" (acción independiente por rama, mismo backend, distinto valor fijo de decision).</w:t>
      </w:r>
    </w:p>
    <w:p>
      <w:pPr>
        <w:pStyle w:val="ListParagraph"/>
        <w:numPr>
          <w:ilvl w:val="0"/>
          <w:numId w:val="2"/>
        </w:numPr>
        <w:spacing w:after="80" w:line="280"/>
      </w:pPr>
      <w:r>
        <w:rPr>
          <w:color w:val="1A1A1A"/>
          <w:sz w:val="21"/>
          <w:szCs w:val="21"/>
        </w:rPr>
        <w:t xml:space="preserve">End.</w:t>
      </w:r>
    </w:p>
    <w:p>
      <w:pPr>
        <w:spacing w:after="40"/>
      </w:pPr>
    </w:p>
    <w:p>
      <w:pPr>
        <w:pStyle w:val="Heading3"/>
        <w:spacing w:after="100" w:before="220"/>
      </w:pPr>
      <w:r>
        <w:rPr>
          <w:b/>
          <w:bCs/>
          <w:color w:val="1A1A1A"/>
          <w:sz w:val="21"/>
          <w:szCs w:val="21"/>
        </w:rPr>
        <w:t xml:space="preserve">5.2.1 Formulario de la tarea (Order Approval Task)</w:t>
      </w:r>
    </w:p>
    <w:p>
      <w:pPr>
        <w:spacing w:after="140" w:line="300"/>
      </w:pPr>
      <w:r>
        <w:rPr>
          <w:color w:val="1A1A1A"/>
          <w:sz w:val="21"/>
          <w:szCs w:val="21"/>
        </w:rPr>
        <w:t xml:space="preserve">Campos mostrados al aprobador, todos de solo lectura (🔒) excepto Remarks: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4F8A" w:val="clear"/>
            <w:tcMar>
              <w:top w:type="dxa" w:w="100"/>
              <w:left w:type="dxa" w:w="120"/>
              <w:bottom w:type="dxa" w:w="100"/>
              <w:right w:type="dxa" w:w="120"/>
            </w:tcMar>
          </w:tcPr>
          <w:p>
            <w:pPr>
              <w:spacing w:after="0" w:line="260"/>
            </w:pPr>
            <w:r>
              <w:rPr>
                <w:b/>
                <w:bCs/>
                <w:color w:val="FFFFFF"/>
                <w:sz w:val="19"/>
                <w:szCs w:val="19"/>
              </w:rPr>
              <w:t xml:space="preserve">Campo</w:t>
            </w:r>
          </w:p>
        </w:tc>
        <w:tc>
          <w:tcPr>
            <w:tcW w:type="dxa" w:w="4675"/>
            <w:shd w:fill="0B4F8A" w:val="clear"/>
            <w:tcMar>
              <w:top w:type="dxa" w:w="100"/>
              <w:left w:type="dxa" w:w="120"/>
              <w:bottom w:type="dxa" w:w="100"/>
              <w:right w:type="dxa" w:w="120"/>
            </w:tcMar>
          </w:tcPr>
          <w:p>
            <w:pPr>
              <w:spacing w:after="0" w:line="260"/>
            </w:pPr>
            <w:r>
              <w:rPr>
                <w:b/>
                <w:bCs/>
                <w:color w:val="FFFFFF"/>
                <w:sz w:val="19"/>
                <w:szCs w:val="19"/>
              </w:rPr>
              <w:t xml:space="preserve">Editable</w:t>
            </w:r>
          </w:p>
        </w:tc>
      </w:tr>
      <w:tr>
        <w:tc>
          <w:tcPr>
            <w:tcW w:type="dxa" w:w="4675"/>
            <w:tcMar>
              <w:top w:type="dxa" w:w="100"/>
              <w:left w:type="dxa" w:w="120"/>
              <w:bottom w:type="dxa" w:w="100"/>
              <w:right w:type="dxa" w:w="120"/>
            </w:tcMar>
          </w:tcPr>
          <w:p>
            <w:pPr>
              <w:spacing w:after="0" w:line="260"/>
            </w:pPr>
            <w:r>
              <w:rPr>
                <w:b w:val="false"/>
                <w:bCs w:val="false"/>
                <w:color w:val="1A1A1A"/>
                <w:sz w:val="19"/>
                <w:szCs w:val="19"/>
              </w:rPr>
              <w:t xml:space="preserve">Order Number</w:t>
            </w:r>
          </w:p>
        </w:tc>
        <w:tc>
          <w:tcPr>
            <w:tcW w:type="dxa" w:w="4675"/>
            <w:tcMar>
              <w:top w:type="dxa" w:w="100"/>
              <w:left w:type="dxa" w:w="120"/>
              <w:bottom w:type="dxa" w:w="100"/>
              <w:right w:type="dxa" w:w="120"/>
            </w:tcMar>
          </w:tcPr>
          <w:p>
            <w:pPr>
              <w:spacing w:after="0" w:line="260"/>
            </w:pPr>
            <w:r>
              <w:rPr>
                <w:b w:val="false"/>
                <w:bCs w:val="false"/>
                <w:color w:val="1A1A1A"/>
                <w:sz w:val="19"/>
                <w:szCs w:val="19"/>
              </w:rPr>
              <w:t xml:space="preserve">No</w:t>
            </w:r>
          </w:p>
        </w:tc>
      </w:tr>
      <w:tr>
        <w:tc>
          <w:tcPr>
            <w:tcW w:type="dxa" w:w="4675"/>
            <w:tcMar>
              <w:top w:type="dxa" w:w="100"/>
              <w:left w:type="dxa" w:w="120"/>
              <w:bottom w:type="dxa" w:w="100"/>
              <w:right w:type="dxa" w:w="120"/>
            </w:tcMar>
          </w:tcPr>
          <w:p>
            <w:pPr>
              <w:spacing w:after="0" w:line="260"/>
            </w:pPr>
            <w:r>
              <w:rPr>
                <w:b w:val="false"/>
                <w:bCs w:val="false"/>
                <w:color w:val="1A1A1A"/>
                <w:sz w:val="19"/>
                <w:szCs w:val="19"/>
              </w:rPr>
              <w:t xml:space="preserve">Customer</w:t>
            </w:r>
          </w:p>
        </w:tc>
        <w:tc>
          <w:tcPr>
            <w:tcW w:type="dxa" w:w="4675"/>
            <w:tcMar>
              <w:top w:type="dxa" w:w="100"/>
              <w:left w:type="dxa" w:w="120"/>
              <w:bottom w:type="dxa" w:w="100"/>
              <w:right w:type="dxa" w:w="120"/>
            </w:tcMar>
          </w:tcPr>
          <w:p>
            <w:pPr>
              <w:spacing w:after="0" w:line="260"/>
            </w:pPr>
            <w:r>
              <w:rPr>
                <w:b w:val="false"/>
                <w:bCs w:val="false"/>
                <w:color w:val="1A1A1A"/>
                <w:sz w:val="19"/>
                <w:szCs w:val="19"/>
              </w:rPr>
              <w:t xml:space="preserve">No</w:t>
            </w:r>
          </w:p>
        </w:tc>
      </w:tr>
      <w:tr>
        <w:tc>
          <w:tcPr>
            <w:tcW w:type="dxa" w:w="4675"/>
            <w:tcMar>
              <w:top w:type="dxa" w:w="100"/>
              <w:left w:type="dxa" w:w="120"/>
              <w:bottom w:type="dxa" w:w="100"/>
              <w:right w:type="dxa" w:w="120"/>
            </w:tcMar>
          </w:tcPr>
          <w:p>
            <w:pPr>
              <w:spacing w:after="0" w:line="260"/>
            </w:pPr>
            <w:r>
              <w:rPr>
                <w:b w:val="false"/>
                <w:bCs w:val="false"/>
                <w:color w:val="1A1A1A"/>
                <w:sz w:val="19"/>
                <w:szCs w:val="19"/>
              </w:rPr>
              <w:t xml:space="preserve">Customer Email</w:t>
            </w:r>
          </w:p>
        </w:tc>
        <w:tc>
          <w:tcPr>
            <w:tcW w:type="dxa" w:w="4675"/>
            <w:tcMar>
              <w:top w:type="dxa" w:w="100"/>
              <w:left w:type="dxa" w:w="120"/>
              <w:bottom w:type="dxa" w:w="100"/>
              <w:right w:type="dxa" w:w="120"/>
            </w:tcMar>
          </w:tcPr>
          <w:p>
            <w:pPr>
              <w:spacing w:after="0" w:line="260"/>
            </w:pPr>
            <w:r>
              <w:rPr>
                <w:b w:val="false"/>
                <w:bCs w:val="false"/>
                <w:color w:val="1A1A1A"/>
                <w:sz w:val="19"/>
                <w:szCs w:val="19"/>
              </w:rPr>
              <w:t xml:space="preserve">No</w:t>
            </w:r>
          </w:p>
        </w:tc>
      </w:tr>
      <w:tr>
        <w:tc>
          <w:tcPr>
            <w:tcW w:type="dxa" w:w="4675"/>
            <w:tcMar>
              <w:top w:type="dxa" w:w="100"/>
              <w:left w:type="dxa" w:w="120"/>
              <w:bottom w:type="dxa" w:w="100"/>
              <w:right w:type="dxa" w:w="120"/>
            </w:tcMar>
          </w:tcPr>
          <w:p>
            <w:pPr>
              <w:spacing w:after="0" w:line="260"/>
            </w:pPr>
            <w:r>
              <w:rPr>
                <w:b w:val="false"/>
                <w:bCs w:val="false"/>
                <w:color w:val="1A1A1A"/>
                <w:sz w:val="19"/>
                <w:szCs w:val="19"/>
              </w:rPr>
              <w:t xml:space="preserve">Amount</w:t>
            </w:r>
          </w:p>
        </w:tc>
        <w:tc>
          <w:tcPr>
            <w:tcW w:type="dxa" w:w="4675"/>
            <w:tcMar>
              <w:top w:type="dxa" w:w="100"/>
              <w:left w:type="dxa" w:w="120"/>
              <w:bottom w:type="dxa" w:w="100"/>
              <w:right w:type="dxa" w:w="120"/>
            </w:tcMar>
          </w:tcPr>
          <w:p>
            <w:pPr>
              <w:spacing w:after="0" w:line="260"/>
            </w:pPr>
            <w:r>
              <w:rPr>
                <w:b w:val="false"/>
                <w:bCs w:val="false"/>
                <w:color w:val="1A1A1A"/>
                <w:sz w:val="19"/>
                <w:szCs w:val="19"/>
              </w:rPr>
              <w:t xml:space="preserve">No</w:t>
            </w:r>
          </w:p>
        </w:tc>
      </w:tr>
      <w:tr>
        <w:tc>
          <w:tcPr>
            <w:tcW w:type="dxa" w:w="4675"/>
            <w:tcMar>
              <w:top w:type="dxa" w:w="100"/>
              <w:left w:type="dxa" w:w="120"/>
              <w:bottom w:type="dxa" w:w="100"/>
              <w:right w:type="dxa" w:w="120"/>
            </w:tcMar>
          </w:tcPr>
          <w:p>
            <w:pPr>
              <w:spacing w:after="0" w:line="260"/>
            </w:pPr>
            <w:r>
              <w:rPr>
                <w:b w:val="false"/>
                <w:bCs w:val="false"/>
                <w:color w:val="1A1A1A"/>
                <w:sz w:val="19"/>
                <w:szCs w:val="19"/>
              </w:rPr>
              <w:t xml:space="preserve">Currency</w:t>
            </w:r>
          </w:p>
        </w:tc>
        <w:tc>
          <w:tcPr>
            <w:tcW w:type="dxa" w:w="4675"/>
            <w:tcMar>
              <w:top w:type="dxa" w:w="100"/>
              <w:left w:type="dxa" w:w="120"/>
              <w:bottom w:type="dxa" w:w="100"/>
              <w:right w:type="dxa" w:w="120"/>
            </w:tcMar>
          </w:tcPr>
          <w:p>
            <w:pPr>
              <w:spacing w:after="0" w:line="260"/>
            </w:pPr>
            <w:r>
              <w:rPr>
                <w:b w:val="false"/>
                <w:bCs w:val="false"/>
                <w:color w:val="1A1A1A"/>
                <w:sz w:val="19"/>
                <w:szCs w:val="19"/>
              </w:rPr>
              <w:t xml:space="preserve">No</w:t>
            </w:r>
          </w:p>
        </w:tc>
      </w:tr>
      <w:tr>
        <w:tc>
          <w:tcPr>
            <w:tcW w:type="dxa" w:w="4675"/>
            <w:tcMar>
              <w:top w:type="dxa" w:w="100"/>
              <w:left w:type="dxa" w:w="120"/>
              <w:bottom w:type="dxa" w:w="100"/>
              <w:right w:type="dxa" w:w="120"/>
            </w:tcMar>
          </w:tcPr>
          <w:p>
            <w:pPr>
              <w:spacing w:after="0" w:line="260"/>
            </w:pPr>
            <w:r>
              <w:rPr>
                <w:b w:val="false"/>
                <w:bCs w:val="false"/>
                <w:color w:val="1A1A1A"/>
                <w:sz w:val="19"/>
                <w:szCs w:val="19"/>
              </w:rPr>
              <w:t xml:space="preserve">Requested By</w:t>
            </w:r>
          </w:p>
        </w:tc>
        <w:tc>
          <w:tcPr>
            <w:tcW w:type="dxa" w:w="4675"/>
            <w:tcMar>
              <w:top w:type="dxa" w:w="100"/>
              <w:left w:type="dxa" w:w="120"/>
              <w:bottom w:type="dxa" w:w="100"/>
              <w:right w:type="dxa" w:w="120"/>
            </w:tcMar>
          </w:tcPr>
          <w:p>
            <w:pPr>
              <w:spacing w:after="0" w:line="260"/>
            </w:pPr>
            <w:r>
              <w:rPr>
                <w:b w:val="false"/>
                <w:bCs w:val="false"/>
                <w:color w:val="1A1A1A"/>
                <w:sz w:val="19"/>
                <w:szCs w:val="19"/>
              </w:rPr>
              <w:t xml:space="preserve">No</w:t>
            </w:r>
          </w:p>
        </w:tc>
      </w:tr>
      <w:tr>
        <w:tc>
          <w:tcPr>
            <w:tcW w:type="dxa" w:w="4675"/>
            <w:tcMar>
              <w:top w:type="dxa" w:w="100"/>
              <w:left w:type="dxa" w:w="120"/>
              <w:bottom w:type="dxa" w:w="100"/>
              <w:right w:type="dxa" w:w="120"/>
            </w:tcMar>
          </w:tcPr>
          <w:p>
            <w:pPr>
              <w:spacing w:after="0" w:line="260"/>
            </w:pPr>
            <w:r>
              <w:rPr>
                <w:b w:val="false"/>
                <w:bCs w:val="false"/>
                <w:color w:val="1A1A1A"/>
                <w:sz w:val="19"/>
                <w:szCs w:val="19"/>
              </w:rPr>
              <w:t xml:space="preserve">Remarks</w:t>
            </w:r>
          </w:p>
        </w:tc>
        <w:tc>
          <w:tcPr>
            <w:tcW w:type="dxa" w:w="4675"/>
            <w:tcMar>
              <w:top w:type="dxa" w:w="100"/>
              <w:left w:type="dxa" w:w="120"/>
              <w:bottom w:type="dxa" w:w="100"/>
              <w:right w:type="dxa" w:w="120"/>
            </w:tcMar>
          </w:tcPr>
          <w:p>
            <w:pPr>
              <w:spacing w:after="0" w:line="260"/>
            </w:pPr>
            <w:r>
              <w:rPr>
                <w:b w:val="false"/>
                <w:bCs w:val="false"/>
                <w:color w:val="1A1A1A"/>
                <w:sz w:val="19"/>
                <w:szCs w:val="19"/>
              </w:rPr>
              <w:t xml:space="preserve">Sí — texto libre que el aprobador completa</w:t>
            </w:r>
          </w:p>
        </w:tc>
      </w:tr>
    </w:tbl>
    <w:p>
      <w:pPr>
        <w:spacing w:after="40"/>
      </w:pPr>
    </w:p>
    <w:p>
      <w:pPr>
        <w:pStyle w:val="Heading3"/>
        <w:spacing w:after="100" w:before="220"/>
      </w:pPr>
      <w:r>
        <w:rPr>
          <w:b/>
          <w:bCs/>
          <w:color w:val="1A1A1A"/>
          <w:sz w:val="21"/>
          <w:szCs w:val="21"/>
        </w:rPr>
        <w:t xml:space="preserve">5.2.2 Configuración del step "Invoke action receiveApprovalDecision"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Propiedad</w:t>
            </w:r>
          </w:p>
        </w:tc>
        <w:tc>
          <w:tcPr>
            <w:tcW w:type="dxa" w:w="61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Action</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Invoke action receiveApprovalDecision</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Project</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Service for namespace OrdersService 1.0.0</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Destination Variable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btp_capstone_orders_srv</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Retry after error</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Desactivado</w:t>
            </w:r>
          </w:p>
        </w:tc>
      </w:tr>
    </w:tbl>
    <w:p>
      <w:pPr>
        <w:spacing w:after="140" w:line="300"/>
      </w:pPr>
      <w:r>
        <w:rPr>
          <w:color w:val="1A1A1A"/>
          <w:sz w:val="21"/>
          <w:szCs w:val="21"/>
        </w:rPr>
        <w:t xml:space="preserve">Mapeo de Inputs (rama Approve; la rama Reject es análoga con decision = "REJECTED"):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0B4F8A" w:val="clear"/>
            <w:tcMar>
              <w:top w:type="dxa" w:w="100"/>
              <w:left w:type="dxa" w:w="120"/>
              <w:bottom w:type="dxa" w:w="100"/>
              <w:right w:type="dxa" w:w="120"/>
            </w:tcMar>
          </w:tcPr>
          <w:p>
            <w:pPr>
              <w:spacing w:after="0" w:line="260"/>
            </w:pPr>
            <w:r>
              <w:rPr>
                <w:b/>
                <w:bCs/>
                <w:color w:val="FFFFFF"/>
                <w:sz w:val="19"/>
                <w:szCs w:val="19"/>
              </w:rPr>
              <w:t xml:space="preserve">Parámetro de la acción</w:t>
            </w:r>
          </w:p>
        </w:tc>
        <w:tc>
          <w:tcPr>
            <w:tcW w:type="dxa" w:w="5950"/>
            <w:shd w:fill="0B4F8A" w:val="clear"/>
            <w:tcMar>
              <w:top w:type="dxa" w:w="100"/>
              <w:left w:type="dxa" w:w="120"/>
              <w:bottom w:type="dxa" w:w="100"/>
              <w:right w:type="dxa" w:w="120"/>
            </w:tcMar>
          </w:tcPr>
          <w:p>
            <w:pPr>
              <w:spacing w:after="0" w:line="260"/>
            </w:pPr>
            <w:r>
              <w:rPr>
                <w:b/>
                <w:bCs/>
                <w:color w:val="FFFFFF"/>
                <w:sz w:val="19"/>
                <w:szCs w:val="19"/>
              </w:rPr>
              <w:t xml:space="preserve">Origen (variable del proceso)</w:t>
            </w:r>
          </w:p>
        </w:tc>
      </w:tr>
      <w:tr>
        <w:tc>
          <w:tcPr>
            <w:tcW w:type="dxa" w:w="3400"/>
            <w:tcMar>
              <w:top w:type="dxa" w:w="100"/>
              <w:left w:type="dxa" w:w="120"/>
              <w:bottom w:type="dxa" w:w="100"/>
              <w:right w:type="dxa" w:w="120"/>
            </w:tcMar>
          </w:tcPr>
          <w:p>
            <w:pPr>
              <w:spacing w:after="0" w:line="260"/>
            </w:pPr>
            <w:r>
              <w:rPr>
                <w:b w:val="false"/>
                <w:bCs w:val="false"/>
                <w:color w:val="1A1A1A"/>
                <w:sz w:val="19"/>
                <w:szCs w:val="19"/>
              </w:rPr>
              <w:t xml:space="preserve">ID *(key)*</w:t>
            </w:r>
          </w:p>
        </w:tc>
        <w:tc>
          <w:tcPr>
            <w:tcW w:type="dxa" w:w="5950"/>
            <w:tcMar>
              <w:top w:type="dxa" w:w="100"/>
              <w:left w:type="dxa" w:w="120"/>
              <w:bottom w:type="dxa" w:w="100"/>
              <w:right w:type="dxa" w:w="120"/>
            </w:tcMar>
          </w:tcPr>
          <w:p>
            <w:pPr>
              <w:spacing w:after="0" w:line="260"/>
            </w:pPr>
            <w:r>
              <w:rPr>
                <w:b w:val="false"/>
                <w:bCs w:val="false"/>
                <w:color w:val="1A1A1A"/>
                <w:sz w:val="19"/>
                <w:szCs w:val="19"/>
              </w:rPr>
              <w:t xml:space="preserve">orderID</w:t>
            </w:r>
          </w:p>
        </w:tc>
      </w:tr>
      <w:tr>
        <w:tc>
          <w:tcPr>
            <w:tcW w:type="dxa" w:w="3400"/>
            <w:tcMar>
              <w:top w:type="dxa" w:w="100"/>
              <w:left w:type="dxa" w:w="120"/>
              <w:bottom w:type="dxa" w:w="100"/>
              <w:right w:type="dxa" w:w="120"/>
            </w:tcMar>
          </w:tcPr>
          <w:p>
            <w:pPr>
              <w:spacing w:after="0" w:line="260"/>
            </w:pPr>
            <w:r>
              <w:rPr>
                <w:b w:val="false"/>
                <w:bCs w:val="false"/>
                <w:color w:val="1A1A1A"/>
                <w:sz w:val="19"/>
                <w:szCs w:val="19"/>
              </w:rPr>
              <w:t xml:space="preserve">decision</w:t>
            </w:r>
          </w:p>
        </w:tc>
        <w:tc>
          <w:tcPr>
            <w:tcW w:type="dxa" w:w="5950"/>
            <w:tcMar>
              <w:top w:type="dxa" w:w="100"/>
              <w:left w:type="dxa" w:w="120"/>
              <w:bottom w:type="dxa" w:w="100"/>
              <w:right w:type="dxa" w:w="120"/>
            </w:tcMar>
          </w:tcPr>
          <w:p>
            <w:pPr>
              <w:spacing w:after="0" w:line="260"/>
            </w:pPr>
            <w:r>
              <w:rPr>
                <w:b w:val="false"/>
                <w:bCs w:val="false"/>
                <w:color w:val="1A1A1A"/>
                <w:sz w:val="19"/>
                <w:szCs w:val="19"/>
              </w:rPr>
              <w:t xml:space="preserve">"APPROVED" (valor fijo por rama)</w:t>
            </w:r>
          </w:p>
        </w:tc>
      </w:tr>
      <w:tr>
        <w:tc>
          <w:tcPr>
            <w:tcW w:type="dxa" w:w="3400"/>
            <w:tcMar>
              <w:top w:type="dxa" w:w="100"/>
              <w:left w:type="dxa" w:w="120"/>
              <w:bottom w:type="dxa" w:w="100"/>
              <w:right w:type="dxa" w:w="120"/>
            </w:tcMar>
          </w:tcPr>
          <w:p>
            <w:pPr>
              <w:spacing w:after="0" w:line="260"/>
            </w:pPr>
            <w:r>
              <w:rPr>
                <w:b w:val="false"/>
                <w:bCs w:val="false"/>
                <w:color w:val="1A1A1A"/>
                <w:sz w:val="19"/>
                <w:szCs w:val="19"/>
              </w:rPr>
              <w:t xml:space="preserve">approvedBy</w:t>
            </w:r>
          </w:p>
        </w:tc>
        <w:tc>
          <w:tcPr>
            <w:tcW w:type="dxa" w:w="5950"/>
            <w:tcMar>
              <w:top w:type="dxa" w:w="100"/>
              <w:left w:type="dxa" w:w="120"/>
              <w:bottom w:type="dxa" w:w="100"/>
              <w:right w:type="dxa" w:w="120"/>
            </w:tcMar>
          </w:tcPr>
          <w:p>
            <w:pPr>
              <w:spacing w:after="0" w:line="260"/>
            </w:pPr>
            <w:r>
              <w:rPr>
                <w:b w:val="false"/>
                <w:bCs w:val="false"/>
                <w:color w:val="1A1A1A"/>
                <w:sz w:val="19"/>
                <w:szCs w:val="19"/>
              </w:rPr>
              <w:t xml:space="preserve">Started By (usuario que decide la tarea)</w:t>
            </w:r>
          </w:p>
        </w:tc>
      </w:tr>
      <w:tr>
        <w:tc>
          <w:tcPr>
            <w:tcW w:type="dxa" w:w="3400"/>
            <w:tcMar>
              <w:top w:type="dxa" w:w="100"/>
              <w:left w:type="dxa" w:w="120"/>
              <w:bottom w:type="dxa" w:w="100"/>
              <w:right w:type="dxa" w:w="120"/>
            </w:tcMar>
          </w:tcPr>
          <w:p>
            <w:pPr>
              <w:spacing w:after="0" w:line="260"/>
            </w:pPr>
            <w:r>
              <w:rPr>
                <w:b w:val="false"/>
                <w:bCs w:val="false"/>
                <w:color w:val="1A1A1A"/>
                <w:sz w:val="19"/>
                <w:szCs w:val="19"/>
              </w:rPr>
              <w:t xml:space="preserve">remarks</w:t>
            </w:r>
          </w:p>
        </w:tc>
        <w:tc>
          <w:tcPr>
            <w:tcW w:type="dxa" w:w="5950"/>
            <w:tcMar>
              <w:top w:type="dxa" w:w="100"/>
              <w:left w:type="dxa" w:w="120"/>
              <w:bottom w:type="dxa" w:w="100"/>
              <w:right w:type="dxa" w:w="120"/>
            </w:tcMar>
          </w:tcPr>
          <w:p>
            <w:pPr>
              <w:spacing w:after="0" w:line="260"/>
            </w:pPr>
            <w:r>
              <w:rPr>
                <w:b w:val="false"/>
                <w:bCs w:val="false"/>
                <w:color w:val="1A1A1A"/>
                <w:sz w:val="19"/>
                <w:szCs w:val="19"/>
              </w:rPr>
              <w:t xml:space="preserve">Remarks (campo del formulario)</w:t>
            </w:r>
          </w:p>
        </w:tc>
      </w:tr>
    </w:tbl>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Coherencia con el backend</w:t>
            </w:r>
          </w:p>
          <w:p>
            <w:pPr>
              <w:spacing w:after="0" w:line="280"/>
            </w:pPr>
            <w:r>
              <w:rPr>
                <w:color w:val="1A1A1A"/>
                <w:sz w:val="20"/>
                <w:szCs w:val="20"/>
              </w:rPr>
              <w:t xml:space="preserve">Este mapeo corresponde exactamente a la firma de receiveApprovalDecision(decision, approvedBy, remarks) definida en orders-service.cds, y a la clave ID exigida por CAP para localizar el registro — documentado en "Capstone Backend — Documentación", sección 4.4.</w:t>
            </w:r>
          </w:p>
        </w:tc>
      </w:tr>
    </w:tbl>
    <w:p>
      <w:r>
        <w:br w:type="page"/>
      </w:r>
    </w:p>
    <w:p>
      <w:pPr>
        <w:pStyle w:val="Heading1"/>
        <w:pBdr>
          <w:bottom w:val="single" w:color="0B4F8A" w:sz="6" w:space="4"/>
        </w:pBdr>
        <w:spacing w:after="200" w:before="400"/>
      </w:pPr>
      <w:r>
        <w:rPr>
          <w:b/>
          <w:bCs/>
          <w:color w:val="0B4F8A"/>
          <w:sz w:val="30"/>
          <w:szCs w:val="30"/>
        </w:rPr>
        <w:t xml:space="preserve">6. SAP Integration Suite (CPI)</w:t>
      </w:r>
    </w:p>
    <w:p>
      <w:pPr>
        <w:pStyle w:val="Heading2"/>
        <w:spacing w:after="140" w:before="300"/>
      </w:pPr>
      <w:r>
        <w:rPr>
          <w:b/>
          <w:bCs/>
          <w:color w:val="0B4F8A"/>
          <w:sz w:val="24"/>
          <w:szCs w:val="24"/>
        </w:rPr>
        <w:t xml:space="preserve">6.1 iFlow — Capstone Order 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Propiedad</w:t>
            </w:r>
          </w:p>
        </w:tc>
        <w:tc>
          <w:tcPr>
            <w:tcW w:type="dxa" w:w="61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Paquete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Capacitacion Axigma</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Nombre del iFlow</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Capstone Order Notifications</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Deployment Status</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Deployed (Jul 07, 2026, 01:11:59)</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Runtime Status</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Started</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Locked by</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jesus.blanco@veliontech.com.pe</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Endpoint (Sender)</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HTTPS → /capstone/order-notification</w:t>
            </w:r>
          </w:p>
        </w:tc>
      </w:tr>
    </w:tbl>
    <w:p>
      <w:pPr>
        <w:spacing w:after="140" w:line="300"/>
      </w:pPr>
      <w:r>
        <w:rPr>
          <w:color w:val="1A1A1A"/>
          <w:sz w:val="21"/>
          <w:szCs w:val="21"/>
        </w:rPr>
        <w:t xml:space="preserve">Flujo: Sender (HTTPS) → Start → Groovy Script 1 (arma el correo) → Send 1 (Mail, vía SMTP) → End → Receiver.</w:t>
      </w:r>
    </w:p>
    <w:p>
      <w:pPr>
        <w:spacing w:after="50"/>
      </w:pPr>
    </w:p>
    <w:p>
      <w:pPr>
        <w:pStyle w:val="Heading2"/>
        <w:spacing w:after="140" w:before="300"/>
      </w:pPr>
      <w:r>
        <w:rPr>
          <w:b/>
          <w:bCs/>
          <w:color w:val="0B4F8A"/>
          <w:sz w:val="24"/>
          <w:szCs w:val="24"/>
        </w:rPr>
        <w:t xml:space="preserve">6.2 Groovy Script — armado del correo</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0" w:line="250"/>
            </w:pPr>
            <w:r>
              <w:rPr>
                <w:rFonts w:ascii="Consolas" w:cs="Consolas" w:eastAsia="Consolas" w:hAnsi="Consolas"/>
                <w:color w:val="2B2B2B"/>
                <w:sz w:val="17"/>
                <w:szCs w:val="17"/>
              </w:rPr>
              <w:t xml:space="preserve">import com.sap.gateway.ip.core.customdev.util.Message</w:t>
            </w:r>
          </w:p>
          <w:p>
            <w:pPr>
              <w:spacing w:after="0" w:line="250"/>
            </w:pPr>
            <w:r>
              <w:rPr>
                <w:rFonts w:ascii="Consolas" w:cs="Consolas" w:eastAsia="Consolas" w:hAnsi="Consolas"/>
                <w:color w:val="2B2B2B"/>
                <w:sz w:val="17"/>
                <w:szCs w:val="17"/>
              </w:rPr>
              <w:t xml:space="preserve">import groovy.json.JsonSlurper</w:t>
            </w:r>
          </w:p>
          <w:p>
            <w:pPr>
              <w:spacing w:after="0" w:line="250"/>
            </w:pPr>
            <w:r>
              <w:rPr>
                <w:rFonts w:ascii="Consolas" w:cs="Consolas" w:eastAsia="Consolas" w:hAnsi="Consolas"/>
                <w:color w:val="2B2B2B"/>
                <w:sz w:val="17"/>
                <w:szCs w:val="17"/>
              </w:rPr>
              <w:t xml:space="preserve"> </w:t>
            </w:r>
          </w:p>
          <w:p>
            <w:pPr>
              <w:spacing w:after="0" w:line="250"/>
            </w:pPr>
            <w:r>
              <w:rPr>
                <w:rFonts w:ascii="Consolas" w:cs="Consolas" w:eastAsia="Consolas" w:hAnsi="Consolas"/>
                <w:color w:val="2B2B2B"/>
                <w:sz w:val="17"/>
                <w:szCs w:val="17"/>
              </w:rPr>
              <w:t xml:space="preserve">def Message processData(Message message) {</w:t>
            </w:r>
          </w:p>
          <w:p>
            <w:pPr>
              <w:spacing w:after="0" w:line="250"/>
            </w:pPr>
            <w:r>
              <w:rPr>
                <w:rFonts w:ascii="Consolas" w:cs="Consolas" w:eastAsia="Consolas" w:hAnsi="Consolas"/>
                <w:color w:val="2B2B2B"/>
                <w:sz w:val="17"/>
                <w:szCs w:val="17"/>
              </w:rPr>
              <w:t xml:space="preserve">  def json = new JsonSlurper().parse(message.getBody(java.io.Reader.class))</w:t>
            </w:r>
          </w:p>
          <w:p>
            <w:pPr>
              <w:spacing w:after="0" w:line="250"/>
            </w:pPr>
            <w:r>
              <w:rPr>
                <w:rFonts w:ascii="Consolas" w:cs="Consolas" w:eastAsia="Consolas" w:hAnsi="Consolas"/>
                <w:color w:val="2B2B2B"/>
                <w:sz w:val="17"/>
                <w:szCs w:val="17"/>
              </w:rPr>
              <w:t xml:space="preserve"> </w:t>
            </w:r>
          </w:p>
          <w:p>
            <w:pPr>
              <w:spacing w:after="0" w:line="250"/>
            </w:pPr>
            <w:r>
              <w:rPr>
                <w:rFonts w:ascii="Consolas" w:cs="Consolas" w:eastAsia="Consolas" w:hAnsi="Consolas"/>
                <w:color w:val="2B2B2B"/>
                <w:sz w:val="17"/>
                <w:szCs w:val="17"/>
              </w:rPr>
              <w:t xml:space="preserve">  def orderNumber = json.orderNumber</w:t>
            </w:r>
          </w:p>
          <w:p>
            <w:pPr>
              <w:spacing w:after="0" w:line="250"/>
            </w:pPr>
            <w:r>
              <w:rPr>
                <w:rFonts w:ascii="Consolas" w:cs="Consolas" w:eastAsia="Consolas" w:hAnsi="Consolas"/>
                <w:color w:val="2B2B2B"/>
                <w:sz w:val="17"/>
                <w:szCs w:val="17"/>
              </w:rPr>
              <w:t xml:space="preserve">  def customer     = json.customer</w:t>
            </w:r>
          </w:p>
          <w:p>
            <w:pPr>
              <w:spacing w:after="0" w:line="250"/>
            </w:pPr>
            <w:r>
              <w:rPr>
                <w:rFonts w:ascii="Consolas" w:cs="Consolas" w:eastAsia="Consolas" w:hAnsi="Consolas"/>
                <w:color w:val="2B2B2B"/>
                <w:sz w:val="17"/>
                <w:szCs w:val="17"/>
              </w:rPr>
              <w:t xml:space="preserve">  def decision     = json.decision</w:t>
            </w:r>
          </w:p>
          <w:p>
            <w:pPr>
              <w:spacing w:after="0" w:line="250"/>
            </w:pPr>
            <w:r>
              <w:rPr>
                <w:rFonts w:ascii="Consolas" w:cs="Consolas" w:eastAsia="Consolas" w:hAnsi="Consolas"/>
                <w:color w:val="2B2B2B"/>
                <w:sz w:val="17"/>
                <w:szCs w:val="17"/>
              </w:rPr>
              <w:t xml:space="preserve">  def remarks      = json.remarks ?: "Sin comentarios."</w:t>
            </w:r>
          </w:p>
          <w:p>
            <w:pPr>
              <w:spacing w:after="0" w:line="250"/>
            </w:pPr>
            <w:r>
              <w:rPr>
                <w:rFonts w:ascii="Consolas" w:cs="Consolas" w:eastAsia="Consolas" w:hAnsi="Consolas"/>
                <w:color w:val="2B2B2B"/>
                <w:sz w:val="17"/>
                <w:szCs w:val="17"/>
              </w:rPr>
              <w:t xml:space="preserve">  def toEmail      = json.customerEmail</w:t>
            </w:r>
          </w:p>
          <w:p>
            <w:pPr>
              <w:spacing w:after="0" w:line="250"/>
            </w:pPr>
            <w:r>
              <w:rPr>
                <w:rFonts w:ascii="Consolas" w:cs="Consolas" w:eastAsia="Consolas" w:hAnsi="Consolas"/>
                <w:color w:val="2B2B2B"/>
                <w:sz w:val="17"/>
                <w:szCs w:val="17"/>
              </w:rPr>
              <w:t xml:space="preserve">  def amount       = json.amount</w:t>
            </w:r>
          </w:p>
          <w:p>
            <w:pPr>
              <w:spacing w:after="0" w:line="250"/>
            </w:pPr>
            <w:r>
              <w:rPr>
                <w:rFonts w:ascii="Consolas" w:cs="Consolas" w:eastAsia="Consolas" w:hAnsi="Consolas"/>
                <w:color w:val="2B2B2B"/>
                <w:sz w:val="17"/>
                <w:szCs w:val="17"/>
              </w:rPr>
              <w:t xml:space="preserve">  def currency     = json.currency</w:t>
            </w:r>
          </w:p>
          <w:p>
            <w:pPr>
              <w:spacing w:after="0" w:line="250"/>
            </w:pPr>
            <w:r>
              <w:rPr>
                <w:rFonts w:ascii="Consolas" w:cs="Consolas" w:eastAsia="Consolas" w:hAnsi="Consolas"/>
                <w:color w:val="2B2B2B"/>
                <w:sz w:val="17"/>
                <w:szCs w:val="17"/>
              </w:rPr>
              <w:t xml:space="preserve"> </w:t>
            </w:r>
          </w:p>
          <w:p>
            <w:pPr>
              <w:spacing w:after="0" w:line="250"/>
            </w:pPr>
            <w:r>
              <w:rPr>
                <w:rFonts w:ascii="Consolas" w:cs="Consolas" w:eastAsia="Consolas" w:hAnsi="Consolas"/>
                <w:color w:val="2B2B2B"/>
                <w:sz w:val="17"/>
                <w:szCs w:val="17"/>
              </w:rPr>
              <w:t xml:space="preserve">  def subject; def htmlBody</w:t>
            </w:r>
          </w:p>
          <w:p>
            <w:pPr>
              <w:spacing w:after="0" w:line="250"/>
            </w:pPr>
            <w:r>
              <w:rPr>
                <w:rFonts w:ascii="Consolas" w:cs="Consolas" w:eastAsia="Consolas" w:hAnsi="Consolas"/>
                <w:color w:val="2B2B2B"/>
                <w:sz w:val="17"/>
                <w:szCs w:val="17"/>
              </w:rPr>
              <w:t xml:space="preserve"> </w:t>
            </w:r>
          </w:p>
          <w:p>
            <w:pPr>
              <w:spacing w:after="0" w:line="250"/>
            </w:pPr>
            <w:r>
              <w:rPr>
                <w:rFonts w:ascii="Consolas" w:cs="Consolas" w:eastAsia="Consolas" w:hAnsi="Consolas"/>
                <w:color w:val="2B2B2B"/>
                <w:sz w:val="17"/>
                <w:szCs w:val="17"/>
              </w:rPr>
              <w:t xml:space="preserve">  if (decision == "APPROVED") {</w:t>
            </w:r>
          </w:p>
          <w:p>
            <w:pPr>
              <w:spacing w:after="0" w:line="250"/>
            </w:pPr>
            <w:r>
              <w:rPr>
                <w:rFonts w:ascii="Consolas" w:cs="Consolas" w:eastAsia="Consolas" w:hAnsi="Consolas"/>
                <w:color w:val="2B2B2B"/>
                <w:sz w:val="17"/>
                <w:szCs w:val="17"/>
              </w:rPr>
              <w:t xml:space="preserve">    subject = "Orden ${orderNumber} - Aprobada"</w:t>
            </w:r>
          </w:p>
          <w:p>
            <w:pPr>
              <w:spacing w:after="0" w:line="250"/>
            </w:pPr>
            <w:r>
              <w:rPr>
                <w:rFonts w:ascii="Consolas" w:cs="Consolas" w:eastAsia="Consolas" w:hAnsi="Consolas"/>
                <w:color w:val="2B2B2B"/>
                <w:sz w:val="17"/>
                <w:szCs w:val="17"/>
              </w:rPr>
              <w:t xml:space="preserve">    htmlBody = """&lt;html&gt;&lt;body&gt;</w:t>
            </w:r>
          </w:p>
          <w:p>
            <w:pPr>
              <w:spacing w:after="0" w:line="250"/>
            </w:pPr>
            <w:r>
              <w:rPr>
                <w:rFonts w:ascii="Consolas" w:cs="Consolas" w:eastAsia="Consolas" w:hAnsi="Consolas"/>
                <w:color w:val="2B2B2B"/>
                <w:sz w:val="17"/>
                <w:szCs w:val="17"/>
              </w:rPr>
              <w:t xml:space="preserve">      &lt;p&gt;Estimado(a) ${customer},&lt;/p&gt;</w:t>
            </w:r>
          </w:p>
          <w:p>
            <w:pPr>
              <w:spacing w:after="0" w:line="250"/>
            </w:pPr>
            <w:r>
              <w:rPr>
                <w:rFonts w:ascii="Consolas" w:cs="Consolas" w:eastAsia="Consolas" w:hAnsi="Consolas"/>
                <w:color w:val="2B2B2B"/>
                <w:sz w:val="17"/>
                <w:szCs w:val="17"/>
              </w:rPr>
              <w:t xml:space="preserve">      &lt;p&gt;Su orden &lt;b&gt;${orderNumber}&lt;/b&gt; por ${amount} ${currency} ha sido &lt;b&gt;APROBADA&lt;/b&gt;.&lt;/p&gt;</w:t>
            </w:r>
          </w:p>
          <w:p>
            <w:pPr>
              <w:spacing w:after="0" w:line="250"/>
            </w:pPr>
            <w:r>
              <w:rPr>
                <w:rFonts w:ascii="Consolas" w:cs="Consolas" w:eastAsia="Consolas" w:hAnsi="Consolas"/>
                <w:color w:val="2B2B2B"/>
                <w:sz w:val="17"/>
                <w:szCs w:val="17"/>
              </w:rPr>
              <w:t xml:space="preserve">      &lt;p&gt;Comentarios: ${remarks}&lt;/p&gt;</w:t>
            </w:r>
          </w:p>
          <w:p>
            <w:pPr>
              <w:spacing w:after="0" w:line="250"/>
            </w:pPr>
            <w:r>
              <w:rPr>
                <w:rFonts w:ascii="Consolas" w:cs="Consolas" w:eastAsia="Consolas" w:hAnsi="Consolas"/>
                <w:color w:val="2B2B2B"/>
                <w:sz w:val="17"/>
                <w:szCs w:val="17"/>
              </w:rPr>
              <w:t xml:space="preserve">      &lt;p&gt;Saludos,&lt;br/&gt;Equipo de Aprobaciones&lt;/p&gt;</w:t>
            </w:r>
          </w:p>
          <w:p>
            <w:pPr>
              <w:spacing w:after="0" w:line="250"/>
            </w:pPr>
            <w:r>
              <w:rPr>
                <w:rFonts w:ascii="Consolas" w:cs="Consolas" w:eastAsia="Consolas" w:hAnsi="Consolas"/>
                <w:color w:val="2B2B2B"/>
                <w:sz w:val="17"/>
                <w:szCs w:val="17"/>
              </w:rPr>
              <w:t xml:space="preserve">      &lt;/body&gt;&lt;/html&gt;"""</w:t>
            </w:r>
          </w:p>
          <w:p>
            <w:pPr>
              <w:spacing w:after="0" w:line="250"/>
            </w:pPr>
            <w:r>
              <w:rPr>
                <w:rFonts w:ascii="Consolas" w:cs="Consolas" w:eastAsia="Consolas" w:hAnsi="Consolas"/>
                <w:color w:val="2B2B2B"/>
                <w:sz w:val="17"/>
                <w:szCs w:val="17"/>
              </w:rPr>
              <w:t xml:space="preserve">  } else {</w:t>
            </w:r>
          </w:p>
          <w:p>
            <w:pPr>
              <w:spacing w:after="0" w:line="250"/>
            </w:pPr>
            <w:r>
              <w:rPr>
                <w:rFonts w:ascii="Consolas" w:cs="Consolas" w:eastAsia="Consolas" w:hAnsi="Consolas"/>
                <w:color w:val="2B2B2B"/>
                <w:sz w:val="17"/>
                <w:szCs w:val="17"/>
              </w:rPr>
              <w:t xml:space="preserve">    subject = "Orden ${orderNumber} - Rechazada"</w:t>
            </w:r>
          </w:p>
          <w:p>
            <w:pPr>
              <w:spacing w:after="0" w:line="250"/>
            </w:pPr>
            <w:r>
              <w:rPr>
                <w:rFonts w:ascii="Consolas" w:cs="Consolas" w:eastAsia="Consolas" w:hAnsi="Consolas"/>
                <w:color w:val="2B2B2B"/>
                <w:sz w:val="17"/>
                <w:szCs w:val="17"/>
              </w:rPr>
              <w:t xml:space="preserve">    htmlBody = """&lt;html&gt;&lt;body&gt;</w:t>
            </w:r>
          </w:p>
          <w:p>
            <w:pPr>
              <w:spacing w:after="0" w:line="250"/>
            </w:pPr>
            <w:r>
              <w:rPr>
                <w:rFonts w:ascii="Consolas" w:cs="Consolas" w:eastAsia="Consolas" w:hAnsi="Consolas"/>
                <w:color w:val="2B2B2B"/>
                <w:sz w:val="17"/>
                <w:szCs w:val="17"/>
              </w:rPr>
              <w:t xml:space="preserve">      &lt;p&gt;Estimado(a) ${customer},&lt;/p&gt;</w:t>
            </w:r>
          </w:p>
          <w:p>
            <w:pPr>
              <w:spacing w:after="0" w:line="250"/>
            </w:pPr>
            <w:r>
              <w:rPr>
                <w:rFonts w:ascii="Consolas" w:cs="Consolas" w:eastAsia="Consolas" w:hAnsi="Consolas"/>
                <w:color w:val="2B2B2B"/>
                <w:sz w:val="17"/>
                <w:szCs w:val="17"/>
              </w:rPr>
              <w:t xml:space="preserve">      &lt;p&gt;Lamentamos informarle que su orden &lt;b&gt;${orderNumber}&lt;/b&gt; por ${amount} ${currency} ha sido &lt;b&gt;RECHAZADA&lt;/b&gt;.&lt;/p&gt;</w:t>
            </w:r>
          </w:p>
          <w:p>
            <w:pPr>
              <w:spacing w:after="0" w:line="250"/>
            </w:pPr>
            <w:r>
              <w:rPr>
                <w:rFonts w:ascii="Consolas" w:cs="Consolas" w:eastAsia="Consolas" w:hAnsi="Consolas"/>
                <w:color w:val="2B2B2B"/>
                <w:sz w:val="17"/>
                <w:szCs w:val="17"/>
              </w:rPr>
              <w:t xml:space="preserve">      &lt;p&gt;Motivo: ${remarks}&lt;/p&gt;</w:t>
            </w:r>
          </w:p>
          <w:p>
            <w:pPr>
              <w:spacing w:after="0" w:line="250"/>
            </w:pPr>
            <w:r>
              <w:rPr>
                <w:rFonts w:ascii="Consolas" w:cs="Consolas" w:eastAsia="Consolas" w:hAnsi="Consolas"/>
                <w:color w:val="2B2B2B"/>
                <w:sz w:val="17"/>
                <w:szCs w:val="17"/>
              </w:rPr>
              <w:t xml:space="preserve">      &lt;p&gt;Saludos,&lt;br/&gt;Equipo de Aprobaciones&lt;/p&gt;</w:t>
            </w:r>
          </w:p>
          <w:p>
            <w:pPr>
              <w:spacing w:after="0" w:line="250"/>
            </w:pPr>
            <w:r>
              <w:rPr>
                <w:rFonts w:ascii="Consolas" w:cs="Consolas" w:eastAsia="Consolas" w:hAnsi="Consolas"/>
                <w:color w:val="2B2B2B"/>
                <w:sz w:val="17"/>
                <w:szCs w:val="17"/>
              </w:rPr>
              <w:t xml:space="preserve">      &lt;/body&gt;&lt;/html&gt;"""</w:t>
            </w:r>
          </w:p>
          <w:p>
            <w:pPr>
              <w:spacing w:after="0" w:line="250"/>
            </w:pPr>
            <w:r>
              <w:rPr>
                <w:rFonts w:ascii="Consolas" w:cs="Consolas" w:eastAsia="Consolas" w:hAnsi="Consolas"/>
                <w:color w:val="2B2B2B"/>
                <w:sz w:val="17"/>
                <w:szCs w:val="17"/>
              </w:rPr>
              <w:t xml:space="preserve">  }</w:t>
            </w:r>
          </w:p>
          <w:p>
            <w:pPr>
              <w:spacing w:after="0" w:line="250"/>
            </w:pPr>
            <w:r>
              <w:rPr>
                <w:rFonts w:ascii="Consolas" w:cs="Consolas" w:eastAsia="Consolas" w:hAnsi="Consolas"/>
                <w:color w:val="2B2B2B"/>
                <w:sz w:val="17"/>
                <w:szCs w:val="17"/>
              </w:rPr>
              <w:t xml:space="preserve"> </w:t>
            </w:r>
          </w:p>
          <w:p>
            <w:pPr>
              <w:spacing w:after="0" w:line="250"/>
            </w:pPr>
            <w:r>
              <w:rPr>
                <w:rFonts w:ascii="Consolas" w:cs="Consolas" w:eastAsia="Consolas" w:hAnsi="Consolas"/>
                <w:color w:val="2B2B2B"/>
                <w:sz w:val="17"/>
                <w:szCs w:val="17"/>
              </w:rPr>
              <w:t xml:space="preserve">  message.setHeader("MailSubject", subject)</w:t>
            </w:r>
          </w:p>
          <w:p>
            <w:pPr>
              <w:spacing w:after="0" w:line="250"/>
            </w:pPr>
            <w:r>
              <w:rPr>
                <w:rFonts w:ascii="Consolas" w:cs="Consolas" w:eastAsia="Consolas" w:hAnsi="Consolas"/>
                <w:color w:val="2B2B2B"/>
                <w:sz w:val="17"/>
                <w:szCs w:val="17"/>
              </w:rPr>
              <w:t xml:space="preserve">  message.setHeader("MailTo", toEmail)</w:t>
            </w:r>
          </w:p>
          <w:p>
            <w:pPr>
              <w:spacing w:after="0" w:line="250"/>
            </w:pPr>
            <w:r>
              <w:rPr>
                <w:rFonts w:ascii="Consolas" w:cs="Consolas" w:eastAsia="Consolas" w:hAnsi="Consolas"/>
                <w:color w:val="2B2B2B"/>
                <w:sz w:val="17"/>
                <w:szCs w:val="17"/>
              </w:rPr>
              <w:t xml:space="preserve">  message.setBody(htmlBody)</w:t>
            </w:r>
          </w:p>
          <w:p>
            <w:pPr>
              <w:spacing w:after="0" w:line="250"/>
            </w:pPr>
            <w:r>
              <w:rPr>
                <w:rFonts w:ascii="Consolas" w:cs="Consolas" w:eastAsia="Consolas" w:hAnsi="Consolas"/>
                <w:color w:val="2B2B2B"/>
                <w:sz w:val="17"/>
                <w:szCs w:val="17"/>
              </w:rPr>
              <w:t xml:space="preserve">  return message</w:t>
            </w:r>
          </w:p>
          <w:p>
            <w:pPr>
              <w:spacing w:after="0" w:line="250"/>
            </w:pPr>
            <w:r>
              <w:rPr>
                <w:rFonts w:ascii="Consolas" w:cs="Consolas" w:eastAsia="Consolas" w:hAnsi="Consolas"/>
                <w:color w:val="2B2B2B"/>
                <w:sz w:val="17"/>
                <w:szCs w:val="17"/>
              </w:rPr>
              <w:t xml:space="preserve">}</w:t>
            </w:r>
          </w:p>
        </w:tc>
      </w:tr>
    </w:tbl>
    <w:p>
      <w:pPr>
        <w:spacing w:after="140" w:line="300"/>
      </w:pPr>
      <w:r>
        <w:rPr>
          <w:color w:val="1A1A1A"/>
          <w:sz w:val="21"/>
          <w:szCs w:val="21"/>
        </w:rPr>
        <w:t xml:space="preserve">El script recibe el JSON enviado por _notifyViaCPI() del backend (orderNumber, customer, customerEmail, decision, remarks, amount, currency) y arma un correo HTML distinto según decision, dejando el asunto y destinatario en headers que el paso Mail consume dinámicamente.</w:t>
      </w:r>
    </w:p>
    <w:p>
      <w:pPr>
        <w:spacing w:after="50"/>
      </w:pPr>
    </w:p>
    <w:p>
      <w:pPr>
        <w:pStyle w:val="Heading2"/>
        <w:spacing w:after="140" w:before="300"/>
      </w:pPr>
      <w:r>
        <w:rPr>
          <w:b/>
          <w:bCs/>
          <w:color w:val="0B4F8A"/>
          <w:sz w:val="24"/>
          <w:szCs w:val="24"/>
        </w:rPr>
        <w:t xml:space="preserve">6.3 Configuración del paso Mail</w:t>
      </w:r>
    </w:p>
    <w:p>
      <w:pPr>
        <w:pStyle w:val="Heading3"/>
        <w:spacing w:after="100" w:before="220"/>
      </w:pPr>
      <w:r>
        <w:rPr>
          <w:b/>
          <w:bCs/>
          <w:color w:val="1A1A1A"/>
          <w:sz w:val="21"/>
          <w:szCs w:val="21"/>
        </w:rPr>
        <w:t xml:space="preserve">6.3.1 Connection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Propiedad</w:t>
            </w:r>
          </w:p>
        </w:tc>
        <w:tc>
          <w:tcPr>
            <w:tcW w:type="dxa" w:w="61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Address</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smtp.gmail.com</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Proxy Type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Internet</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Timeout</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30000 ms</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Protection</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STARTTLS Mandatory</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Authentication</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Plain User/Password</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Credential Name</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gmail-credentials</w:t>
            </w:r>
          </w:p>
        </w:tc>
      </w:tr>
    </w:tbl>
    <w:p>
      <w:pPr>
        <w:spacing w:after="40"/>
      </w:pPr>
    </w:p>
    <w:p>
      <w:pPr>
        <w:pStyle w:val="Heading3"/>
        <w:spacing w:after="100" w:before="220"/>
      </w:pPr>
      <w:r>
        <w:rPr>
          <w:b/>
          <w:bCs/>
          <w:color w:val="1A1A1A"/>
          <w:sz w:val="21"/>
          <w:szCs w:val="21"/>
        </w:rPr>
        <w:t xml:space="preserve">6.3.2 Processing (Mail Attributes)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Campo</w:t>
            </w:r>
          </w:p>
        </w:tc>
        <w:tc>
          <w:tcPr>
            <w:tcW w:type="dxa" w:w="6150"/>
            <w:shd w:fill="0B4F8A" w:val="clear"/>
            <w:tcMar>
              <w:top w:type="dxa" w:w="100"/>
              <w:left w:type="dxa" w:w="120"/>
              <w:bottom w:type="dxa" w:w="100"/>
              <w:right w:type="dxa" w:w="120"/>
            </w:tcMar>
          </w:tcPr>
          <w:p>
            <w:pPr>
              <w:spacing w:after="0" w:line="260"/>
            </w:pPr>
            <w:r>
              <w:rPr>
                <w:b/>
                <w:bCs/>
                <w:color w:val="FFFFFF"/>
                <w:sz w:val="19"/>
                <w:szCs w:val="19"/>
              </w:rPr>
              <w:t xml:space="preserve">Valor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From</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jesusblanco2579@gmail.com</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To</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${header.MailTo}</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Cc / Bcc</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(vacío)</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Subject</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${header.MailSubject}</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Mail Body</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${in.body}</w:t>
            </w:r>
          </w:p>
        </w:tc>
      </w:tr>
    </w:tbl>
    <w:p>
      <w:pPr>
        <w:spacing w:after="40"/>
      </w:pPr>
    </w:p>
    <w:p>
      <w:pPr>
        <w:pStyle w:val="Heading3"/>
        <w:spacing w:after="100" w:before="220"/>
      </w:pPr>
      <w:r>
        <w:rPr>
          <w:b/>
          <w:bCs/>
          <w:color w:val="1A1A1A"/>
          <w:sz w:val="21"/>
          <w:szCs w:val="21"/>
        </w:rPr>
        <w:t xml:space="preserve">6.3.3 Security Material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800"/>
        <w:gridCol w:w="2450"/>
      </w:tblGrid>
      <w:tr>
        <w:trPr>
          <w:tblHeader/>
        </w:trPr>
        <w:tc>
          <w:tcPr>
            <w:tcW w:type="dxa" w:w="2700"/>
            <w:shd w:fill="0B4F8A" w:val="clear"/>
            <w:tcMar>
              <w:top w:type="dxa" w:w="100"/>
              <w:left w:type="dxa" w:w="120"/>
              <w:bottom w:type="dxa" w:w="100"/>
              <w:right w:type="dxa" w:w="120"/>
            </w:tcMar>
          </w:tcPr>
          <w:p>
            <w:pPr>
              <w:spacing w:after="0" w:line="260"/>
            </w:pPr>
            <w:r>
              <w:rPr>
                <w:b/>
                <w:bCs/>
                <w:color w:val="FFFFFF"/>
                <w:sz w:val="19"/>
                <w:szCs w:val="19"/>
              </w:rPr>
              <w:t xml:space="preserve">Nombre</w:t>
            </w:r>
          </w:p>
        </w:tc>
        <w:tc>
          <w:tcPr>
            <w:tcW w:type="dxa" w:w="2400"/>
            <w:shd w:fill="0B4F8A" w:val="clear"/>
            <w:tcMar>
              <w:top w:type="dxa" w:w="100"/>
              <w:left w:type="dxa" w:w="120"/>
              <w:bottom w:type="dxa" w:w="100"/>
              <w:right w:type="dxa" w:w="120"/>
            </w:tcMar>
          </w:tcPr>
          <w:p>
            <w:pPr>
              <w:spacing w:after="0" w:line="260"/>
            </w:pPr>
            <w:r>
              <w:rPr>
                <w:b/>
                <w:bCs/>
                <w:color w:val="FFFFFF"/>
                <w:sz w:val="19"/>
                <w:szCs w:val="19"/>
              </w:rPr>
              <w:t xml:space="preserve">Tipo</w:t>
            </w:r>
          </w:p>
        </w:tc>
        <w:tc>
          <w:tcPr>
            <w:tcW w:type="dxa" w:w="1800"/>
            <w:shd w:fill="0B4F8A" w:val="clear"/>
            <w:tcMar>
              <w:top w:type="dxa" w:w="100"/>
              <w:left w:type="dxa" w:w="120"/>
              <w:bottom w:type="dxa" w:w="100"/>
              <w:right w:type="dxa" w:w="120"/>
            </w:tcMar>
          </w:tcPr>
          <w:p>
            <w:pPr>
              <w:spacing w:after="0" w:line="260"/>
            </w:pPr>
            <w:r>
              <w:rPr>
                <w:b/>
                <w:bCs/>
                <w:color w:val="FFFFFF"/>
                <w:sz w:val="19"/>
                <w:szCs w:val="19"/>
              </w:rPr>
              <w:t xml:space="preserve">Estado</w:t>
            </w:r>
          </w:p>
        </w:tc>
        <w:tc>
          <w:tcPr>
            <w:tcW w:type="dxa" w:w="2450"/>
            <w:shd w:fill="0B4F8A" w:val="clear"/>
            <w:tcMar>
              <w:top w:type="dxa" w:w="100"/>
              <w:left w:type="dxa" w:w="120"/>
              <w:bottom w:type="dxa" w:w="100"/>
              <w:right w:type="dxa" w:w="120"/>
            </w:tcMar>
          </w:tcPr>
          <w:p>
            <w:pPr>
              <w:spacing w:after="0" w:line="260"/>
            </w:pPr>
            <w:r>
              <w:rPr>
                <w:b/>
                <w:bCs/>
                <w:color w:val="FFFFFF"/>
                <w:sz w:val="19"/>
                <w:szCs w:val="19"/>
              </w:rPr>
              <w:t xml:space="preserve">Desplegado por</w:t>
            </w:r>
          </w:p>
        </w:tc>
      </w:tr>
      <w:tr>
        <w:tc>
          <w:tcPr>
            <w:tcW w:type="dxa" w:w="2700"/>
            <w:tcMar>
              <w:top w:type="dxa" w:w="100"/>
              <w:left w:type="dxa" w:w="120"/>
              <w:bottom w:type="dxa" w:w="100"/>
              <w:right w:type="dxa" w:w="120"/>
            </w:tcMar>
          </w:tcPr>
          <w:p>
            <w:pPr>
              <w:spacing w:after="0" w:line="260"/>
            </w:pPr>
            <w:r>
              <w:rPr>
                <w:b w:val="false"/>
                <w:bCs w:val="false"/>
                <w:color w:val="1A1A1A"/>
                <w:sz w:val="19"/>
                <w:szCs w:val="19"/>
              </w:rPr>
              <w:t xml:space="preserve">gmail-credentials</w:t>
            </w:r>
          </w:p>
        </w:tc>
        <w:tc>
          <w:tcPr>
            <w:tcW w:type="dxa" w:w="2400"/>
            <w:tcMar>
              <w:top w:type="dxa" w:w="100"/>
              <w:left w:type="dxa" w:w="120"/>
              <w:bottom w:type="dxa" w:w="100"/>
              <w:right w:type="dxa" w:w="120"/>
            </w:tcMar>
          </w:tcPr>
          <w:p>
            <w:pPr>
              <w:spacing w:after="0" w:line="260"/>
            </w:pPr>
            <w:r>
              <w:rPr>
                <w:b w:val="false"/>
                <w:bCs w:val="false"/>
                <w:color w:val="1A1A1A"/>
                <w:sz w:val="19"/>
                <w:szCs w:val="19"/>
              </w:rPr>
              <w:t xml:space="preserve">User Credentials</w:t>
            </w:r>
          </w:p>
        </w:tc>
        <w:tc>
          <w:tcPr>
            <w:tcW w:type="dxa" w:w="1800"/>
            <w:tcMar>
              <w:top w:type="dxa" w:w="100"/>
              <w:left w:type="dxa" w:w="120"/>
              <w:bottom w:type="dxa" w:w="100"/>
              <w:right w:type="dxa" w:w="120"/>
            </w:tcMar>
          </w:tcPr>
          <w:p>
            <w:pPr>
              <w:spacing w:after="0" w:line="260"/>
            </w:pPr>
            <w:r>
              <w:rPr>
                <w:b w:val="false"/>
                <w:bCs w:val="false"/>
                <w:color w:val="1A1A1A"/>
                <w:sz w:val="19"/>
                <w:szCs w:val="19"/>
              </w:rPr>
              <w:t xml:space="preserve">Deployed</w:t>
            </w:r>
          </w:p>
        </w:tc>
        <w:tc>
          <w:tcPr>
            <w:tcW w:type="dxa" w:w="2450"/>
            <w:tcMar>
              <w:top w:type="dxa" w:w="100"/>
              <w:left w:type="dxa" w:w="120"/>
              <w:bottom w:type="dxa" w:w="100"/>
              <w:right w:type="dxa" w:w="120"/>
            </w:tcMar>
          </w:tcPr>
          <w:p>
            <w:pPr>
              <w:spacing w:after="0" w:line="260"/>
            </w:pPr>
            <w:r>
              <w:rPr>
                <w:b w:val="false"/>
                <w:bCs w:val="false"/>
                <w:color w:val="1A1A1A"/>
                <w:sz w:val="19"/>
                <w:szCs w:val="19"/>
              </w:rPr>
              <w:t xml:space="preserve">jesus.blanco@veliontech.com.pe</w:t>
            </w:r>
          </w:p>
        </w:tc>
      </w:tr>
    </w:tbl>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Requisito de Gmail para SMTP con Plain Auth</w:t>
            </w:r>
          </w:p>
          <w:p>
            <w:pPr>
              <w:spacing w:after="0" w:line="280"/>
            </w:pPr>
            <w:r>
              <w:rPr>
                <w:color w:val="1A1A1A"/>
                <w:sz w:val="20"/>
                <w:szCs w:val="20"/>
              </w:rPr>
              <w:t xml:space="preserve">La cuenta jesusblanco2579@gmail.com requiere una contraseña de aplicación (App Password) de Google en lugar de la contraseña normal de la cuenta, ya que Gmail bloquea la autenticación SMTP básica con credenciales estándar cuando la verificación en dos pasos está activa. Ese valor es el que se almacena como User Credentials bajo el nombre gmail-credentials.</w:t>
            </w:r>
          </w:p>
        </w:tc>
      </w:tr>
    </w:tbl>
    <w:p>
      <w:r>
        <w:br w:type="page"/>
      </w:r>
    </w:p>
    <w:p>
      <w:pPr>
        <w:pStyle w:val="Heading1"/>
        <w:pBdr>
          <w:bottom w:val="single" w:color="0B4F8A" w:sz="6" w:space="4"/>
        </w:pBdr>
        <w:spacing w:after="200" w:before="400"/>
      </w:pPr>
      <w:r>
        <w:rPr>
          <w:b/>
          <w:bCs/>
          <w:color w:val="0B4F8A"/>
          <w:sz w:val="30"/>
          <w:szCs w:val="30"/>
        </w:rPr>
        <w:t xml:space="preserve">7. Resumen de dependencias entre configuraciones</w:t>
      </w:r>
    </w:p>
    <w:p>
      <w:pPr>
        <w:spacing w:after="140" w:line="300"/>
      </w:pPr>
      <w:r>
        <w:rPr>
          <w:color w:val="1A1A1A"/>
          <w:sz w:val="21"/>
          <w:szCs w:val="21"/>
        </w:rPr>
        <w:t xml:space="preserve">Vista consolidada de qué configuración de BTP habilita cada paso del flujo de negocio, útil para replicar el proyecto en otro subaccount o diagnosticar fallos por configuración faltante.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B4F8A" w:val="clear"/>
            <w:tcMar>
              <w:top w:type="dxa" w:w="100"/>
              <w:left w:type="dxa" w:w="120"/>
              <w:bottom w:type="dxa" w:w="100"/>
              <w:right w:type="dxa" w:w="120"/>
            </w:tcMar>
          </w:tcPr>
          <w:p>
            <w:pPr>
              <w:spacing w:after="0" w:line="260"/>
            </w:pPr>
            <w:r>
              <w:rPr>
                <w:b/>
                <w:bCs/>
                <w:color w:val="FFFFFF"/>
                <w:sz w:val="19"/>
                <w:szCs w:val="19"/>
              </w:rPr>
              <w:t xml:space="preserve">Paso del flujo</w:t>
            </w:r>
          </w:p>
        </w:tc>
        <w:tc>
          <w:tcPr>
            <w:tcW w:type="dxa" w:w="6150"/>
            <w:shd w:fill="0B4F8A" w:val="clear"/>
            <w:tcMar>
              <w:top w:type="dxa" w:w="100"/>
              <w:left w:type="dxa" w:w="120"/>
              <w:bottom w:type="dxa" w:w="100"/>
              <w:right w:type="dxa" w:w="120"/>
            </w:tcMar>
          </w:tcPr>
          <w:p>
            <w:pPr>
              <w:spacing w:after="0" w:line="260"/>
            </w:pPr>
            <w:r>
              <w:rPr>
                <w:b/>
                <w:bCs/>
                <w:color w:val="FFFFFF"/>
                <w:sz w:val="19"/>
                <w:szCs w:val="19"/>
              </w:rPr>
              <w:t xml:space="preserve">Configuración BTP requerida</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App MDK se conecta al backend</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Destination en Mobile Services: com.axigma.capstone.orders (no documentada en este archivo — ver nota final).</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Backend valida autorización por rol</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xs-security.json desplegado + Role Collections Capstone_OrderViewer / Creator / Approver.</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Backend dispara instancia BPA</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Credenciales OAuth2 client_credentials del tenant BPA + definitionId del proceso correcto.</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BPA invoca de vuelta al backend</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Destination btp_capstone_orders_srv con sap.processautomation.enabled=true, seleccionada como Destination Variable en el step Invoke action.</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Backend notifica por correo</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Credenciales OAuth2 del tenant CPI + iFlow "Capstone Order Notifications" deployado y Started + Security Material gmail-credentials.</w:t>
            </w:r>
          </w:p>
        </w:tc>
      </w:tr>
      <w:tr>
        <w:tc>
          <w:tcPr>
            <w:tcW w:type="dxa" w:w="3200"/>
            <w:tcMar>
              <w:top w:type="dxa" w:w="100"/>
              <w:left w:type="dxa" w:w="120"/>
              <w:bottom w:type="dxa" w:w="100"/>
              <w:right w:type="dxa" w:w="120"/>
            </w:tcMar>
          </w:tcPr>
          <w:p>
            <w:pPr>
              <w:spacing w:after="0" w:line="260"/>
            </w:pPr>
            <w:r>
              <w:rPr>
                <w:b w:val="false"/>
                <w:bCs w:val="false"/>
                <w:color w:val="1A1A1A"/>
                <w:sz w:val="19"/>
                <w:szCs w:val="19"/>
              </w:rPr>
              <w:t xml:space="preserve">Persistencia de datos</w:t>
            </w:r>
          </w:p>
        </w:tc>
        <w:tc>
          <w:tcPr>
            <w:tcW w:type="dxa" w:w="6150"/>
            <w:tcMar>
              <w:top w:type="dxa" w:w="100"/>
              <w:left w:type="dxa" w:w="120"/>
              <w:bottom w:type="dxa" w:w="100"/>
              <w:right w:type="dxa" w:w="120"/>
            </w:tcMar>
          </w:tcPr>
          <w:p>
            <w:pPr>
              <w:spacing w:after="0" w:line="260"/>
            </w:pPr>
            <w:r>
              <w:rPr>
                <w:b w:val="false"/>
                <w:bCs w:val="false"/>
                <w:color w:val="1A1A1A"/>
                <w:sz w:val="19"/>
                <w:szCs w:val="19"/>
              </w:rPr>
              <w:t xml:space="preserve">HDI Container btp-capstone-orders-db sobre la instancia hana-instances (Running).</w:t>
            </w:r>
          </w:p>
        </w:tc>
      </w:tr>
    </w:tbl>
    <w:p>
      <w:r>
        <w:br w:type="page"/>
      </w:r>
    </w:p>
    <w:p>
      <w:pPr>
        <w:pStyle w:val="Heading1"/>
        <w:pBdr>
          <w:bottom w:val="single" w:color="0B4F8A" w:sz="6" w:space="4"/>
        </w:pBdr>
        <w:spacing w:after="200" w:before="400"/>
      </w:pPr>
      <w:r>
        <w:rPr>
          <w:b/>
          <w:bCs/>
          <w:color w:val="0B4F8A"/>
          <w:sz w:val="30"/>
          <w:szCs w:val="30"/>
        </w:rPr>
        <w:t xml:space="preserve">8. Fuera de alcance / pendiente de documentar</w:t>
      </w:r>
    </w:p>
    <w:p>
      <w:pPr>
        <w:spacing w:after="140" w:line="300"/>
      </w:pPr>
      <w:r>
        <w:rPr>
          <w:color w:val="1A1A1A"/>
          <w:sz w:val="21"/>
          <w:szCs w:val="21"/>
        </w:rPr>
        <w:t xml:space="preserve">Las siguientes configuraciones son referenciadas por el proyecto pero no se capturó evidencia suficiente para documentarlas en detalle en esta versión:</w:t>
      </w:r>
    </w:p>
    <w:p>
      <w:pPr>
        <w:pStyle w:val="ListParagraph"/>
        <w:numPr>
          <w:ilvl w:val="0"/>
          <w:numId w:val="3"/>
        </w:numPr>
        <w:spacing w:after="80" w:line="280"/>
      </w:pPr>
      <w:r>
        <w:rPr>
          <w:color w:val="1A1A1A"/>
          <w:sz w:val="21"/>
          <w:szCs w:val="21"/>
        </w:rPr>
        <w:t xml:space="preserve">Mobile Services — configuración detallada de la app com.axigma.capstone.orders (Client ID, Destination MDK específica, políticas de onboarding OAuth2). Ver ".project.json" en el documento de MDK para los valores conocidos por código.</w:t>
      </w:r>
    </w:p>
    <w:p>
      <w:pPr>
        <w:pStyle w:val="ListParagraph"/>
        <w:numPr>
          <w:ilvl w:val="0"/>
          <w:numId w:val="3"/>
        </w:numPr>
        <w:spacing w:after="80" w:line="280"/>
      </w:pPr>
      <w:r>
        <w:rPr>
          <w:color w:val="1A1A1A"/>
          <w:sz w:val="21"/>
          <w:szCs w:val="21"/>
        </w:rPr>
        <w:t xml:space="preserve">Destination S4HANA + Cloud Connector — usada por _validateBusinessPartner() en el backend para enriquecer órdenes con datos de Business Partner. No se confirmó si quedó configurada en este subaccount o si la función opera en modo "no bloqueante sin conexión" (comportamiento por defecto ya documentado: si S/4HANA no responde, la creación de la orden continúa igual).</w:t>
      </w:r>
    </w:p>
    <w:p>
      <w:pPr>
        <w:pStyle w:val="ListParagraph"/>
        <w:numPr>
          <w:ilvl w:val="0"/>
          <w:numId w:val="3"/>
        </w:numPr>
        <w:spacing w:after="80" w:line="280"/>
      </w:pPr>
      <w:r>
        <w:rPr>
          <w:color w:val="1A1A1A"/>
          <w:sz w:val="21"/>
          <w:szCs w:val="21"/>
        </w:rPr>
        <w:t xml:space="preserve">Asignación explícita de Role Collections Capstone_* a usuarios — se documentó la existencia de las 3 colecciones, no su asignación efectiva a jesus.blanco@veliontech.com.pe u otros usuarios de prueba.</w:t>
      </w:r>
    </w:p>
    <w:p>
      <w:pPr>
        <w:spacing w:after="200"/>
      </w:pPr>
    </w:p>
    <w:tbl>
      <w:tblPr>
        <w:tblW w:type="pct" w:w="100%"/>
        <w:tblBorders>
          <w:top w:val="single" w:color="EAF2FA" w:sz="4"/>
          <w:left w:val="single" w:color="0B4F8A" w:sz="24"/>
          <w:bottom w:val="single" w:color="EAF2FA" w:sz="4"/>
          <w:right w:val="single" w:color="EAF2FA" w:sz="4"/>
          <w:insideH w:val="single" w:color="auto" w:sz="4"/>
          <w:insideV w:val="single" w:color="auto" w:sz="4"/>
        </w:tblBorders>
      </w:tblPr>
      <w:tblGrid>
        <w:gridCol w:w="100"/>
      </w:tblGrid>
      <w:tr>
        <w:tc>
          <w:tcPr>
            <w:shd w:fill="EAF2FA" w:val="clear"/>
            <w:tcMar>
              <w:top w:type="dxa" w:w="140"/>
              <w:left w:type="dxa" w:w="220"/>
              <w:bottom w:type="dxa" w:w="140"/>
              <w:right w:type="dxa" w:w="220"/>
            </w:tcMar>
          </w:tcPr>
          <w:p>
            <w:pPr>
              <w:spacing w:after="60"/>
            </w:pPr>
            <w:r>
              <w:rPr>
                <w:b/>
                <w:bCs/>
                <w:color w:val="0B4F8A"/>
                <w:sz w:val="20"/>
                <w:szCs w:val="20"/>
              </w:rPr>
              <w:t xml:space="preserve">Nota final</w:t>
            </w:r>
          </w:p>
          <w:p>
            <w:pPr>
              <w:spacing w:after="0" w:line="280"/>
            </w:pPr>
            <w:r>
              <w:rPr>
                <w:color w:val="1A1A1A"/>
                <w:sz w:val="20"/>
                <w:szCs w:val="20"/>
              </w:rPr>
              <w:t xml:space="preserve">Este documento refleja las configuraciones de BTP capturadas al cierre de la sesión del Día 14–15. Se recomienda completar los tres puntos pendientes arriba listados antes de considerar el capstone como referencia completa para replicación en un subaccount nuevo.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Axigma — Curso BTP · Capstone Configuraciones BTP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2026-07-08T21:28:00.059Z</dcterms:created>
  <dcterms:modified xsi:type="dcterms:W3CDTF">2026-07-08T21:28:00.070Z</dcterms:modified>
</cp:coreProperties>
</file>

<file path=docProps/custom.xml><?xml version="1.0" encoding="utf-8"?>
<Properties xmlns="http://schemas.openxmlformats.org/officeDocument/2006/custom-properties" xmlns:vt="http://schemas.openxmlformats.org/officeDocument/2006/docPropsVTypes"/>
</file>