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 xml:space="preserve">简化供应商录入信息 </w:t>
      </w:r>
      <w:r>
        <w:rPr>
          <w:rFonts w:hint="eastAsia"/>
          <w:color w:val="FF0000"/>
          <w:lang w:val="en-US" w:eastAsia="zh-CN"/>
        </w:rPr>
        <w:t>供应商管理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用户管理加上电话号码查询，</w:t>
      </w:r>
      <w:r>
        <w:rPr>
          <w:rFonts w:hint="eastAsia"/>
          <w:color w:val="FF0000"/>
          <w:lang w:val="en-US" w:eastAsia="zh-CN"/>
        </w:rPr>
        <w:t xml:space="preserve"> 用户管理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到付可改为预付，预付可改为到付 </w:t>
      </w:r>
      <w:r>
        <w:rPr>
          <w:rFonts w:hint="eastAsia"/>
          <w:color w:val="FF0000"/>
          <w:lang w:val="en-US" w:eastAsia="zh-CN"/>
        </w:rPr>
        <w:t>更改支付方式列表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第三国间的运输 应考虑到支付问题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国际与国内分开版块，同时考虑结算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国家管理加入国家代码，线路显示代码即可 </w:t>
      </w:r>
      <w:r>
        <w:rPr>
          <w:rFonts w:hint="eastAsia"/>
          <w:color w:val="FF0000"/>
          <w:lang w:val="en-US" w:eastAsia="zh-CN"/>
        </w:rPr>
        <w:t>国家管理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同城站点与非同城站点财务清晰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到付计价按人民币除汇率得出美元收费，取小数点后两位</w:t>
      </w:r>
    </w:p>
    <w:bookmarkEnd w:id="0"/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1可以对订单进行编辑或取消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判断起运国对应的开通国家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 价格查询做成两个以上的板块，如普快，特快，后台做相应的设置或录入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前端价格表可以选择不同运输时效，进而显示坐果各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是否报关退税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物流信息查询，显示对应的第三方运单已到库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2319D4"/>
    <w:multiLevelType w:val="singleLevel"/>
    <w:tmpl w:val="8F2319D4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673CB"/>
    <w:rsid w:val="2F5673CB"/>
    <w:rsid w:val="5FF727C3"/>
    <w:rsid w:val="6C2F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362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2019-10-02T06:32:00Z</dcterms:created>
  <dc:creator>Sam.Pao</dc:creator>
  <cp:lastModifiedBy>Sam.Pao</cp:lastModifiedBy>
  <dcterms:modified xsi:type="dcterms:W3CDTF">2019-10-10T10:33:43Z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