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基础数据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A、国家管理</w:t>
      </w:r>
    </w:p>
    <w:p>
      <w:pPr>
        <w:numPr>
          <w:ilvl w:val="0"/>
          <w:numId w:val="1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国家管理加入国家代码，线路显示代码即可</w:t>
      </w:r>
    </w:p>
    <w:p>
      <w:pPr>
        <w:numPr>
          <w:ilvl w:val="0"/>
          <w:numId w:val="1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增加区的录入</w:t>
      </w:r>
    </w:p>
    <w:p>
      <w:pPr>
        <w:numPr>
          <w:ilvl w:val="0"/>
          <w:numId w:val="1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城市与区的录入可以导入Excel文档来完成</w:t>
      </w:r>
    </w:p>
    <w:p>
      <w:pPr>
        <w:numPr>
          <w:ilvl w:val="0"/>
          <w:numId w:val="1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增加是否有特快选项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运费设置</w:t>
      </w:r>
    </w:p>
    <w:p>
      <w:pPr>
        <w:numPr>
          <w:ilvl w:val="0"/>
          <w:numId w:val="2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线路运费</w:t>
      </w:r>
    </w:p>
    <w:p>
      <w:pPr>
        <w:numPr>
          <w:ilvl w:val="0"/>
          <w:numId w:val="3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区分普快与特快录入，因此前端要增加普快与特快的选项，特快价格与普快的设置一样，后台可以实现该国家或该线路是否开通特快</w:t>
      </w:r>
    </w:p>
    <w:p>
      <w:pPr>
        <w:numPr>
          <w:ilvl w:val="0"/>
          <w:numId w:val="3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先设定价格再将适用城市或线路调入，但线路的价格也可以单独设定</w:t>
      </w:r>
    </w:p>
    <w:p>
      <w:pPr>
        <w:numPr>
          <w:ilvl w:val="0"/>
          <w:numId w:val="3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价格调整可以通过手动录入，也可以通过百分比或增减上下调整，到付与预付可共同调整，也可分别调整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列表以是国家至国家，点击后显示各城市线路及相关操作</w:t>
      </w:r>
    </w:p>
    <w:p>
      <w:pPr>
        <w:numPr>
          <w:ilvl w:val="0"/>
          <w:numId w:val="4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派送费用或标准</w:t>
      </w:r>
    </w:p>
    <w:p>
      <w:pPr>
        <w:numPr>
          <w:ilvl w:val="0"/>
          <w:numId w:val="4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按国家，按线路设置免首重。或按用户免首重</w:t>
      </w:r>
    </w:p>
    <w:p>
      <w:pPr>
        <w:numPr>
          <w:ilvl w:val="0"/>
          <w:numId w:val="4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特别价格制定可以关联业务员捆绑的客户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费用管理</w:t>
      </w:r>
    </w:p>
    <w:p>
      <w:pPr>
        <w:numPr>
          <w:ilvl w:val="0"/>
          <w:numId w:val="5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费用项目的编辑或删除不影响已经使用过的历史记录，前端及各相关使用关联地方均用过往的名称</w:t>
      </w:r>
    </w:p>
    <w:p>
      <w:pPr>
        <w:numPr>
          <w:ilvl w:val="0"/>
          <w:numId w:val="5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增加或编辑费用项目需要向上一级申请，批示通过后方可使用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用户中心</w:t>
      </w:r>
    </w:p>
    <w:p>
      <w:pPr>
        <w:numPr>
          <w:ilvl w:val="0"/>
          <w:numId w:val="6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用户管理</w:t>
      </w:r>
    </w:p>
    <w:p>
      <w:pPr>
        <w:numPr>
          <w:ilvl w:val="0"/>
          <w:numId w:val="7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用户管理加上电话号码查询</w:t>
      </w:r>
    </w:p>
    <w:p>
      <w:pPr>
        <w:numPr>
          <w:ilvl w:val="0"/>
          <w:numId w:val="7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增加短信息推广功能，可以按区号分国家进行</w:t>
      </w:r>
    </w:p>
    <w:p>
      <w:pPr>
        <w:numPr>
          <w:ilvl w:val="0"/>
          <w:numId w:val="7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按国家进行筛选用户</w:t>
      </w:r>
    </w:p>
    <w:p>
      <w:pPr>
        <w:numPr>
          <w:ilvl w:val="0"/>
          <w:numId w:val="7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增加收件人列表，列表内容必需有发件人的对应信息</w:t>
      </w:r>
    </w:p>
    <w:p>
      <w:pPr>
        <w:numPr>
          <w:ilvl w:val="0"/>
          <w:numId w:val="7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用户捆绑业务员，改名业务员的账号只显示捆绑的用户与未捆绑的用户，当捆绑业务员后，其它的业务员就不显示这个用户，但也可设置某些功能账号可以查看这些用户资料，便于记录计算等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数据统计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A、货量统计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1，增加票数统计 ，按国家，按线路，按时间，按业务员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2，货量统计以开通国家或已开通国家的线路统计，增加业务员货量统计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B、利润统计（新增）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1，按国家，按线路，按业务员，按月份</w:t>
      </w: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权限管理</w:t>
      </w:r>
    </w:p>
    <w:p>
      <w:pPr>
        <w:numPr>
          <w:ilvl w:val="0"/>
          <w:numId w:val="8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角色管理</w:t>
      </w:r>
    </w:p>
    <w:p>
      <w:pPr>
        <w:numPr>
          <w:ilvl w:val="0"/>
          <w:numId w:val="9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角色直接从员工列表选择，员工可以与注册账户捆绑，给予不同的权限</w:t>
      </w:r>
    </w:p>
    <w:p>
      <w:pPr>
        <w:numPr>
          <w:ilvl w:val="0"/>
          <w:numId w:val="9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权限可设置固定功能板块，捆线时将对应的部门员工添加其中便可以，如业务员，操作，财务等板，同时也可以单独设置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角色可以与角色捆绑，后台捆绑的角色间相互沟通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可考虑推广部门角色不捆绑站点，可显示与之相关的所有订单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开放所有国家的订单给业务员，但只可以看到与之相关的订单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手机端开设后台进入端口，已经捆绑的业务员，通过手机端可以进行一些操作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订单列表</w:t>
      </w:r>
    </w:p>
    <w:p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A、列表</w:t>
      </w:r>
    </w:p>
    <w:p>
      <w:pPr>
        <w:numPr>
          <w:ilvl w:val="0"/>
          <w:numId w:val="1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增加收发货人名字，日期段，订单金额，电话查询相关订单</w:t>
      </w:r>
    </w:p>
    <w:p>
      <w:pPr>
        <w:numPr>
          <w:ilvl w:val="0"/>
          <w:numId w:val="1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用户名称字符加以限制，当鼠标指到该处是全部显示出来</w:t>
      </w:r>
    </w:p>
    <w:p>
      <w:pPr>
        <w:numPr>
          <w:ilvl w:val="0"/>
          <w:numId w:val="1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删除备注与操作栏</w:t>
      </w:r>
    </w:p>
    <w:p>
      <w:pPr>
        <w:numPr>
          <w:ilvl w:val="0"/>
          <w:numId w:val="1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所有订单列表显示计费重量 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4，已发订单需要特别提醒目的港，</w:t>
      </w:r>
      <w:bookmarkStart w:id="0" w:name="_GoBack"/>
      <w:bookmarkEnd w:id="0"/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后台可实现相应操作，同时有状态显示给目的港 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5，增加运输类型用来区分普快与特快，有明显的区分，例用颜色区分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6，订单编号进一步复杂化，现用190921000010，改为日期+时间+编号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7，删除货值栏，订单详情内显示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8，线路用代码显示，城市代码+国家代码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9，操作日志设置在订单详情内，增加入付款环节，包括是支付方法或后台确认时由哪一个账户确认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10，订单只显示一栏，当有多栏数据时，点击向下箭头显示其它栏数据</w:t>
      </w: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11，运单编号改为订单号（全系统改动）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74310" cy="1390015"/>
            <wp:effectExtent l="0" t="0" r="2540" b="635"/>
            <wp:docPr id="1" name="图片 1" descr="2da2dcf75cc72f08be5d0b9e43784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da2dcf75cc72f08be5d0b9e43784a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73040" cy="2585085"/>
            <wp:effectExtent l="0" t="0" r="3810" b="5715"/>
            <wp:docPr id="2" name="图片 2" descr="da45da812388a56bf8070e7e7304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45da812388a56bf8070e7e73049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default"/>
          <w:color w:val="0000FF"/>
          <w:lang w:val="en-US" w:eastAsia="zh-CN"/>
        </w:rPr>
      </w:pP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B、订单详情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增加JOB显示，JOB-COLL或埋头-订单，COLL现在显示已入库货物的状态为待入库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于订单后的状态增加点击物流状态轨迹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订单初始信息，要显示总重量与总件数。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订单初始信息第三方运单要有两个状态，用颜色代表待入库与已入库，根据是否入库实际调整状态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订单初始与实际信息格式重新排列，项目在上，内容于下边显示，减少空间排列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订单初始第三方运单实际入库的时间需要显示出来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前端订单详情，加入货物入库的实际信息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后台能编辑收件人地址等信息，加入密码进入更改（该项目不是适用于所有订单详情）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导出账单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订单利润（该项目不是适用于所有订单详情）</w:t>
      </w:r>
    </w:p>
    <w:p>
      <w:pPr>
        <w:numPr>
          <w:ilvl w:val="0"/>
          <w:numId w:val="11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支付方式对号入座，微信支付显示微信，支付宝显示支付宝</w:t>
      </w:r>
    </w:p>
    <w:p>
      <w:pPr>
        <w:numPr>
          <w:ilvl w:val="0"/>
          <w:numId w:val="11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增加货值显示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65420" cy="3294380"/>
            <wp:effectExtent l="0" t="0" r="11430" b="1270"/>
            <wp:docPr id="20" name="图片 20" descr="15721931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572193152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74310" cy="1292860"/>
            <wp:effectExtent l="0" t="0" r="2540" b="2540"/>
            <wp:docPr id="21" name="图片 21" descr="157219320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572193209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t>起运国办</w:t>
      </w:r>
    </w:p>
    <w:p>
      <w:pPr>
        <w:widowControl w:val="0"/>
        <w:numPr>
          <w:ilvl w:val="0"/>
          <w:numId w:val="12"/>
        </w:numPr>
        <w:jc w:val="both"/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t>创建任务</w:t>
      </w:r>
    </w:p>
    <w:p>
      <w:pPr>
        <w:widowControl w:val="0"/>
        <w:numPr>
          <w:ilvl w:val="0"/>
          <w:numId w:val="13"/>
        </w:numPr>
        <w:jc w:val="both"/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t>任务对话框增加搜索线路功能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drawing>
          <wp:inline distT="0" distB="0" distL="114300" distR="114300">
            <wp:extent cx="5263515" cy="1604645"/>
            <wp:effectExtent l="0" t="0" r="13335" b="14605"/>
            <wp:docPr id="5" name="图片 5" descr="157215403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572154034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ind w:left="0" w:leftChars="0" w:firstLine="0" w:firstLineChars="0"/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t>订单出口费用</w:t>
      </w:r>
    </w:p>
    <w:p>
      <w:pPr>
        <w:numPr>
          <w:ilvl w:val="0"/>
          <w:numId w:val="14"/>
        </w:numPr>
        <w:ind w:leftChars="0"/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t>可以选择起运国或到达国产生的费用</w:t>
      </w:r>
    </w:p>
    <w:p>
      <w:pPr>
        <w:numPr>
          <w:ilvl w:val="0"/>
          <w:numId w:val="14"/>
        </w:numPr>
        <w:ind w:left="0" w:leftChars="0" w:firstLine="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JOB-COLL或箱唛-订单</w:t>
      </w:r>
    </w:p>
    <w:p>
      <w:pPr>
        <w:numPr>
          <w:ilvl w:val="0"/>
          <w:numId w:val="14"/>
        </w:numPr>
        <w:ind w:leftChars="0"/>
        <w:rPr>
          <w:rFonts w:hint="default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t>删除货值栏</w:t>
      </w:r>
    </w:p>
    <w:p>
      <w:pPr>
        <w:numPr>
          <w:ilvl w:val="0"/>
          <w:numId w:val="15"/>
        </w:numPr>
        <w:rPr>
          <w:rFonts w:hint="default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t>删除确认收款</w:t>
      </w:r>
    </w:p>
    <w:p>
      <w:pPr>
        <w:numPr>
          <w:ilvl w:val="0"/>
          <w:numId w:val="0"/>
        </w:numPr>
        <w:rPr>
          <w:rFonts w:hint="default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收款管理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单独建立确认收款列表</w:t>
      </w:r>
    </w:p>
    <w:p>
      <w:pPr>
        <w:numPr>
          <w:ilvl w:val="0"/>
          <w:numId w:val="0"/>
        </w:numP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drawing>
          <wp:inline distT="0" distB="0" distL="114300" distR="114300">
            <wp:extent cx="5267325" cy="2049780"/>
            <wp:effectExtent l="0" t="0" r="9525" b="7620"/>
            <wp:docPr id="7" name="图片 7" descr="157226008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572260084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B、出口跟踪</w:t>
      </w:r>
    </w:p>
    <w:p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1，货物离境后，海外账号登录提示窗口，操作确认是否到达目的地 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2，出口跟踪的每个状态都可以手动选择时间，前端根据此时间更新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3，每个操作环节超过1天未有更新时，进入这个界面有提示更新窗口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4，当需要有特别提示目的地时，这里应该有提示内容选择或录入，到达国仓进口跟踪有提示窗口弹出，每隔3小时弹框一次，直至货物到达仓库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5，出口申报增加海关查验货物分支，前端状态也要显示，海关正在查验货物，请耐心等待放入</w:t>
      </w:r>
    </w:p>
    <w:p>
      <w:pPr>
        <w:numPr>
          <w:ilvl w:val="0"/>
          <w:numId w:val="16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增加操作，导出装箱清单或者设置在任务详情里</w:t>
      </w:r>
    </w:p>
    <w:p>
      <w:pPr>
        <w:numPr>
          <w:ilvl w:val="0"/>
          <w:numId w:val="16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JOB-COLL或箱唛-订单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drawing>
          <wp:inline distT="0" distB="0" distL="114300" distR="114300">
            <wp:extent cx="5263515" cy="1567180"/>
            <wp:effectExtent l="0" t="0" r="13335" b="13970"/>
            <wp:docPr id="6" name="图片 6" descr="15722574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572257485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出口成本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drawing>
          <wp:inline distT="0" distB="0" distL="114300" distR="114300">
            <wp:extent cx="5273675" cy="1974850"/>
            <wp:effectExtent l="0" t="0" r="3175" b="6350"/>
            <wp:docPr id="8" name="图片 8" descr="157234178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572341783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drawing>
          <wp:inline distT="0" distB="0" distL="114300" distR="114300">
            <wp:extent cx="5260975" cy="1525270"/>
            <wp:effectExtent l="0" t="0" r="15875" b="17780"/>
            <wp:docPr id="9" name="图片 9" descr="157234184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572341841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起运国仓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A、快递入库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*集运的情况下未全部入库的，提交时自动打印运单号标签：二维码，第几件（如1910210004-1），重量信息，最后一件到达时打印主单标准，如共10件，件数显示10/10PCS，同时打印第三方运单的条型码与单号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*第三方运单系统无记录的，自动进入未知订单列表。可以直接记录与编辑记录，编辑记录时可以选择物流公司，选择对应业务员，发往国家，品名，件数，重量。但下单号后，后台自动识别该运单号并与之匹配，同时更改该订单在未知订单列表的状态，如已下单或用颜色区分 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*关于退运的原因设置为选项与手动录入，退运原因在前端也显示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*增加手动输入运单号查询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*解决扫码查询影响其它的功能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*快递入库界面可以录入费用或价格运算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*扫描运单入库时，对比系统记录的运单号，相同率达到70%可跳出对话框，如果出现两个以上时手动选择正确的，然后跳出入库对话框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*入库对话框的运单号与线路文字太小，集运时已经入库的运单号有状态显示，待入库和已入库，或用颜色区分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*入库对话框第三方订单显示待入库与已入库的状态，或用颜色区分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*入库对话框增加显示捆绑的业务员名称，及货物类型，说明与增加编辑功能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*入库对话框显示普快与特快的类型，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*普快与特快的打印面单有颜色区分，普快为原色，特快为其它颜色，打印出来都是原色效果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*第三方运单号与阿里云物流数据对接，实现物流跟踪查询，如已签收完成侧显示已签收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*如果第三方运单错误或异常，可以后台手动编辑以纠正错误码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*操作项下增加通知功能，并通过选择设定的原因，提醒对应的业务员或下单用户。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9705" cy="1432560"/>
            <wp:effectExtent l="0" t="0" r="17145" b="15240"/>
            <wp:docPr id="15" name="图片 15" descr="15721815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572181501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033270"/>
            <wp:effectExtent l="0" t="0" r="6350" b="5080"/>
            <wp:docPr id="12" name="图片 12" descr="157218011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572180116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673735"/>
            <wp:effectExtent l="0" t="0" r="10795" b="12065"/>
            <wp:docPr id="16" name="图片 16" descr="157218304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572183041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90215" cy="2013585"/>
            <wp:effectExtent l="0" t="0" r="635" b="5715"/>
            <wp:docPr id="17" name="图片 17" descr="157218580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572185802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76905" cy="3124200"/>
            <wp:effectExtent l="0" t="0" r="4445" b="0"/>
            <wp:docPr id="14" name="图片 14" descr="157218078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572180786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502410"/>
            <wp:effectExtent l="0" t="0" r="6350" b="2540"/>
            <wp:docPr id="11" name="图片 11" descr="157217929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72179295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B、集中装箱</w:t>
      </w: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1，改变创建集装号的方式，取1个英文字母与其它25个英文字母搭配系列，如AB，AC，BA，BC，举例创建了AB，项目可以用AB001,AB002来区分，</w:t>
      </w:r>
    </w:p>
    <w:p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2，JOB-COLL-订单，操作栏增加导出装箱清单</w:t>
      </w:r>
    </w:p>
    <w:p>
      <w:pPr>
        <w:rPr>
          <w:rFonts w:hint="default"/>
          <w:color w:val="ED7D31" w:themeColor="accent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1，预付未付的运单也可以进入集中装箱，即正常走流程，但前端仍显示支付状态，同时订单详情需要提醒为未支付，如果已支付，侧显示为正常流程</w:t>
      </w:r>
    </w:p>
    <w:p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2，集装时通过扫码记录装箱情况，每一个二维码为一件，同时也可录入数量件数品名，最后可导出装箱单，已录入的订单也可以删除。当集装号只有一个订单项下所有分单时，只需要录入该主单号就可以调入全部分单数据，集装也可能手动录入</w:t>
      </w: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3，集中装箱时，后台自动产生COLL，COLL项下通过扫描订单二维码进行集装，单号与重量能过扫描记录，数量手动录入或扫描录入，品名手动录入或选择录入，货物说明通过选择录入</w:t>
      </w: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4，已走流程的集装号，可以在货物到达目的地仓库前添加订单号，各显示端按原有时间显示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5，已走流程的集装号，可以从原有JOB分离出来，但要说明原因，原因可以是选择项，状</w:t>
      </w:r>
      <w:r>
        <w:rPr>
          <w:rFonts w:hint="eastAsia"/>
          <w:color w:val="0000FF"/>
          <w:lang w:val="en-US" w:eastAsia="zh-CN"/>
        </w:rPr>
        <w:t>态与前端状态要显示出来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68595" cy="2668905"/>
            <wp:effectExtent l="0" t="0" r="8255" b="17145"/>
            <wp:docPr id="18" name="图片 18" descr="157219262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572192621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67325" cy="1492250"/>
            <wp:effectExtent l="0" t="0" r="9525" b="12700"/>
            <wp:docPr id="19" name="图片 19" descr="157219270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572192707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C，库存列表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1，待入库不能出现在库存列表，库存表只有已经入库的订单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2，</w:t>
      </w:r>
      <w:r>
        <w:rPr>
          <w:rFonts w:hint="eastAsia"/>
          <w:lang w:val="en-US" w:eastAsia="zh-CN"/>
        </w:rPr>
        <w:t>原始记录以外的添加运单，可以在此界面增加添加入口，手动录入数据然后捆绑订单号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304925"/>
            <wp:effectExtent l="0" t="0" r="8890" b="9525"/>
            <wp:docPr id="3" name="图片 3" descr="157225701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72257018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到达国办</w:t>
      </w:r>
    </w:p>
    <w:p>
      <w:pP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A、进口跟踪</w:t>
      </w:r>
    </w:p>
    <w:p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1，货物离境后，海外账号登录提示窗口，操作确认是否到达目的地 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2，进口跟踪的每个状态都可以手动选择时间，前端根据此时间更亲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3，每个操作环节超过1天未有更新时，进入这个界面有提示更新窗口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4，当起运国办需要有特别提示时，这里显示提示内容每隔3小时弹框一次，直至完成进口跟踪环节操作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5，JOB-COLL或箱唛-订单</w:t>
      </w:r>
    </w:p>
    <w:p>
      <w:pPr>
        <w:numPr>
          <w:ilvl w:val="0"/>
          <w:numId w:val="16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提单号显示栏过多内容</w:t>
      </w:r>
    </w:p>
    <w:p>
      <w:pPr>
        <w:numPr>
          <w:ilvl w:val="0"/>
          <w:numId w:val="16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增加操作，导出装箱清单或者设置在任务详情里</w:t>
      </w:r>
    </w:p>
    <w:p>
      <w:pPr>
        <w:numPr>
          <w:ilvl w:val="0"/>
          <w:numId w:val="0"/>
        </w:numP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 w:eastAsia="zh-CN"/>
          <w14:textFill>
            <w14:solidFill>
              <w14:schemeClr w14:val="tx2"/>
            </w14:solidFill>
          </w14:textFill>
        </w:rPr>
        <w:drawing>
          <wp:inline distT="0" distB="0" distL="114300" distR="114300">
            <wp:extent cx="5272405" cy="1710055"/>
            <wp:effectExtent l="0" t="0" r="4445" b="4445"/>
            <wp:docPr id="4" name="图片 4" descr="157225741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72257410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B，进口成本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1，录入费用更进一步细化，可以选择JOB项下的订号录入费用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2，录入费用以录入当地货币，除以汇率等于美金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C，订单进口费用</w:t>
      </w:r>
    </w:p>
    <w:p>
      <w:pPr>
        <w:numPr>
          <w:ilvl w:val="0"/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1，删除货值栏</w:t>
      </w:r>
    </w:p>
    <w:p>
      <w:pPr>
        <w:numPr>
          <w:ilvl w:val="0"/>
          <w:numId w:val="0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2，JOB-COLL或箱唛-订单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5271770" cy="1851025"/>
            <wp:effectExtent l="0" t="0" r="5080" b="15875"/>
            <wp:docPr id="10" name="图片 10" descr="157241220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572412207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drawing>
          <wp:inline distT="0" distB="0" distL="114300" distR="114300">
            <wp:extent cx="3361055" cy="2663825"/>
            <wp:effectExtent l="0" t="0" r="10795" b="3175"/>
            <wp:docPr id="13" name="图片 13" descr="157241223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572412232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0000FF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到达国仓</w:t>
      </w:r>
    </w:p>
    <w:p>
      <w:pPr>
        <w:numPr>
          <w:ilvl w:val="0"/>
          <w:numId w:val="17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货物入库</w:t>
      </w:r>
    </w:p>
    <w:p>
      <w:pPr>
        <w:numPr>
          <w:ilvl w:val="0"/>
          <w:numId w:val="18"/>
        </w:num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JOB项下显示COLL或者箱号，箱号项显示订单号</w:t>
      </w:r>
    </w:p>
    <w:p>
      <w:pPr>
        <w:numPr>
          <w:ilvl w:val="0"/>
          <w:numId w:val="18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入库对话各状态可做全选择</w:t>
      </w:r>
    </w:p>
    <w:p>
      <w:pPr>
        <w:numPr>
          <w:ilvl w:val="0"/>
          <w:numId w:val="18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对话框放大，增加显示内容</w:t>
      </w:r>
    </w:p>
    <w:p>
      <w:pPr>
        <w:numPr>
          <w:ilvl w:val="0"/>
          <w:numId w:val="18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JOB-COLL或唛头可以显示对应的运单号</w:t>
      </w:r>
    </w:p>
    <w:p>
      <w:pPr>
        <w:numPr>
          <w:ilvl w:val="0"/>
          <w:numId w:val="18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入库后发送后</w:t>
      </w:r>
    </w:p>
    <w:p>
      <w:pPr>
        <w:numPr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drawing>
          <wp:inline distT="0" distB="0" distL="114300" distR="114300">
            <wp:extent cx="5261610" cy="2310130"/>
            <wp:effectExtent l="0" t="0" r="15240" b="13970"/>
            <wp:docPr id="22" name="图片 22" descr="157241584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572415849(1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drawing>
          <wp:inline distT="0" distB="0" distL="114300" distR="114300">
            <wp:extent cx="5266690" cy="2260600"/>
            <wp:effectExtent l="0" t="0" r="10160" b="6350"/>
            <wp:docPr id="23" name="图片 23" descr="157241587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572415878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left="0" w:leftChars="0" w:firstLine="0" w:firstLineChars="0"/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快件配送</w:t>
      </w:r>
    </w:p>
    <w:p>
      <w:pPr>
        <w:numPr>
          <w:ilvl w:val="0"/>
          <w:numId w:val="19"/>
        </w:numPr>
        <w:ind w:leftChars="0"/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区分自提与送货到门，前端亦需要相应显示</w:t>
      </w:r>
    </w:p>
    <w:p>
      <w:pPr>
        <w:numPr>
          <w:ilvl w:val="0"/>
          <w:numId w:val="19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如果订单没有支付，选择配送或完成的时候，应该有提示框确认是否配送</w:t>
      </w:r>
    </w:p>
    <w:p>
      <w:pPr>
        <w:numPr>
          <w:ilvl w:val="0"/>
          <w:numId w:val="19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某一城市做为货物直达点，然后运到另外的站点后再配送，物流跟踪需要体现这个环节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供应商管理</w:t>
      </w:r>
    </w:p>
    <w:p>
      <w:pPr>
        <w:numPr>
          <w:ilvl w:val="0"/>
          <w:numId w:val="2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简化供应商录入信息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drawing>
          <wp:inline distT="0" distB="0" distL="114300" distR="114300">
            <wp:extent cx="5272405" cy="2052955"/>
            <wp:effectExtent l="0" t="0" r="4445" b="4445"/>
            <wp:docPr id="24" name="图片 24" descr="157242675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572426755(1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其它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1，到付可改为预付，预付可改为到付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2，第三国间的运输 应考虑到支付问题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3，国际与国内分开版块，同时考虑结算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4，同城站点与非同城站点财务清晰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5，到付计价按人民币除汇率得出美元收费，取小数点后两位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我的订单列表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客户代码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公司政策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客户拜访报告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订单利润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未支付列表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收款确认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折扣列表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支付方式变更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赔偿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客户访问报告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重复下单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客户申请表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特别要求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员工列表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JOB项目下的收费列表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通知管理：当发出通知，对应账户的登录时对话框提醒，关闭后在各个项目位置提醒多少个，进入项目后在对应单号等提醒。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运费计算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区分普快 特快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区分普快 特快价格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货物尺寸与重量数据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订单可编辑，可删除，可取消订单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管理费用支出表（日常明细）</w:t>
      </w:r>
    </w:p>
    <w:sectPr>
      <w:pgSz w:w="11906" w:h="16838"/>
      <w:pgMar w:top="567" w:right="1800" w:bottom="56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41F42A"/>
    <w:multiLevelType w:val="singleLevel"/>
    <w:tmpl w:val="8241F42A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8F2319D4"/>
    <w:multiLevelType w:val="singleLevel"/>
    <w:tmpl w:val="8F2319D4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A31C4795"/>
    <w:multiLevelType w:val="singleLevel"/>
    <w:tmpl w:val="A31C4795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A771ED1E"/>
    <w:multiLevelType w:val="singleLevel"/>
    <w:tmpl w:val="A771ED1E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AA9D9F28"/>
    <w:multiLevelType w:val="singleLevel"/>
    <w:tmpl w:val="AA9D9F28"/>
    <w:lvl w:ilvl="0" w:tentative="0">
      <w:start w:val="1"/>
      <w:numFmt w:val="upperLetter"/>
      <w:suff w:val="nothing"/>
      <w:lvlText w:val="%1、"/>
      <w:lvlJc w:val="left"/>
    </w:lvl>
  </w:abstractNum>
  <w:abstractNum w:abstractNumId="5">
    <w:nsid w:val="BCC12B86"/>
    <w:multiLevelType w:val="singleLevel"/>
    <w:tmpl w:val="BCC12B86"/>
    <w:lvl w:ilvl="0" w:tentative="0">
      <w:start w:val="1"/>
      <w:numFmt w:val="decimal"/>
      <w:suff w:val="nothing"/>
      <w:lvlText w:val="%1，"/>
      <w:lvlJc w:val="left"/>
    </w:lvl>
  </w:abstractNum>
  <w:abstractNum w:abstractNumId="6">
    <w:nsid w:val="CDDCD848"/>
    <w:multiLevelType w:val="singleLevel"/>
    <w:tmpl w:val="CDDCD848"/>
    <w:lvl w:ilvl="0" w:tentative="0">
      <w:start w:val="1"/>
      <w:numFmt w:val="upperLetter"/>
      <w:suff w:val="nothing"/>
      <w:lvlText w:val="%1、"/>
      <w:lvlJc w:val="left"/>
    </w:lvl>
  </w:abstractNum>
  <w:abstractNum w:abstractNumId="7">
    <w:nsid w:val="CF6DBDAC"/>
    <w:multiLevelType w:val="singleLevel"/>
    <w:tmpl w:val="CF6DBDAC"/>
    <w:lvl w:ilvl="0" w:tentative="0">
      <w:start w:val="1"/>
      <w:numFmt w:val="decimal"/>
      <w:suff w:val="nothing"/>
      <w:lvlText w:val="%1，"/>
      <w:lvlJc w:val="left"/>
    </w:lvl>
  </w:abstractNum>
  <w:abstractNum w:abstractNumId="8">
    <w:nsid w:val="D59D38C0"/>
    <w:multiLevelType w:val="singleLevel"/>
    <w:tmpl w:val="D59D38C0"/>
    <w:lvl w:ilvl="0" w:tentative="0">
      <w:start w:val="1"/>
      <w:numFmt w:val="decimal"/>
      <w:suff w:val="nothing"/>
      <w:lvlText w:val="%1，"/>
      <w:lvlJc w:val="left"/>
    </w:lvl>
  </w:abstractNum>
  <w:abstractNum w:abstractNumId="9">
    <w:nsid w:val="E21984C4"/>
    <w:multiLevelType w:val="singleLevel"/>
    <w:tmpl w:val="E21984C4"/>
    <w:lvl w:ilvl="0" w:tentative="0">
      <w:start w:val="1"/>
      <w:numFmt w:val="decimal"/>
      <w:suff w:val="nothing"/>
      <w:lvlText w:val="%1，"/>
      <w:lvlJc w:val="left"/>
    </w:lvl>
  </w:abstractNum>
  <w:abstractNum w:abstractNumId="10">
    <w:nsid w:val="E7C56BD3"/>
    <w:multiLevelType w:val="singleLevel"/>
    <w:tmpl w:val="E7C56BD3"/>
    <w:lvl w:ilvl="0" w:tentative="0">
      <w:start w:val="1"/>
      <w:numFmt w:val="decimal"/>
      <w:suff w:val="nothing"/>
      <w:lvlText w:val="%1，"/>
      <w:lvlJc w:val="left"/>
    </w:lvl>
  </w:abstractNum>
  <w:abstractNum w:abstractNumId="11">
    <w:nsid w:val="0EFD3751"/>
    <w:multiLevelType w:val="singleLevel"/>
    <w:tmpl w:val="0EFD3751"/>
    <w:lvl w:ilvl="0" w:tentative="0">
      <w:start w:val="1"/>
      <w:numFmt w:val="decimal"/>
      <w:suff w:val="nothing"/>
      <w:lvlText w:val="%1，"/>
      <w:lvlJc w:val="left"/>
    </w:lvl>
  </w:abstractNum>
  <w:abstractNum w:abstractNumId="12">
    <w:nsid w:val="1B2459DF"/>
    <w:multiLevelType w:val="singleLevel"/>
    <w:tmpl w:val="1B2459DF"/>
    <w:lvl w:ilvl="0" w:tentative="0">
      <w:start w:val="1"/>
      <w:numFmt w:val="decimal"/>
      <w:suff w:val="nothing"/>
      <w:lvlText w:val="%1，"/>
      <w:lvlJc w:val="left"/>
    </w:lvl>
  </w:abstractNum>
  <w:abstractNum w:abstractNumId="13">
    <w:nsid w:val="234B1FAB"/>
    <w:multiLevelType w:val="singleLevel"/>
    <w:tmpl w:val="234B1FAB"/>
    <w:lvl w:ilvl="0" w:tentative="0">
      <w:start w:val="1"/>
      <w:numFmt w:val="decimal"/>
      <w:suff w:val="nothing"/>
      <w:lvlText w:val="%1，"/>
      <w:lvlJc w:val="left"/>
    </w:lvl>
  </w:abstractNum>
  <w:abstractNum w:abstractNumId="14">
    <w:nsid w:val="2E79B0D3"/>
    <w:multiLevelType w:val="singleLevel"/>
    <w:tmpl w:val="2E79B0D3"/>
    <w:lvl w:ilvl="0" w:tentative="0">
      <w:start w:val="1"/>
      <w:numFmt w:val="decimal"/>
      <w:suff w:val="nothing"/>
      <w:lvlText w:val="%1，"/>
      <w:lvlJc w:val="left"/>
    </w:lvl>
  </w:abstractNum>
  <w:abstractNum w:abstractNumId="15">
    <w:nsid w:val="3721F5D6"/>
    <w:multiLevelType w:val="singleLevel"/>
    <w:tmpl w:val="3721F5D6"/>
    <w:lvl w:ilvl="0" w:tentative="0">
      <w:start w:val="1"/>
      <w:numFmt w:val="upperLetter"/>
      <w:suff w:val="nothing"/>
      <w:lvlText w:val="%1、"/>
      <w:lvlJc w:val="left"/>
    </w:lvl>
  </w:abstractNum>
  <w:abstractNum w:abstractNumId="16">
    <w:nsid w:val="44B75B24"/>
    <w:multiLevelType w:val="singleLevel"/>
    <w:tmpl w:val="44B75B24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45741BD3"/>
    <w:multiLevelType w:val="singleLevel"/>
    <w:tmpl w:val="45741BD3"/>
    <w:lvl w:ilvl="0" w:tentative="0">
      <w:start w:val="1"/>
      <w:numFmt w:val="decimal"/>
      <w:suff w:val="nothing"/>
      <w:lvlText w:val="%1，"/>
      <w:lvlJc w:val="left"/>
    </w:lvl>
  </w:abstractNum>
  <w:abstractNum w:abstractNumId="18">
    <w:nsid w:val="556653A1"/>
    <w:multiLevelType w:val="singleLevel"/>
    <w:tmpl w:val="556653A1"/>
    <w:lvl w:ilvl="0" w:tentative="0">
      <w:start w:val="1"/>
      <w:numFmt w:val="decimal"/>
      <w:suff w:val="nothing"/>
      <w:lvlText w:val="%1，"/>
      <w:lvlJc w:val="left"/>
    </w:lvl>
  </w:abstractNum>
  <w:abstractNum w:abstractNumId="19">
    <w:nsid w:val="6CAB7E05"/>
    <w:multiLevelType w:val="singleLevel"/>
    <w:tmpl w:val="6CAB7E05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9"/>
  </w:num>
  <w:num w:numId="2">
    <w:abstractNumId w:val="15"/>
  </w:num>
  <w:num w:numId="3">
    <w:abstractNumId w:val="2"/>
  </w:num>
  <w:num w:numId="4">
    <w:abstractNumId w:val="10"/>
  </w:num>
  <w:num w:numId="5">
    <w:abstractNumId w:val="14"/>
  </w:num>
  <w:num w:numId="6">
    <w:abstractNumId w:val="3"/>
  </w:num>
  <w:num w:numId="7">
    <w:abstractNumId w:val="13"/>
  </w:num>
  <w:num w:numId="8">
    <w:abstractNumId w:val="19"/>
  </w:num>
  <w:num w:numId="9">
    <w:abstractNumId w:val="0"/>
  </w:num>
  <w:num w:numId="10">
    <w:abstractNumId w:val="18"/>
  </w:num>
  <w:num w:numId="11">
    <w:abstractNumId w:val="1"/>
  </w:num>
  <w:num w:numId="12">
    <w:abstractNumId w:val="6"/>
  </w:num>
  <w:num w:numId="13">
    <w:abstractNumId w:val="16"/>
  </w:num>
  <w:num w:numId="14">
    <w:abstractNumId w:val="8"/>
  </w:num>
  <w:num w:numId="15">
    <w:abstractNumId w:val="7"/>
  </w:num>
  <w:num w:numId="16">
    <w:abstractNumId w:val="17"/>
  </w:num>
  <w:num w:numId="17">
    <w:abstractNumId w:val="4"/>
  </w:num>
  <w:num w:numId="18">
    <w:abstractNumId w:val="12"/>
  </w:num>
  <w:num w:numId="19">
    <w:abstractNumId w:val="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F05BA"/>
    <w:rsid w:val="00BA12EC"/>
    <w:rsid w:val="015629B3"/>
    <w:rsid w:val="02F35E1C"/>
    <w:rsid w:val="04CB1EA1"/>
    <w:rsid w:val="063C6360"/>
    <w:rsid w:val="074F0B6D"/>
    <w:rsid w:val="0AEA36A4"/>
    <w:rsid w:val="0CD5102A"/>
    <w:rsid w:val="0D8A19BB"/>
    <w:rsid w:val="0F7E4374"/>
    <w:rsid w:val="103F1030"/>
    <w:rsid w:val="10823B7D"/>
    <w:rsid w:val="12482AFE"/>
    <w:rsid w:val="129037E9"/>
    <w:rsid w:val="14185414"/>
    <w:rsid w:val="155263D0"/>
    <w:rsid w:val="17057887"/>
    <w:rsid w:val="17125D02"/>
    <w:rsid w:val="177F0CF4"/>
    <w:rsid w:val="18E360E5"/>
    <w:rsid w:val="1F573694"/>
    <w:rsid w:val="20D466B9"/>
    <w:rsid w:val="21D81608"/>
    <w:rsid w:val="22FA225D"/>
    <w:rsid w:val="25A9618F"/>
    <w:rsid w:val="25F746B1"/>
    <w:rsid w:val="274474BD"/>
    <w:rsid w:val="27B31DD0"/>
    <w:rsid w:val="27CE5BD6"/>
    <w:rsid w:val="27E47683"/>
    <w:rsid w:val="283A008C"/>
    <w:rsid w:val="287E1FD1"/>
    <w:rsid w:val="29FA64EB"/>
    <w:rsid w:val="2D265F7C"/>
    <w:rsid w:val="2E425035"/>
    <w:rsid w:val="2E852B24"/>
    <w:rsid w:val="2FD17B4F"/>
    <w:rsid w:val="323C4FFB"/>
    <w:rsid w:val="349D0AE1"/>
    <w:rsid w:val="365C085E"/>
    <w:rsid w:val="370F1340"/>
    <w:rsid w:val="37BA41E6"/>
    <w:rsid w:val="37C95D85"/>
    <w:rsid w:val="39082E47"/>
    <w:rsid w:val="3A306152"/>
    <w:rsid w:val="3B7C2D08"/>
    <w:rsid w:val="3D497BAE"/>
    <w:rsid w:val="3F114018"/>
    <w:rsid w:val="407E0D8F"/>
    <w:rsid w:val="41A472F2"/>
    <w:rsid w:val="43D111E3"/>
    <w:rsid w:val="43D93548"/>
    <w:rsid w:val="44876130"/>
    <w:rsid w:val="44A37F23"/>
    <w:rsid w:val="451C6E4E"/>
    <w:rsid w:val="46920151"/>
    <w:rsid w:val="48EF4642"/>
    <w:rsid w:val="490E0283"/>
    <w:rsid w:val="4A3264E9"/>
    <w:rsid w:val="4A5B5484"/>
    <w:rsid w:val="4AC54308"/>
    <w:rsid w:val="4B824771"/>
    <w:rsid w:val="4C7A006B"/>
    <w:rsid w:val="4CA17722"/>
    <w:rsid w:val="4E5A3192"/>
    <w:rsid w:val="510E51E0"/>
    <w:rsid w:val="539411E0"/>
    <w:rsid w:val="53CA02EF"/>
    <w:rsid w:val="53F71C8A"/>
    <w:rsid w:val="552F2DA0"/>
    <w:rsid w:val="5A201D7A"/>
    <w:rsid w:val="5CE714AE"/>
    <w:rsid w:val="5E4F70CC"/>
    <w:rsid w:val="5F020A11"/>
    <w:rsid w:val="5F673B6D"/>
    <w:rsid w:val="614C0E6C"/>
    <w:rsid w:val="616F05BA"/>
    <w:rsid w:val="635D5BE0"/>
    <w:rsid w:val="63FF3E39"/>
    <w:rsid w:val="65894F9D"/>
    <w:rsid w:val="6A6620AA"/>
    <w:rsid w:val="6AF7770F"/>
    <w:rsid w:val="6B8111A9"/>
    <w:rsid w:val="6D1E4DA6"/>
    <w:rsid w:val="6DE964F7"/>
    <w:rsid w:val="6E6E7DE5"/>
    <w:rsid w:val="6EAC047E"/>
    <w:rsid w:val="70EB5A14"/>
    <w:rsid w:val="71EA20E1"/>
    <w:rsid w:val="72BB6930"/>
    <w:rsid w:val="73552D74"/>
    <w:rsid w:val="75A10A51"/>
    <w:rsid w:val="7607445F"/>
    <w:rsid w:val="7657440A"/>
    <w:rsid w:val="77C124E2"/>
    <w:rsid w:val="79D724FD"/>
    <w:rsid w:val="7B8441C0"/>
    <w:rsid w:val="7EAD6484"/>
    <w:rsid w:val="7FA0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308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2019-10-10T09:07:00Z</dcterms:created>
  <dc:creator>Sam.Pao</dc:creator>
  <cp:lastModifiedBy>Sam.Pao</cp:lastModifiedBy>
  <dcterms:modified xsi:type="dcterms:W3CDTF">2019-10-30T10:18:22Z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