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37D6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空运计费规则（中文描述）</w:t>
      </w:r>
    </w:p>
    <w:p w14:paraId="713CEC5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4CCBF31C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一、计费重量确定规则</w:t>
      </w:r>
    </w:p>
    <w:p w14:paraId="115BC2D9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实际毛重：货物在磅秤上称出的实际重量，单位为公斤（KG）。</w:t>
      </w:r>
    </w:p>
    <w:p w14:paraId="77C05E19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体积重量：根据货物外箱尺寸计算，计算公式为：</w:t>
      </w:r>
    </w:p>
    <w:p w14:paraId="2361AE9A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体积重量=长(cm)×宽(cm)×高(cm)</w:t>
      </w:r>
      <w:r>
        <w:rPr>
          <w:rFonts w:hint="eastAsia" w:ascii="Segoe UI" w:hAnsi="Segoe UI" w:eastAsia="宋体" w:cs="Segoe UI"/>
          <w:b/>
          <w:bCs/>
          <w:caps w:val="0"/>
          <w:color w:val="0000FF"/>
          <w:spacing w:val="0"/>
          <w:sz w:val="22"/>
          <w:szCs w:val="22"/>
          <w:shd w:val="clear" w:fill="FFFFFF"/>
          <w:lang w:val="en-US" w:eastAsia="zh-CN"/>
        </w:rPr>
        <w:t>/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 xml:space="preserve">6000 </w:t>
      </w:r>
    </w:p>
    <w:p w14:paraId="2DD5E526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计费重量：比较实际毛重和体积重量，取两者中较大值作为计费重量。</w:t>
      </w:r>
    </w:p>
    <w:p w14:paraId="34C277BE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</w:p>
    <w:p w14:paraId="1B81C923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二、重量进位规则</w:t>
      </w:r>
    </w:p>
    <w:p w14:paraId="0774B5EB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首重：第1公斤按整公斤计。</w:t>
      </w:r>
    </w:p>
    <w:p w14:paraId="0971B134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</w:p>
    <w:p w14:paraId="48C60749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续重：</w:t>
      </w:r>
    </w:p>
    <w:p w14:paraId="55A1A2A0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不足0.5公斤按0.5公斤计；</w:t>
      </w:r>
    </w:p>
    <w:p w14:paraId="0A4FCFE0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超过0.5公斤不足1公斤按1公斤计。</w:t>
      </w:r>
    </w:p>
    <w:p w14:paraId="67F8F187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</w:p>
    <w:p w14:paraId="2BA9FF5D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三、运费计算规则（核心）</w:t>
      </w:r>
    </w:p>
    <w:p w14:paraId="663C39A6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运费采用首重 + 续重的分段计算方式：</w:t>
      </w:r>
    </w:p>
    <w:p w14:paraId="1C8E9FA3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</w:p>
    <w:p w14:paraId="75FCC19A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1. 首重部分</w:t>
      </w:r>
    </w:p>
    <w:p w14:paraId="5B773A04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第1公斤单独计费，适用首重价格。</w:t>
      </w:r>
    </w:p>
    <w:p w14:paraId="6108982F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无论货物总重多少，第1公斤固定按首重价格收取。</w:t>
      </w:r>
    </w:p>
    <w:p w14:paraId="62355E93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</w:p>
    <w:p w14:paraId="399FCE41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2. 续重部分</w:t>
      </w:r>
    </w:p>
    <w:p w14:paraId="1A05B704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总重量减去第1公斤后，剩下的重量称为续重。</w:t>
      </w:r>
    </w:p>
    <w:p w14:paraId="347719E4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续重部分根据其总重量落入哪个阶梯区间，确定该续重部分的统一单价。</w:t>
      </w:r>
    </w:p>
    <w:p w14:paraId="310AFCB2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续重部分整体按该单价计算，不再分段。</w:t>
      </w:r>
    </w:p>
    <w:p w14:paraId="6F4180CA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</w:p>
    <w:p w14:paraId="14F1067E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3. 价格阶梯表（人民币预付价）</w:t>
      </w:r>
    </w:p>
    <w:p w14:paraId="441E11CD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重量区间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eastAsia" w:ascii="Segoe UI" w:hAnsi="Segoe UI" w:eastAsia="宋体" w:cs="Segoe UI"/>
          <w:b/>
          <w:bCs/>
          <w:caps w:val="0"/>
          <w:color w:val="0000FF"/>
          <w:spacing w:val="0"/>
          <w:sz w:val="22"/>
          <w:szCs w:val="22"/>
          <w:shd w:val="clear" w:fill="FFFFFF"/>
          <w:lang w:val="en-US" w:eastAsia="zh-CN"/>
        </w:rPr>
        <w:t xml:space="preserve">   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单价（元/公斤）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说明</w:t>
      </w:r>
    </w:p>
    <w:p w14:paraId="26466FDA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首重 1公斤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eastAsia" w:ascii="Segoe UI" w:hAnsi="Segoe UI" w:eastAsia="宋体" w:cs="Segoe UI"/>
          <w:b/>
          <w:bCs/>
          <w:caps w:val="0"/>
          <w:color w:val="0000FF"/>
          <w:spacing w:val="0"/>
          <w:sz w:val="22"/>
          <w:szCs w:val="22"/>
          <w:shd w:val="clear" w:fill="FFFFFF"/>
          <w:lang w:val="en-US" w:eastAsia="zh-CN"/>
        </w:rPr>
        <w:t xml:space="preserve">    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63.00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仅限第1公斤</w:t>
      </w:r>
      <w:bookmarkStart w:id="0" w:name="_GoBack"/>
      <w:bookmarkEnd w:id="0"/>
    </w:p>
    <w:p w14:paraId="3908AB8C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 ≥1公斤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60.00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续重部分在1~5公斤之间适用</w:t>
      </w:r>
    </w:p>
    <w:p w14:paraId="7A658D77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 ≥5公斤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57.00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续重部分在5~20公斤之间适用</w:t>
      </w:r>
    </w:p>
    <w:p w14:paraId="53DD2EA0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 ≥20公斤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55.00</w:t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续重部分超过20公斤适用</w:t>
      </w:r>
    </w:p>
    <w:p w14:paraId="5C474446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</w:p>
    <w:p w14:paraId="5429992D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4. 计算示例（15公斤普货）</w:t>
      </w:r>
    </w:p>
    <w:p w14:paraId="1254909F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货物总重：15公斤</w:t>
      </w:r>
    </w:p>
    <w:p w14:paraId="46C966A7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首重部分：1公斤 × 63元 = 63元</w:t>
      </w:r>
    </w:p>
    <w:p w14:paraId="55B11CB6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续重部分：14公斤（15-1）</w:t>
      </w:r>
    </w:p>
    <w:p w14:paraId="16002561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续重部分落在“≥5公斤”区间 → 单价57元/公斤</w:t>
      </w:r>
    </w:p>
    <w:p w14:paraId="6647FEA6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续重费用：14公斤 × 57元 = 798元</w:t>
      </w:r>
    </w:p>
    <w:p w14:paraId="21D82B00">
      <w:pP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000FF"/>
          <w:spacing w:val="0"/>
          <w:sz w:val="22"/>
          <w:szCs w:val="22"/>
          <w:shd w:val="clear" w:fill="FFFFFF"/>
        </w:rPr>
        <w:t>总运费：63元 + 798元 = 861元</w:t>
      </w:r>
    </w:p>
    <w:p w14:paraId="286F4A7F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0C64620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四、附加费规则</w:t>
      </w:r>
    </w:p>
    <w:p w14:paraId="59869D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1. 非普货附加费（在基础运费上按百分比加收）</w:t>
      </w:r>
    </w:p>
    <w:p w14:paraId="40FAA71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带电产品、带磁产品、食品、化妆品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+10%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ab/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基础非普货附加费</w:t>
      </w:r>
    </w:p>
    <w:p w14:paraId="151AAB3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化工品（非危险品）+25%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ab/>
      </w:r>
    </w:p>
    <w:p w14:paraId="37AA3B1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药品、保健品+40%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ab/>
      </w:r>
    </w:p>
    <w:p w14:paraId="2A9A1C9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手机+60%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ab/>
      </w:r>
    </w:p>
    <w:p w14:paraId="44B69170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7F76823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2. 包装附加费</w:t>
      </w:r>
    </w:p>
    <w:p w14:paraId="6E3CBD4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木箱包装：在基础运费上加收 2元/公斤（按计费重量计算）。</w:t>
      </w:r>
    </w:p>
    <w:p w14:paraId="2E08BF8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78A8241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3. 混装计费规则</w:t>
      </w:r>
    </w:p>
    <w:p w14:paraId="7967487C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普货与非普货混装：整票按非普货价格计费；</w:t>
      </w:r>
    </w:p>
    <w:p w14:paraId="3DEBC9FA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217F5B5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多种非普货混装：按附加费率最高的那种货物计费。</w:t>
      </w:r>
    </w:p>
    <w:p w14:paraId="3A97034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6552BD07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五、其他重要规则</w:t>
      </w:r>
    </w:p>
    <w:p w14:paraId="7AA2B7A9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费用包含：报价为普货双清价，已包含尼日利亚进口税费，但需收货人到仓库自取。</w:t>
      </w:r>
    </w:p>
    <w:p w14:paraId="56D78E9D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78FB91AE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文件寄送：预付150元/份，到付21美元/份，限0.5公斤以内。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73CEB"/>
    <w:rsid w:val="4617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2026-02-26T06:19:00Z</dcterms:created>
  <dc:creator>Sam.Pao</dc:creator>
  <cp:lastModifiedBy>Sam.Pao</cp:lastModifiedBy>
  <dcterms:modified xsi:type="dcterms:W3CDTF">2026-02-26T06:26:34Z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5E4AF642F600435BA01F0DB126035EFA_11</vt:lpwstr>
  </property>
  <property fmtid="{D5CDD505-2E9C-101B-9397-08002B2CF9AE}" pid="4" name="KSOTemplateDocerSaveRecord">
    <vt:lpwstr>eyJoZGlkIjoiODE3YTRhYzliMGM0YzYzYTg4ZTA3MmQ5OWQ4ODZjZjIiLCJ1c2VySWQiOiIzNDMwNzY2MjIifQ==</vt:lpwstr>
  </property>
</Properties>
</file>